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firstLine="567"/>
        <w:jc w:val="center"/>
        <w:rPr>
          <w:b/>
          <w:b/>
          <w:bCs/>
        </w:rPr>
      </w:pPr>
      <w:bookmarkStart w:id="0" w:name="_GoBack"/>
      <w:bookmarkEnd w:id="0"/>
      <w:r>
        <w:rPr>
          <w:b/>
          <w:bCs/>
        </w:rPr>
        <w:t>Техническое задание</w:t>
      </w:r>
    </w:p>
    <w:p>
      <w:pPr>
        <w:pStyle w:val="Normal"/>
        <w:ind w:firstLine="567"/>
        <w:jc w:val="center"/>
        <w:rPr>
          <w:b/>
          <w:b/>
          <w:bCs/>
        </w:rPr>
      </w:pPr>
      <w:r>
        <w:rPr>
          <w:b/>
          <w:bCs/>
        </w:rPr>
        <w:t xml:space="preserve">на оказание услуг по техническому обслуживанию </w:t>
      </w:r>
    </w:p>
    <w:p>
      <w:pPr>
        <w:pStyle w:val="Normal"/>
        <w:ind w:firstLine="567"/>
        <w:jc w:val="center"/>
        <w:rPr>
          <w:b/>
          <w:b/>
          <w:bCs/>
          <w:sz w:val="32"/>
        </w:rPr>
      </w:pPr>
      <w:r>
        <w:rPr>
          <w:b/>
          <w:bCs/>
        </w:rPr>
        <w:t>сплит-систем</w:t>
      </w:r>
    </w:p>
    <w:p>
      <w:pPr>
        <w:pStyle w:val="Normal"/>
        <w:jc w:val="both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tbl>
      <w:tblPr>
        <w:tblW w:w="10349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8"/>
        <w:gridCol w:w="3261"/>
        <w:gridCol w:w="3545"/>
        <w:gridCol w:w="1134"/>
        <w:gridCol w:w="1701"/>
      </w:tblGrid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Наименование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услуги согласно позиции КТРУ/ коду по ОКПД 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Характеристики (описание) </w:t>
            </w:r>
          </w:p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услуги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>Коли-чество, усл.ед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>Код по ОКПД 2/</w:t>
            </w:r>
          </w:p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>
                <w:b/>
                <w:b/>
              </w:rPr>
            </w:pPr>
            <w:r>
              <w:rPr>
                <w:b/>
              </w:rPr>
              <w:t>код позиции КТРУ</w:t>
            </w:r>
          </w:p>
        </w:tc>
      </w:tr>
      <w:tr>
        <w:trPr/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76" w:leader="none"/>
                <w:tab w:val="left" w:pos="1440" w:leader="none"/>
              </w:tabs>
              <w:suppressAutoHyphens w:val="true"/>
              <w:jc w:val="center"/>
              <w:rPr/>
            </w:pPr>
            <w:r>
              <w:rPr/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Оказание услуг по техническому обслуживанию сплит-систем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/>
              <w:t>33.12.19.000</w:t>
            </w:r>
            <w:r>
              <w:rPr>
                <w:color w:val="000000"/>
              </w:rPr>
              <w:t>/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180" w:leader="none"/>
          <w:tab w:val="left" w:pos="9900" w:leader="none"/>
        </w:tabs>
        <w:ind w:left="-567" w:right="21" w:hanging="0"/>
        <w:jc w:val="both"/>
        <w:rPr/>
      </w:pPr>
      <w:r>
        <w:rPr/>
        <w:t xml:space="preserve">                    </w:t>
      </w:r>
    </w:p>
    <w:p>
      <w:pPr>
        <w:pStyle w:val="Normal"/>
        <w:shd w:val="clear" w:color="auto" w:fill="FFFFFF"/>
        <w:rPr>
          <w:b/>
          <w:b/>
          <w:bCs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</w:rPr>
        <w:t>Перечень оказываемых услуг:</w:t>
      </w:r>
      <w:r>
        <w:rPr>
          <w:b/>
          <w:bCs/>
        </w:rPr>
        <w:t xml:space="preserve"> </w:t>
      </w:r>
    </w:p>
    <w:p>
      <w:pPr>
        <w:pStyle w:val="Normal"/>
        <w:jc w:val="both"/>
        <w:rPr/>
      </w:pPr>
      <w:r>
        <w:rPr>
          <w:b/>
        </w:rPr>
        <w:t>1</w:t>
      </w:r>
      <w:r>
        <w:rPr/>
        <w:t>.Внешний осмотр на предмет механических повреждений корпуса и узлов сплит-системы.</w:t>
      </w:r>
    </w:p>
    <w:p>
      <w:pPr>
        <w:pStyle w:val="Normal"/>
        <w:jc w:val="both"/>
        <w:rPr>
          <w:b/>
          <w:b/>
          <w:bCs/>
          <w:i/>
          <w:i/>
          <w:iCs/>
          <w:color w:val="000080"/>
        </w:rPr>
      </w:pPr>
      <w:r>
        <w:rPr>
          <w:b/>
          <w:color w:val="000000"/>
        </w:rPr>
        <w:t>2</w:t>
      </w:r>
      <w:r>
        <w:rPr>
          <w:color w:val="000000"/>
        </w:rPr>
        <w:t xml:space="preserve">.Гидравлическая и механическая очистка корпуса и теплообменника внешнего блока </w:t>
      </w:r>
      <w:r>
        <w:rPr/>
        <w:t>сплит-системы</w:t>
      </w:r>
      <w:r>
        <w:rPr>
          <w:color w:val="000000"/>
        </w:rPr>
        <w:t>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color w:val="000000"/>
        </w:rPr>
        <w:t>3</w:t>
      </w:r>
      <w:r>
        <w:rPr>
          <w:color w:val="000000"/>
        </w:rPr>
        <w:t>.Качественная чистка теплообменника внутреннего блока. Обработка дезинфицирующим составом.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color w:val="000000"/>
        </w:rPr>
        <w:t>4</w:t>
      </w:r>
      <w:r>
        <w:rPr>
          <w:color w:val="000000"/>
        </w:rPr>
        <w:t xml:space="preserve">.Качественная чистка воздухозаборных решеток и воздушных фильтров внутреннего блока </w:t>
      </w:r>
      <w:r>
        <w:rPr/>
        <w:t>сплит-системы</w:t>
      </w:r>
      <w:r>
        <w:rPr>
          <w:color w:val="000000"/>
        </w:rPr>
        <w:t>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color w:val="000000"/>
        </w:rPr>
        <w:t>5</w:t>
      </w:r>
      <w:r>
        <w:rPr>
          <w:color w:val="000000"/>
        </w:rPr>
        <w:t xml:space="preserve">.Проверка функционирования дренажной системы – чистка и антибактериальная обработка. </w:t>
      </w:r>
      <w:r>
        <w:rPr>
          <w:b/>
          <w:color w:val="000000"/>
        </w:rPr>
        <w:t>6</w:t>
      </w:r>
      <w:r>
        <w:rPr>
          <w:color w:val="000000"/>
        </w:rPr>
        <w:t>.Проверка работы жалюзи с механическим приводом.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color w:val="000000"/>
        </w:rPr>
        <w:t>7</w:t>
      </w:r>
      <w:r>
        <w:rPr>
          <w:color w:val="000000"/>
        </w:rPr>
        <w:t>.Проверка исправности электродвигателей и лопастей вентиляторов.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color w:val="000000"/>
        </w:rPr>
        <w:t>8</w:t>
      </w:r>
      <w:r>
        <w:rPr>
          <w:color w:val="000000"/>
        </w:rPr>
        <w:t>.Проверка целостности системы прохождения хладагента. Измерение давления нагнетания и всасывания в контуре. При необходимости дозаправка системы хладоном, устранение мелких нарушений в герметичности системы (количество хладона до 1 (одного) кг включено в стоимость работ).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color w:val="000000"/>
        </w:rPr>
        <w:t>9</w:t>
      </w:r>
      <w:r>
        <w:rPr>
          <w:color w:val="000000"/>
        </w:rPr>
        <w:t xml:space="preserve">.Измерение напряжения в сети, рабочих и пусковых токов компрессора и вентиляторов </w:t>
      </w:r>
      <w:r>
        <w:rPr/>
        <w:t>сплит-системы</w:t>
      </w:r>
      <w:r>
        <w:rPr>
          <w:color w:val="000000"/>
        </w:rPr>
        <w:t>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  <w:color w:val="000000"/>
        </w:rPr>
        <w:t>10</w:t>
      </w:r>
      <w:r>
        <w:rPr>
          <w:color w:val="000000"/>
        </w:rPr>
        <w:t xml:space="preserve">.Контроль работы компрессора на наличие посторонних шумов (возможность износа механической части компрессора). </w:t>
      </w:r>
    </w:p>
    <w:p>
      <w:pPr>
        <w:pStyle w:val="Normal"/>
        <w:jc w:val="both"/>
        <w:rPr>
          <w:color w:val="000000"/>
        </w:rPr>
      </w:pPr>
      <w:r>
        <w:rPr>
          <w:b/>
          <w:color w:val="000000"/>
        </w:rPr>
        <w:t>11</w:t>
      </w:r>
      <w:r>
        <w:rPr>
          <w:color w:val="000000"/>
        </w:rPr>
        <w:t xml:space="preserve">.Тестирование </w:t>
      </w:r>
      <w:r>
        <w:rPr/>
        <w:t>сплит-системы</w:t>
      </w:r>
      <w:r>
        <w:rPr>
          <w:color w:val="000000"/>
        </w:rPr>
        <w:t xml:space="preserve"> во всех режимах.                                                    </w:t>
      </w:r>
    </w:p>
    <w:p>
      <w:pPr>
        <w:pStyle w:val="Normal"/>
        <w:jc w:val="both"/>
        <w:rPr>
          <w:color w:val="000000"/>
        </w:rPr>
      </w:pPr>
      <w:r>
        <w:rPr>
          <w:b/>
          <w:color w:val="000000"/>
        </w:rPr>
        <w:t>12</w:t>
      </w:r>
      <w:r>
        <w:rPr>
          <w:color w:val="000000"/>
        </w:rPr>
        <w:t>.Проверка исправности системы индикации режимов.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color w:val="EEE1BC"/>
        </w:rPr>
      </w:pPr>
      <w:r>
        <w:rPr>
          <w:b/>
          <w:color w:val="000000"/>
        </w:rPr>
        <w:t>13</w:t>
      </w:r>
      <w:r>
        <w:rPr>
          <w:color w:val="000000"/>
        </w:rPr>
        <w:t>.Контрольные замеры температуры воздуха на входе и выходе из внутреннего блока кондиционера.</w:t>
      </w:r>
      <w:r>
        <w:rPr>
          <w:color w:val="EEE1BC"/>
        </w:rPr>
        <w:t xml:space="preserve"> </w:t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14. </w:t>
      </w:r>
      <w:r>
        <w:rPr/>
        <w:t>Выполнение иных работ по техническому обслуживанию в рамках руководства по эксплуатации к каждому виду оборудования.</w:t>
      </w:r>
    </w:p>
    <w:p>
      <w:pPr>
        <w:pStyle w:val="Normal"/>
        <w:shd w:val="clear" w:color="auto" w:fill="FFFFFF"/>
        <w:tabs>
          <w:tab w:val="clear" w:pos="708"/>
          <w:tab w:val="left" w:pos="480" w:leader="none"/>
        </w:tabs>
        <w:jc w:val="both"/>
        <w:rPr>
          <w:b/>
          <w:b/>
          <w:sz w:val="22"/>
          <w:szCs w:val="22"/>
        </w:rPr>
      </w:pPr>
      <w:r>
        <w:rPr/>
        <w:t xml:space="preserve">      </w:t>
      </w:r>
      <w:r>
        <w:rPr/>
        <w:t>Подрядчик обязан обеспечить явку своего представителя для проведения работ в период и время по согласованию с Заказчиком. В случае вызова в течение срока гарантии Исполнитель обязан обеспечить явку своего представителя по вызову Заказчика - в течение 24 часов после поступления заявки.</w:t>
      </w:r>
      <w:r>
        <w:rPr>
          <w:b/>
          <w:sz w:val="22"/>
          <w:szCs w:val="22"/>
        </w:rPr>
        <w:t xml:space="preserve">         </w:t>
      </w:r>
    </w:p>
    <w:p>
      <w:pPr>
        <w:pStyle w:val="Normal"/>
        <w:shd w:val="clear" w:color="auto" w:fill="FFFFFF"/>
        <w:jc w:val="both"/>
        <w:rPr>
          <w:b/>
          <w:b/>
          <w:sz w:val="22"/>
          <w:szCs w:val="22"/>
          <w:u w:val="single"/>
        </w:rPr>
      </w:pPr>
      <w:r>
        <w:rPr>
          <w:b/>
          <w:sz w:val="22"/>
          <w:szCs w:val="22"/>
        </w:rPr>
        <w:t>2.  Требования к оказываемым услугам:</w:t>
      </w:r>
    </w:p>
    <w:p>
      <w:pPr>
        <w:pStyle w:val="Normal"/>
        <w:rPr/>
      </w:pPr>
      <w:r>
        <w:rPr/>
        <w:t xml:space="preserve">      </w:t>
      </w:r>
      <w:r>
        <w:rPr/>
        <w:t>Услуги должны быть оказаны в соответствии с действующими стандартами, обязательными для данного вида услуг, правилами пожарной безопасности, электробезопасности, охраны труда, мероприятиями по охране окружающей среды, с использованием средств индивидуальной защиты. В ходе оказания услуг должны применяться безопасные и эффективные методы. Экологические мероприятия должны осуществляться Исполнителем в соответствии с нормативными правовыми актами Российской Федерации, а также предписаниями надзорных органов.</w:t>
      </w:r>
    </w:p>
    <w:p>
      <w:pPr>
        <w:pStyle w:val="Normal"/>
        <w:rPr/>
      </w:pPr>
      <w:r>
        <w:rPr>
          <w:b/>
          <w:sz w:val="22"/>
          <w:szCs w:val="22"/>
        </w:rPr>
        <w:t xml:space="preserve">3. Гарантии качества оказываемых услуг: </w:t>
      </w:r>
      <w:r>
        <w:rPr/>
        <w:t>не менее 1 месяца.</w:t>
      </w:r>
      <w:r>
        <w:rPr>
          <w:b/>
          <w:sz w:val="22"/>
          <w:szCs w:val="22"/>
        </w:rPr>
        <w:t xml:space="preserve"> </w:t>
      </w:r>
    </w:p>
    <w:p>
      <w:pPr>
        <w:pStyle w:val="Normal"/>
        <w:rPr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4. Срок оказания услуги: </w:t>
      </w:r>
      <w:r>
        <w:rPr>
          <w:sz w:val="22"/>
          <w:szCs w:val="22"/>
        </w:rPr>
        <w:t xml:space="preserve"> </w:t>
      </w:r>
      <w:r>
        <w:rPr/>
        <w:t>в течение 5 рабочих дней с даты заключения государственного контракта.</w:t>
      </w:r>
    </w:p>
    <w:p>
      <w:pPr>
        <w:pStyle w:val="Normal"/>
        <w:rPr/>
      </w:pPr>
      <w:r>
        <w:rPr>
          <w:b/>
          <w:sz w:val="22"/>
          <w:szCs w:val="22"/>
        </w:rPr>
        <w:t>5. Место оказания услуги</w:t>
      </w:r>
      <w:r>
        <w:rPr>
          <w:sz w:val="22"/>
          <w:szCs w:val="22"/>
        </w:rPr>
        <w:t xml:space="preserve"> </w:t>
      </w:r>
      <w:r>
        <w:rPr/>
        <w:t>– в месте установки оборудования, на 1 и 2 этажах зданий учреждения, расположенных в с. Дворянское Камышинского района, Волгоградской области, в рабочие дни с 8</w:t>
      </w:r>
      <w:r>
        <w:rPr>
          <w:vertAlign w:val="superscript"/>
        </w:rPr>
        <w:t>00</w:t>
      </w:r>
      <w:r>
        <w:rPr/>
        <w:t xml:space="preserve"> до 14</w:t>
      </w:r>
      <w:r>
        <w:rPr>
          <w:vertAlign w:val="superscript"/>
        </w:rPr>
        <w:t xml:space="preserve">00  </w:t>
      </w:r>
      <w:r>
        <w:rPr/>
        <w:t>часов.</w:t>
      </w:r>
    </w:p>
    <w:p>
      <w:pPr>
        <w:pStyle w:val="Normal"/>
        <w:rPr/>
      </w:pPr>
      <w:r>
        <w:rPr/>
        <w:t xml:space="preserve">                                                                                                                                                        </w:t>
      </w:r>
    </w:p>
    <w:p>
      <w:pPr>
        <w:pStyle w:val="Normal"/>
        <w:shd w:val="clear" w:color="auto" w:fill="FFFFFF"/>
        <w:spacing w:lineRule="exact" w:line="274"/>
        <w:ind w:right="10" w:hanging="0"/>
        <w:rPr>
          <w:b/>
          <w:b/>
        </w:rPr>
      </w:pPr>
      <w:r>
        <w:rPr>
          <w:b/>
        </w:rPr>
        <w:t>Перечень и количество сплит-систем, подлежащих техническому обслуживанию:</w:t>
      </w:r>
    </w:p>
    <w:tbl>
      <w:tblPr>
        <w:tblpPr w:vertAnchor="page" w:horzAnchor="margin" w:leftFromText="180" w:rightFromText="180" w:tblpX="0" w:tblpY="3182"/>
        <w:tblW w:w="733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4933"/>
        <w:gridCol w:w="1701"/>
      </w:tblGrid>
      <w:tr>
        <w:trPr>
          <w:trHeight w:val="631" w:hRule="atLeast"/>
        </w:trPr>
        <w:tc>
          <w:tcPr>
            <w:tcW w:w="704" w:type="dxa"/>
            <w:tcBorders>
              <w:top w:val="single" w:sz="4" w:space="0" w:color="A0A0A0"/>
              <w:left w:val="single" w:sz="4" w:space="0" w:color="A0A0A0"/>
              <w:bottom w:val="single" w:sz="4" w:space="0" w:color="A0A0A0"/>
              <w:right w:val="single" w:sz="4" w:space="0" w:color="A0A0A0"/>
            </w:tcBorders>
            <w:shd w:color="000000" w:fill="D6E5CB" w:val="clear"/>
          </w:tcPr>
          <w:p>
            <w:pPr>
              <w:pStyle w:val="Normal"/>
              <w:spacing w:lineRule="auto" w:line="288"/>
              <w:rPr>
                <w:b/>
                <w:b/>
                <w:bCs/>
                <w:color w:val="003F2F"/>
              </w:rPr>
            </w:pPr>
            <w:r>
              <w:rPr>
                <w:b/>
                <w:bCs/>
                <w:color w:val="003F2F"/>
              </w:rPr>
              <w:t xml:space="preserve">№ </w:t>
            </w:r>
            <w:r>
              <w:rPr>
                <w:b/>
                <w:bCs/>
                <w:color w:val="003F2F"/>
              </w:rPr>
              <w:t>п/п</w:t>
            </w:r>
          </w:p>
        </w:tc>
        <w:tc>
          <w:tcPr>
            <w:tcW w:w="4933" w:type="dxa"/>
            <w:tcBorders>
              <w:top w:val="single" w:sz="4" w:space="0" w:color="A0A0A0"/>
              <w:bottom w:val="single" w:sz="4" w:space="0" w:color="A0A0A0"/>
              <w:right w:val="single" w:sz="4" w:space="0" w:color="A0A0A0"/>
            </w:tcBorders>
            <w:shd w:color="000000" w:fill="D6E5CB" w:val="clear"/>
          </w:tcPr>
          <w:p>
            <w:pPr>
              <w:pStyle w:val="Normal"/>
              <w:spacing w:lineRule="auto" w:line="288"/>
              <w:ind w:firstLine="567"/>
              <w:rPr>
                <w:b/>
                <w:b/>
                <w:bCs/>
                <w:color w:val="003F2F"/>
              </w:rPr>
            </w:pPr>
            <w:r>
              <w:rPr>
                <w:b/>
                <w:bCs/>
                <w:color w:val="003F2F"/>
              </w:rPr>
              <w:t>Основное средство</w:t>
            </w:r>
          </w:p>
        </w:tc>
        <w:tc>
          <w:tcPr>
            <w:tcW w:w="1701" w:type="dxa"/>
            <w:tcBorders>
              <w:bottom w:val="single" w:sz="4" w:space="0" w:color="A0A0A0"/>
              <w:right w:val="single" w:sz="4" w:space="0" w:color="A0A0A0"/>
            </w:tcBorders>
            <w:shd w:color="000000" w:fill="D6E5CB" w:val="clear"/>
          </w:tcPr>
          <w:p>
            <w:pPr>
              <w:pStyle w:val="Normal"/>
              <w:spacing w:lineRule="auto" w:line="288"/>
              <w:rPr>
                <w:b/>
                <w:b/>
                <w:bCs/>
                <w:color w:val="003F2F"/>
              </w:rPr>
            </w:pPr>
            <w:r>
              <w:rPr>
                <w:b/>
                <w:bCs/>
                <w:color w:val="003F2F"/>
              </w:rPr>
              <w:t>Количество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POLARIS </w:t>
            </w:r>
          </w:p>
        </w:tc>
        <w:tc>
          <w:tcPr>
            <w:tcW w:w="1701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2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</w:t>
            </w:r>
            <w:r>
              <w:rPr>
                <w:rFonts w:eastAsia="Calibri"/>
                <w:lang w:val="en-US"/>
              </w:rPr>
              <w:t>Samsung 09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3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Komatsu 07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3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4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LG09LH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5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CS-12 AR 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6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HITACHI RAS-10LH2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4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7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TCL-12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8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StarWind TAC 18CHSA/Z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9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Venttera VSA-12HRN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10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>Сплит система Elektrolux EACS 07 HS(2)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11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 xml:space="preserve">Сплит-система  </w:t>
            </w:r>
            <w:r>
              <w:rPr>
                <w:rFonts w:eastAsia="Calibri"/>
                <w:lang w:val="en-US"/>
              </w:rPr>
              <w:t>LG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en-US"/>
              </w:rPr>
              <w:t>S</w:t>
            </w:r>
            <w:r>
              <w:rPr>
                <w:rFonts w:eastAsia="Calibri"/>
              </w:rPr>
              <w:t xml:space="preserve"> 09 </w:t>
            </w:r>
            <w:r>
              <w:rPr>
                <w:rFonts w:eastAsia="Calibri"/>
                <w:lang w:val="en-US"/>
              </w:rPr>
              <w:t>LHP</w:t>
            </w:r>
            <w:r>
              <w:rPr>
                <w:rFonts w:eastAsia="Calibri"/>
              </w:rPr>
              <w:t xml:space="preserve"> нео 4 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2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12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rPr>
                <w:rFonts w:eastAsia="Calibri"/>
              </w:rPr>
            </w:pPr>
            <w:r>
              <w:rPr>
                <w:rFonts w:eastAsia="Calibri"/>
              </w:rPr>
              <w:t>Сплит система LG 09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13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lang w:val="en-US"/>
              </w:rPr>
            </w:pPr>
            <w:r>
              <w:rPr>
                <w:rFonts w:eastAsia="Calibri"/>
              </w:rPr>
              <w:t xml:space="preserve">Сплит-система  </w:t>
            </w:r>
            <w:r>
              <w:rPr>
                <w:rFonts w:eastAsia="Calibri"/>
                <w:lang w:val="en-US"/>
              </w:rPr>
              <w:t>Samsung 09</w:t>
            </w:r>
            <w:r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14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 xml:space="preserve">Сплит система </w:t>
            </w:r>
            <w:r>
              <w:rPr>
                <w:lang w:val="en-US"/>
              </w:rPr>
              <w:t>Panasonik</w:t>
            </w:r>
            <w:r>
              <w:rPr/>
              <w:t xml:space="preserve"> </w:t>
            </w:r>
            <w:r>
              <w:rPr>
                <w:lang w:val="en-US"/>
              </w:rPr>
              <w:t>PA</w:t>
            </w:r>
            <w:r>
              <w:rPr/>
              <w:t xml:space="preserve"> 07 </w:t>
            </w:r>
            <w:r>
              <w:rPr>
                <w:lang w:val="en-US"/>
              </w:rPr>
              <w:t>GKD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15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 xml:space="preserve">Сплит система </w:t>
            </w:r>
            <w:r>
              <w:rPr>
                <w:lang w:val="en-US"/>
              </w:rPr>
              <w:t>Venttera</w:t>
            </w:r>
            <w:r>
              <w:rPr/>
              <w:t xml:space="preserve"> </w:t>
            </w:r>
            <w:r>
              <w:rPr>
                <w:lang w:val="en-US"/>
              </w:rPr>
              <w:t>VSA</w:t>
            </w:r>
            <w:r>
              <w:rPr/>
              <w:t>-12</w:t>
            </w:r>
            <w:r>
              <w:rPr>
                <w:lang w:val="en-US"/>
              </w:rPr>
              <w:t>HRN</w:t>
            </w:r>
            <w:r>
              <w:rPr/>
              <w:t xml:space="preserve"> (1)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16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>Сплит-система Kitano 09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17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>Сплит система Elektrolux EACS 07 HS(3)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18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 xml:space="preserve">Сплит система </w:t>
            </w:r>
            <w:r>
              <w:rPr>
                <w:lang w:val="en-US"/>
              </w:rPr>
              <w:t>LG</w:t>
            </w:r>
            <w:r>
              <w:rPr/>
              <w:t xml:space="preserve"> </w:t>
            </w:r>
            <w:r>
              <w:rPr>
                <w:lang w:val="en-US"/>
              </w:rPr>
              <w:t>S</w:t>
            </w:r>
            <w:r>
              <w:rPr/>
              <w:t xml:space="preserve"> 09 </w:t>
            </w:r>
            <w:r>
              <w:rPr>
                <w:lang w:val="en-US"/>
              </w:rPr>
              <w:t>LHP</w:t>
            </w:r>
            <w:r>
              <w:rPr/>
              <w:t xml:space="preserve"> нео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8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19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 xml:space="preserve">Сплит система </w:t>
            </w:r>
            <w:r>
              <w:rPr>
                <w:lang w:val="en-US"/>
              </w:rPr>
              <w:t>Panasonik</w:t>
            </w:r>
            <w:r>
              <w:rPr/>
              <w:t xml:space="preserve"> </w:t>
            </w:r>
            <w:r>
              <w:rPr>
                <w:lang w:val="en-US"/>
              </w:rPr>
              <w:t>PA</w:t>
            </w:r>
            <w:r>
              <w:rPr/>
              <w:t xml:space="preserve"> 07 </w:t>
            </w:r>
            <w:r>
              <w:rPr>
                <w:lang w:val="en-US"/>
              </w:rPr>
              <w:t>GKD</w:t>
            </w:r>
            <w:r>
              <w:rPr/>
              <w:t>(1)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20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 xml:space="preserve">Сплит система </w:t>
            </w:r>
            <w:r>
              <w:rPr>
                <w:lang w:val="en-US"/>
              </w:rPr>
              <w:t>Samsung</w:t>
            </w:r>
            <w:r>
              <w:rPr/>
              <w:t xml:space="preserve"> А</w:t>
            </w:r>
            <w:r>
              <w:rPr>
                <w:lang w:val="en-US"/>
              </w:rPr>
              <w:t>Q</w:t>
            </w:r>
            <w:r>
              <w:rPr/>
              <w:t>9</w:t>
            </w:r>
            <w:r>
              <w:rPr>
                <w:lang w:val="en-US"/>
              </w:rPr>
              <w:t>FAX</w:t>
            </w:r>
            <w:r>
              <w:rPr/>
              <w:t>+А</w:t>
            </w:r>
            <w:r>
              <w:rPr>
                <w:lang w:val="en-US"/>
              </w:rPr>
              <w:t>Q</w:t>
            </w:r>
            <w:r>
              <w:rPr/>
              <w:t>9</w:t>
            </w:r>
            <w:r>
              <w:rPr>
                <w:lang w:val="en-US"/>
              </w:rPr>
              <w:t>FAX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21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lang w:val="en-US"/>
              </w:rPr>
            </w:pPr>
            <w:r>
              <w:rPr>
                <w:lang w:val="en-US"/>
              </w:rPr>
              <w:t>Сплит система "Samsung"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22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>Сплит система LG S 09 LHP нео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4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23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>Сплит система Panasonik PA 07 GKD(2)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24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>Сплит система Samsung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1</w:t>
            </w:r>
          </w:p>
        </w:tc>
      </w:tr>
      <w:tr>
        <w:trPr>
          <w:trHeight w:val="222" w:hRule="atLeast"/>
        </w:trPr>
        <w:tc>
          <w:tcPr>
            <w:tcW w:w="704" w:type="dxa"/>
            <w:tcBorders>
              <w:top w:val="single" w:sz="4" w:space="0" w:color="ACC8BD"/>
              <w:left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43"/>
              <w:jc w:val="center"/>
              <w:outlineLvl w:val="4"/>
              <w:rPr>
                <w:b/>
                <w:b/>
              </w:rPr>
            </w:pPr>
            <w:r>
              <w:rPr/>
              <w:t>25</w:t>
            </w:r>
          </w:p>
        </w:tc>
        <w:tc>
          <w:tcPr>
            <w:tcW w:w="4933" w:type="dxa"/>
            <w:tcBorders>
              <w:top w:val="single" w:sz="4" w:space="0" w:color="ACC8BD"/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outlineLvl w:val="4"/>
              <w:rPr>
                <w:b/>
                <w:b/>
              </w:rPr>
            </w:pPr>
            <w:r>
              <w:rPr/>
              <w:t>Сплит система "Пионер"</w:t>
            </w:r>
          </w:p>
        </w:tc>
        <w:tc>
          <w:tcPr>
            <w:tcW w:w="1701" w:type="dxa"/>
            <w:tcBorders>
              <w:bottom w:val="single" w:sz="4" w:space="0" w:color="ACC8BD"/>
              <w:right w:val="single" w:sz="4" w:space="0" w:color="ACC8BD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0"/>
              </w:numPr>
              <w:spacing w:lineRule="auto" w:line="288"/>
              <w:ind w:firstLine="567"/>
              <w:jc w:val="center"/>
              <w:outlineLvl w:val="4"/>
              <w:rPr>
                <w:b/>
                <w:b/>
              </w:rPr>
            </w:pPr>
            <w:r>
              <w:rPr/>
              <w:t>3</w:t>
            </w:r>
          </w:p>
        </w:tc>
      </w:tr>
    </w:tbl>
    <w:p>
      <w:pPr>
        <w:pStyle w:val="Normal"/>
        <w:jc w:val="right"/>
        <w:rPr>
          <w:b/>
          <w:b/>
        </w:rPr>
      </w:pPr>
      <w:r/>
      <w:r>
        <w:rPr>
          <w:b/>
        </w:rPr>
        <w:t xml:space="preserve">                                                                                       </w:t>
      </w:r>
    </w:p>
    <w:sectPr>
      <w:type w:val="nextPage"/>
      <w:pgSz w:w="11906" w:h="16838"/>
      <w:pgMar w:left="851" w:right="851" w:header="0" w:top="851" w:footer="0" w:bottom="851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  <w:font w:name="PT Sans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5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46a1"/>
    <w:pPr>
      <w:widowControl/>
      <w:suppressAutoHyphens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9746a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Основной текст Знак1"/>
    <w:link w:val="a3"/>
    <w:qFormat/>
    <w:rsid w:val="009746a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d9207b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7">
    <w:name w:val="Body Text"/>
    <w:basedOn w:val="Normal"/>
    <w:link w:val="1"/>
    <w:rsid w:val="009746a1"/>
    <w:pPr>
      <w:spacing w:before="0" w:after="120"/>
      <w:jc w:val="both"/>
    </w:pPr>
    <w:rPr>
      <w:lang w:val="x-none" w:eastAsia="x-none"/>
    </w:rPr>
  </w:style>
  <w:style w:type="paragraph" w:styleId="Style18">
    <w:name w:val="List"/>
    <w:basedOn w:val="Style17"/>
    <w:pPr/>
    <w:rPr>
      <w:rFonts w:ascii="PT Sans" w:hAnsi="PT Sans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ListNumber5">
    <w:name w:val="List Number 5"/>
    <w:basedOn w:val="Normal"/>
    <w:qFormat/>
    <w:rsid w:val="009746a1"/>
    <w:pPr>
      <w:tabs>
        <w:tab w:val="clear" w:pos="708"/>
        <w:tab w:val="left" w:pos="1492" w:leader="none"/>
      </w:tabs>
      <w:spacing w:before="0" w:after="60"/>
      <w:ind w:left="1492" w:hanging="0"/>
      <w:jc w:val="both"/>
    </w:pPr>
    <w:rPr>
      <w:szCs w:val="20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d9207b"/>
    <w:pPr/>
    <w:rPr>
      <w:rFonts w:ascii="Tahoma" w:hAnsi="Tahoma" w:cs="Tahoma"/>
      <w:sz w:val="16"/>
      <w:szCs w:val="16"/>
    </w:rPr>
  </w:style>
  <w:style w:type="paragraph" w:styleId="Style2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Application>LibreOffice/6.4.7.2$Linux_X86_64 LibreOffice_project/155c490457025f32143219b3c36f6c1abf1f2442</Application>
  <Pages>2</Pages>
  <Words>538</Words>
  <Characters>3437</Characters>
  <CharactersWithSpaces>4232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2016-12-26T11:25:00Z</dcterms:created>
  <dc:creator>Пригарин</dc:creator>
  <dc:description/>
  <dc:language>ru-RU</dc:language>
  <cp:lastModifiedBy/>
  <cp:lastPrinted>2026-07-31T06:27:00Z</cp:lastPrinted>
  <dcterms:modified xsi:type="dcterms:W3CDTF">2026-08-04T09:55:20Z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