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tLeas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ПРОЕКТ</w:t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ind w:firstLine="709"/>
        <w:jc w:val="center"/>
        <w:spacing w:after="0" w:line="240" w:lineRule="atLeas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ind w:firstLine="709"/>
        <w:jc w:val="center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ГОСУДАРСТВЕННЫЙ КОНТРАКТ №</w:t>
      </w:r>
      <w:bookmarkStart w:id="0" w:name="undefined"/>
      <w:r>
        <w:rPr>
          <w:rFonts w:ascii="Times New Roman" w:hAnsi="Times New Roman" w:eastAsia="Times New Roman" w:cs="Times New Roman"/>
          <w:sz w:val="22"/>
          <w:szCs w:val="22"/>
        </w:rPr>
      </w:r>
      <w:bookmarkEnd w:id="0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14-ЗС-2026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г. Ростов-на-Дону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  <w:t xml:space="preserve">            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  <w:t xml:space="preserve">   ___ ___________2026 года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120" w:line="24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Южное территориальное управление Федерального агентства железнодорожного транспорта, именуемое в дальнейшем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ру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ководителя Королева Валерия Николаевича, действующего на основании Положения о Южном территориальном управлении Федерального агентства железнодорожного транспорта, утвержденного приказом Федерального агентства железнодорожного транспорта от 18.02.2015 № 50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jc w:val="both"/>
        <w:spacing w:after="0" w:line="240" w:lineRule="atLeas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______________________________________________, 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ru-RU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Cs/>
          <w:color w:val="000000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  <w:highlight w:val="whit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  <w:lang w:eastAsia="ru-RU"/>
        </w:rPr>
        <w:t xml:space="preserve"> действующего на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основании ______________________________________________________, с другой ст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ороны, а вместе именуемые Стороны,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и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протокола подведения итогов закупочной сессии от ______________№ ________________________,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заключили настоящий государственный контракт (далее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Контракт) о нижеследующем: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Основание заключения Контракта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Основанием для заключения настоящего Контракта является протокол подведение итогов / отсутствие ценовых предложений в рамках закупочной сессии от _________№ ___________________, согласно которой Исполнитель признан победителем закуп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очной сессии/единственным участником, объектом закупки которой является оказание услуг  перевозки федеральных государственных служащих автомобильным транспортом для нужд Южного территориального управления Федерального агентства железнодорожного транспорта.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ИКЗ: 261616421875161640100100080000000244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170" w:firstLine="567"/>
        <w:jc w:val="center"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1. Предмет Контракта, порядок и сроки оказания услуг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170" w:firstLine="567"/>
        <w:jc w:val="both"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1.1. Исполнитель обязу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ется оказать услуги перевозки федеральных государственных служащих автомобильным транспортом (далее - Услуги) в соответствии с условиями настоящего Контракта и описанием объекта закупки (Приложение № 1, являющееся неотъемлемой частью настоящего Контракта).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1.2. Услуги оказываются Исполнителем в точном соответствии с условиями настоящего Контракта и описанием объекта закупки (Приложение № 1 к Контракту).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7"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1.3.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обязуется принять Услуги, оказанные Исполнителем в точном соответствии с условиями настоящего Контракта и описанием объекта закупки (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Контракту)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1.4. В течение срока действия настоящего Контракта Стороны не вправе вносить изменения в условия Контракта за исключением случаев, предусмотренных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.5. Услуги по настоящему Контракту оказываются 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1.6. Даты и сроки, указанные в пункте 1.5 настоящего Контракта, являются исходными для взы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скания неустойки в случаях нарушения сроков оказания Услуг.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.7.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Окончание срока действия Контракта не освобождает Стороны от ответственности за его нарушения.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.8. Контра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кт вст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ru-RU"/>
        </w:rPr>
        <w:t xml:space="preserve">упает в силу 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868"/>
        <w:ind w:firstLine="567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.9. Срок исполнения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обязательств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:с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</w:rPr>
        <w:t xml:space="preserve"> момента заключения по 31.12.2026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          1.10. Цель оказания услуг: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обеспечение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федеральными государственными гражданскими служащими Государственного заказчика выездных проверок во исполнение Приказа Федерального агентства железнодорожного транспорта от 13.09.2007 №295 «О те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рритории деятельности территориальных управлений Федерального агентства железнодорожного транспорта», изложив территорию деятельности Южного территориального управления Федерального агентства железнодорожного транспорта согласно Приказу от 18.07.2023 №432.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1.11. Реализации мероприятий, указанных в пункте 1.10 настоящего Контракта осуществляются по следующим маршрутам, которые носят ориентировочный характер и определяются Государственным заказчиком не позднее чем за 2 часа до начала оказания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Услуг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в письменной, так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и в устной форме, в т.ч. и по телефону, в целях разработки Исполнителем наиболее оптимального маршрута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 учетом состояния и проходимости трасс, климатических особенностей региона и протяженности маршрута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0"/>
        <w:gridCol w:w="814"/>
      </w:tblGrid>
      <w:tr>
        <w:trPr/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М. Горького – Котельниково – Тихорецкая – Крымская, в том числе: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Порошинская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4 км;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Развильная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Песчанокопская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Ея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Ровное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Ровное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Порошинская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Протока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Себедахово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Выселки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Козырьки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Бурсак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вкл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 – Выселки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- обход Краснодарского узла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железной дороги;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Полтавская – Протока;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firstLine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участок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Тингута-Абганерово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.).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Симферополь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Керчь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с. Октябрьское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Багерово;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Багерово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перегоне Чистополье – Багерово;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перегоне Чистополье – Багерово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71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71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(проезд для крупногабаритной техники, совмещенный со скотопрогоном на 68 км.);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(проезд для крупногабаритной техники, совмещенный со скотопрогоном на 68 км.)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мост на 67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мост на 67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тоннель на 65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тоннель на 65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62 км. (на 2 пути);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62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Южная (новый парк);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путепровод на 63 км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 2 пути) – 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– Южная (старый парк - ПУОТБ).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bookmarkStart w:id="1" w:name="_Hlk125096736"/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железной дороги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Каменоломни (пос. Каменоломни, ул. Комсомольская, 8)</w:t>
            </w:r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Лихая (г. Каменск-Шахтинский,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мкр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Лиховской, ул. Советская, д.58)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Миллерово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Миллерово, ул. Шолохова, д.6)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Батайск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Батайск, пл. Привокзальная, д.1,2)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Сальск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Сальск, пл. Привокзальная, д.13)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Ростов-Главный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Ростов-на-Дону, пл. Привокзальная, д.1)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Тимашевская (г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имашевск, ул. Шереметьева, д. 26)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Морозовская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Морозовск,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Филонова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д.37)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Тихорецкая (ст. Тихорецкая, ул. Кирова, д.13)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Кавказская (ст. Кавказская, ул. Пожарная, д.1)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Армавир (ст. Армавир-2, ул. Привокзальная)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Белореченская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(ст.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Белореченская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ПЧ-18)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Минеральные Воды (ст. Минеральные Воды, ул. Локомотивная, д. 101)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Прохладная (Кабардино-Балкарская Республика, г.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Прохладный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Боронтова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д. 35а)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Светлоград (ст. Светлоград, ул. Железнодорожная, д. 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Туапсе (ст. Туапсе-Сортировочная, ул. Б. Хмельницкого, д. 86а)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Адлер (ст. Адлер)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Махачкала (Республика Дагестан,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Махачкала, ул. Комарова, 4а)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Кизляр (Республика Дагестан,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Кизляр, ул. Мельничная, 4а)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Крымская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Крымск, пл. Привокзальная, д.29)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Краснодар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Краснодар, пл. Привокзальная, д.11)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Тамань-пасс (станция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Тамань-Пассажирская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Гудермес (Чеченская Республика,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Гудермес,  ул.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Железнодорожная, д.51а)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Приволжской железной дороги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Саратов -2 (ст. Саратов -2, путь № 10)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Нефтяная (ст. Нефтяная, путь № 20Т)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Аткарск (ст. Аткарск, путь № 13)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Сенная (ст. Сенная, путь № 24)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Ершов (ст. Ершов, путь № 46)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Красный Кут (ст. Красный Кут)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им. М. Горького (ст. им. М. Горького)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Петров Вал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Камышинский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Петров Вал, ст. Петров Вал)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Татьянка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Волгоград)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Арчеда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Фролово, ул. Заводская)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Котельниково (Волгоградская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Котельниково, ул. Серафимовича, д. 10)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Верхний Баскунчак (Астраханская область, п. Верхний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Баскунак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Мира, д. 4)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Аксарайская-2 (Астраханская область, Красноярский район, пос. Аксарайский, ст. Аксарайская-2)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Астрахань-2 (Астраханская область,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Астрахань, ст. Астрахань-2)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ФГУП «Крымская железная дорога» – филиал ОАО «РЖД»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Айвазовская (ст. Айвазовская, ул. Керченское шоссе, 27/З)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Джанкой (ст. Джанкой, 9 путь северного парка прибытия)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Симферополь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.С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имферополь-Грузовой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ул. Внешняя, 31)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Керчь (ст.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Керчь-Южная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путь № 3)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hanging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ЛНР «Луганская железная дорога»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Антрацит;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Кондрашевская-Новая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Должанская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Луганск;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Луганск-Лиски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Старобельск;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Стаханов;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Кременное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Лисичанск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Лутугино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Попасная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Родаково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ДНР "Донецкая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Амвросиевка;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Донецк;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Енакиево;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Иловайск;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Кутейниково;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Макеевка;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Мариуполь;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Мариуполь-порт;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Мариуполь-сортировочный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Мушкетово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;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Сартана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Харцызск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Дебальцево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ГУП "Херсонская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Братолюбовка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Брилевка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Вадим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Заветная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Каланчак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Каховка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Олешки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Раденское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Серогозы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34"/>
              <w:jc w:val="both"/>
              <w:spacing w:after="0" w:line="2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Ростов-на-Дону – ж/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 станция ГП "Мелитопольская железная дорога" – Ростов-на-Дону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Акимовка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Бердянск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Геническ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Днепрорудная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Камыш-Заря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Мелитополь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Новоалексеевка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Нововеселая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Партизаны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Пологи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Сокологорное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8540" w:type="dxa"/>
            <w:textDirection w:val="lrTb"/>
            <w:noWrap w:val="false"/>
          </w:tcPr>
          <w:p>
            <w:pPr>
              <w:ind w:left="604"/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станция Федоровка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814" w:type="dxa"/>
            <w:textDirection w:val="lrTb"/>
            <w:noWrap w:val="false"/>
          </w:tcPr>
          <w:p>
            <w:pPr>
              <w:jc w:val="both"/>
              <w:spacing w:after="0" w:line="2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1.12.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Иные маршруты движения определяются с учетом содержания поручений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руководства государственных органов исполнительной власти Российской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Федерации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в рамка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х осуществления возложенных на Государственного заказчика функций по отношению ко всем владельцам инфраструктуры железнодорожного транспорта общего пользования, перевозчикам, операторам железнодорожного подвижного состава, владельцам железнодорожных путей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необщего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пользования и иным юридическим и физическим лицам, осуществляющим свою деятельность в сфере железнодорожного транспорта, и предоставляются Исполнителю не позднее чем за 2 часа до начала оказания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Услуг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в письменной, так и в устной форме, в т.ч. и по телефону, в целях разработки Исполнителем наиболее оптимального маршрута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 учетом состояния и проходимости трасс, климатических особенностей региона и протяженности маршрута: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Ростовской области за пределами территории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 на расстояние до 50 километров включительно, измеряемое от границы территории г. Ростов-на-Дону;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Ростовской области за пределами территории городского округа Ростов-на-Дону на расстояние более 50 километров, измеряемое от границы территории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. Ростова-на-Дону;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Южного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Северо-Кавказского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Федеральных округов измеряемое от границы территории Ростовской области;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в пределах иных Федеральных округов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измеряемое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от границы Южного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Северо-Кавказского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 Федеральных округов, в т.ч. Центрального федерального округа, Северо-Западного федерального округа, Приволжского федерального округа, Уральского федерального округа.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 пределах Республики Крым и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. Севастополь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5"/>
        </w:numPr>
        <w:contextualSpacing/>
        <w:ind w:left="0" w:firstLine="284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 пределах Херсонской области, Запорожской области, Донецкой Народной Республики, Луганской Народной Республики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требованию Государственного заказчика на основании графика выездов государственных служащих к месту их командирования в целях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документирован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ного отражения основных сведений планируемого маршрута движения автотранспортного средства Исполнитель составляет схему маршрута, включая информацию о его протяженности на основании сверки с Атласом дорог, времени прибытия к промежуточные пункты маршрута,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представленную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в том числе в табличном виде по примерной форме согласно Приложению №2 описания объекта закупки, с указанием линейных и дорожных сооружений, других ориентиров маршрута, необходимых для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лиц, осуществляющих управление транспортным средством (далее - водитель).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Схема маршрута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движения предоставляется Государственному заказчику в письменном виде не позднее 2-х дней до момента начала планируемого выезда, заверяется подписью лица, уполномоченного действовать от имени Исполнителя, и скрепляется печатью Исполнителя (при ее наличии).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1.13.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Выезды федеральных государственных гражданских служащих Государственног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заказчика носят регулярный, плановый и внеплановый характер, что исключает возможность точного прогнозирования их дальности и направления и обязывает Исполнителя организовать замену лица, управляющего автомобилем, в целях обеспечения требований пункта 6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Особенностей режима рабочего времени и времени отдыха, условий труда водителей автомобилей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утвержденного п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риказом Министерства транспорта РФ от 16 октября 2020 г. N 424 "Об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утверждении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Особенностей режима рабочего времени и времени отдыха, условий труда водителей автомобилей"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. При замене лица, управляющего автомобилем, расходы по его прибытию к месту замены и/или его убытию от места замены, а также 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асходы по обеспечению проживания лиц, осуществляющих управление автомобилем, по месту оказания Услуг вне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. Ростова-на-Дону несет Исполнитель.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требованию Государственного заказчика на основании графика выездов государственных служащих к месту их командирования в целях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документированного отражения основных сведений планируемого маршрута движения автотранспортного средства Исполнитель составляет и предоставляет наделяющим образом заверенный график сменности по примерной форме согласно Приложению к Приложению 1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Контракта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а также копии путевых листов.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1.14. Услуги по настоящему контракту осуществляются в следующем порядке и сроки: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0" w:type="auto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50"/>
        <w:gridCol w:w="1277"/>
        <w:gridCol w:w="7365"/>
      </w:tblGrid>
      <w:tr>
        <w:trPr/>
        <w:tc>
          <w:tcPr>
            <w:shd w:val="clear" w:color="auto" w:fill="auto"/>
            <w:tcBorders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1.14.1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Услуги по перевозке в связи с участием руководящего состава в координационных и оперативных совещаниях, проводимых как в пределах территории деятельности, закрепленной за Государственным заказчиком (по месту нахождения Приволжской,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Северо-кавказской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и Крымской железных дорог, на территории Херсонской области, Запорожской области, Донецкой Народной Республики, Луганской Народной Республики), так и по месту расположения Центрального аппарата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(г. Москва), а также иных территориальных управлений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Центральное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- г. Москва; Северо-Западное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Санкт-Петербург; Приволжское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Нижний Новгород; Сибирское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Новосибирск; Уральское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Екатеринбург;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Дальне-Восточное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ТУ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Росжелдора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 – г. Хабаровск)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zh-CN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автомобиле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Автомобиль подается по заявке к месту расположения Государственного заказчика (г.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53А и/или г. Ростов-на-Дону, ул. Максима Горького, 113, учебный корпус, лит.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проведения совещания / в г. Ростов-на-Дону с места проведения совещания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автомобиль подается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по заявке к месту размещения представителей Государственного заказчика в соответствующем населенном пункте с учетом обеспечения своевременного прибытия/убытия к месту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/с места проведения совещания.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1.14.2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Услуги по перевозке руководящего состава и федеральных государственных гражданских служащих ведущей группы должностей государственного заказчика в связи с исполнением Приказа Федерального агентства железнодорожного транспорта от 13.09.2007 №295 «О т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ерритории деятельности территориальных управлений Федерального агентства железнодорожного транспорта», изложив территорию деятельности Южного территориального управления Федерального агентства железнодорожного транспорта согласно Приказу от 18.07.2023 №432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 федеральных государственных гражданских служащих ведущей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транспортном средстве (автомобиле)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транспортное средство (автомобиль) подается по заявке к месту расположения государственного заказчика (г.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, 53А и/или г. Ростов-на-Дону, ул. Максима Горького, 113, учебный корпус, лит.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 федеральных государственных гражданских служащих ведущей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реализации мероприятий Инвестиционных проектов/ в г. Ростов-на-Дону с места реализации мероприятий Инвестиционных проектов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contextualSpacing/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- транспортное средство (автомобиль) подается по заявке к месту размещения представителей Государственного заказчика в соответствующем населенном пункте с учетом возможности своевременного прибытия/возвращения к месту/ с места проведения мероприятий.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zh-CN"/>
              </w:rPr>
              <w:t xml:space="preserve">1.14.3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6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Услуги по перевозке комиссий из числа руководящего состава и феде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ральных государственных гражданских служащих государственного заказчика из числа главной, ведущей и обеспечивающей группы должностей в связи с рассмотрением обращений и жалоб граждан и организаций на действия (бездействия) должностных лиц подведомственных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Росжелдору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 федеральных государственных предприятий и федеральных государственных учреждений, в том числе и по поручениям Президента Российской Федерации, руководства государственных органов исполнительной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zh-CN"/>
              </w:rPr>
              <w:t xml:space="preserve"> власти Российской Федерации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zh-CN"/>
              </w:rPr>
              <w:t xml:space="preserve">Место и время предоставления автомобиля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tcW w:w="7365" w:type="dxa"/>
            <w:textDirection w:val="lrTb"/>
            <w:noWrap w:val="false"/>
          </w:tcPr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А. При условии убытия руководящего состава и федеральных государственных гражданских служащих главной, ведущей и обеспечивающей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и возвращения в г. Ростов-на-Дону на транспортном средстве (автомобиле) исполнителя: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транспортное средство (автомобиль) подается по заявке к месту расположения государственного заказчика 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 Ростов - на – Дону, 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, 53А) с учетом обеспечения своевременного прибытия по месту прибытия в промежуточный и/или конечный пункт назначения.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647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Б. При условии убытия/возвращения руководящего состава и федеральных государственных гражданских служащих главной, ведущей и обеспечивающей группы должностей государственного заказчика из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. Ростова-на-Дону к месту осуществления полномочий /в г. Ростов-на-Дону от места осуществления полномочий на общественном транспорте: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500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транспортное средство (автомобиль) подается по заявке к месту рассмотрения обращений и жалоб в соответствующем населенном пункте с учетом возможности своевременного прибытия/возвращения к месту/ с места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single"/>
                <w:lang w:eastAsia="zh-CN"/>
              </w:rPr>
              <w:t xml:space="preserve">осуществления полномочий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zh-CN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1.15. Приоритетные характеристики качества автотранспортных Услуг: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безопасность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Услуг для жизни, здоровья и имущества;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надежность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обслуживания, определяющая совокупность характеристик исполнителя автотранспортных Услуг, обусловливающая их предоставление в заданных объемах и качестве в течение установленного времени;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своевременность,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характеристика автотранспортной Услуги, обусловливающая перевозку в соответствии с условиями Контракта или другими установленными требованиями по времени движения транспортного средства;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1"/>
        </w:numPr>
        <w:contextualSpacing/>
        <w:ind w:left="142" w:firstLine="425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lang w:eastAsia="en-US"/>
        </w:rPr>
        <w:t xml:space="preserve">комфортность,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как совокупность характеристик транспортных Услуг, обусловливающих создание необходимых условий обслуживания и удобства пребывания на транспортном средстве, в начальных, транзитных и конечных пунктах в соответствии с установленными нормами и требованиями.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1.16. Автотранспортные Услуги для обеспечения деятельности Государственного заказчика должны соответствовать положениям, определенным в следующих нормативных правовых актах и документах: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Гражданском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кодексе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Российской Федерации (в части, касающейся аренды транспортных средств с предоставлением Услуг по управлению и технической эксплуатации, а также возмездного оказания Услуг);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Федеральном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законе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от 10.12.1995 № 196-ФЗ «О безопасности дорожного движения» (статья 20);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Федеральном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законе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от 08.11.2007 № 259-ФЗ «Устав автомобильного транспорта и городского наземного электрического транспорта» (статья 6);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Постановлении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Правительства РФ от 23.10.1993 N 1090 «О Правилах дорожного движения»;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ГОСТ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51006-96 (Услуги транспортные.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Термины и определения);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ГОСТ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33997-2016 (Международный стандарт.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«Колесные транспортные средства. Требования к безопасности в эксплуатации и методы проверки»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),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Приказе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Министерства транспорта РФ от 16 октября 2020 г. N 424 «Об утверждении Особенностей режима рабочего времени и времени отдыха, условий труда водителей автомобилей»;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Приказе Министерства транспорта РФ от 28 сентября 2022 г. N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 390 "Об утверждении состава сведений, указанных в части 3 статьи 6 Федерального закона от 8 ноября 2007 г. «259-ФЗ «Устав автомобильного транспорта и городского наземного электрического транспорта», и порядка оформления или формирования путевого листа»";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 Министерства здравоохранения РФ от 24.11.2021 № 1092н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«Об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наличии (об отсутствии) у водителей транспортных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а также о признании утратившими силу отдельных приказов Министерства здравоохранения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Российской Федерации»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Приказе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Министерства здравоохранения Российской Федерации от 30 мая 2023 г. №266н «Об утверждении порядка и периодичности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предсменных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послесменных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послерейсовых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медицинских осмотров, медицинских осмотров в течение рабочего дня (смены) и перечня включаемых в них исследований»;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иных нормативных правовых актах и документах, регулирующих правоотношения в сфере транспорта.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aps/>
          <w:sz w:val="22"/>
          <w:szCs w:val="22"/>
          <w:lang w:eastAsia="ru-RU"/>
        </w:rPr>
        <w:t xml:space="preserve">1.17.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zh-CN"/>
        </w:rPr>
        <w:t xml:space="preserve">По требованию Государственного заказчика Исполнитель не позднее дня следующего за днем заключения настоящего Контракта Исполнитель предоставляет следующие </w:t>
      </w:r>
      <w:r>
        <w:rPr>
          <w:rFonts w:ascii="Times New Roman" w:hAnsi="Times New Roman" w:eastAsia="Times New Roman" w:cs="Times New Roman"/>
          <w:bCs/>
          <w:iCs/>
          <w:sz w:val="22"/>
          <w:szCs w:val="22"/>
          <w:lang w:eastAsia="zh-CN"/>
        </w:rPr>
        <w:t xml:space="preserve">документы и информацию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zh-CN"/>
        </w:rPr>
        <w:t xml:space="preserve"> (предоставляемые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копии заверяются личной подписью лица, уполномоченного на подписание настоящего государственного контракта и скрепляются печатью (при ее наличии):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1) в отношении лиц, допускаемых к управлению транспортным средством: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наличии), общий стаж вождения в данной к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атегории транспортного средства, стаж работы у Исполнителя, стаж работы на транспортном средстве, подлежащем эксплуатации, а также сведения о других водителях, которые при необходимости замены основного водителя, будут осуществлять управление автомобилем;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допуск на объекты железнодорожной инфраструктуры ОАО «РЖД» и ФГУП «КЖД», имеющие статус объектов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или отсутствие у водителя административных правонарушений в области дорожного движения и трудовой дисциплины в течение года, предшествовавшего заключению настоящего контракта, наличие или отсутствие взысканий у данного водителя в течение года;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об организации повышения квалификации и профессионального мастерства водителя, соблюдение условий стажировки водителя;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прохождении водителем обязательных предварительных и периодических медицинских осмотров водителей;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 прохождении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обязательного медицинского освидетельствования водителей транспортных средств.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2) в отношении автомобиля: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марка и модель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государственный регистрационный знак, расположение рулевого управления на автомобиле;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диагностической карты, подтверждающей прохождение технического осмотра автомобиля на станциях технического обслуживания официального дилера производителя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приказ (иной распорядительный акт Исполнителя) по организации технического обслуживания и ремонта автомобиля, включая: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периодичность технического обслуживания автомобиля и сроки проведения последнего технического обслуживания транспортного средства, а также лицо, ответственное за его проведение;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соблюдение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межсервисного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пробега;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наличие и перечень неисправностей, обнаруженных при техническом обслуживании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допуск на объекты железнодорожной инфраструктуры ОАО «РЖД» и ФГУП «КЖД», имеющие статус объектов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/>
          <w:sz w:val="22"/>
          <w:szCs w:val="22"/>
          <w:u w:val="single"/>
          <w:lang w:eastAsia="zh-CN"/>
        </w:rPr>
        <w:t xml:space="preserve">3) в отношении Исполнителя: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контроль технического состояния транспортного средства, соответствие указанного лица квалификационным и профессиональным требованиям, соблюдение условий и порядка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контроля технического состояния транспортного средства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контроля на договорной основе с лицом, имеющим право осуществлять указанный вид деятельности, - договор, контракт);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инструктаж водителей, соответствие указанного лица квалификаци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онным и профессиональным требованиям, соблюдение требований к проведению инструктажа в соответствии с действующим законодательством Российской Федерации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инструктажей на договорной основе с лицом, имеющим право осуществлять указанный вид деятельности, - договор, контракт);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фамилия, имя, отчество (при наличии) лица, осуществлявшего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предрейсовый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медицинский осмотр, соответствие указанного лица квалификационным и профессиональным требованиям, соблюдение условий и порядка проведения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медицинского осмотра (при отсутствии такого лица в штате Исполнителя представляется документ (оригинал для обозрения, копия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оригинала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заверенная Исполнителем передается Государственному заказчику), подтверждающий организацию соответствующего осмотра на договорной основе с лицом, имеющим право осуществлять указанный вид деятельности, - договор, контракт).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Cs/>
          <w:caps/>
          <w:sz w:val="22"/>
          <w:szCs w:val="22"/>
        </w:rPr>
      </w:r>
      <w:r>
        <w:rPr>
          <w:rFonts w:ascii="Times New Roman" w:hAnsi="Times New Roman" w:cs="Times New Roman"/>
          <w:bCs/>
          <w:caps/>
          <w:sz w:val="22"/>
          <w:szCs w:val="22"/>
        </w:rPr>
      </w:r>
    </w:p>
    <w:p>
      <w:pPr>
        <w:ind w:firstLine="567"/>
        <w:jc w:val="center"/>
        <w:keepLines/>
        <w:spacing w:after="0" w:line="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2. Цена и порядок расчета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keepLines/>
        <w:spacing w:after="0" w:line="0" w:lineRule="atLeas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2.1. Максимальная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цена Контракта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составляет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___________,____ рублей (_______________________ руб.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_____коп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), НДС/ НДС не предусмотрен,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 учетом стоимости оказания Услуг, всех расходов на оказание Услуг, а также всех предусмотренных действующим законодательством Российской Федерации налогов и других обязательных платежей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2" w:name="_Hlk430739"/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Сумма, подлежащая уплате Государственным заказчиком Исполнителю, уменьшается на размер налогов, сборов и иных обязат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 и иные обязательные платежи подлежат уплате в бюджеты бюджетной системы РФ Государственным заказчиком.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29" w:firstLine="567"/>
        <w:jc w:val="both"/>
        <w:spacing w:after="0" w:line="240" w:lineRule="auto"/>
        <w:shd w:val="clear" w:color="auto" w:fill="ffffff"/>
        <w:widowControl w:val="off"/>
        <w:tabs>
          <w:tab w:val="left" w:pos="1181" w:leader="none"/>
        </w:tabs>
        <w:rPr>
          <w:rFonts w:ascii="Times New Roman" w:hAnsi="Times New Roman" w:cs="Times New Roman"/>
          <w:spacing w:val="-6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В случае если у Исполнителя,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работающего по упрощенной системе налогообложения, в течение срока действия Контракта возникнет обязанность по уплате налога на добавленную стоимость, то Стороны определили, что расходы, связанные с компенсацией НДС по Контракту, включены в цену Контракта.</w:t>
      </w:r>
      <w:bookmarkEnd w:id="2"/>
      <w:r>
        <w:rPr>
          <w:rFonts w:ascii="Times New Roman" w:hAnsi="Times New Roman" w:cs="Times New Roman"/>
          <w:spacing w:val="-6"/>
          <w:sz w:val="22"/>
          <w:szCs w:val="22"/>
        </w:rPr>
      </w:r>
      <w:r>
        <w:rPr>
          <w:rFonts w:ascii="Times New Roman" w:hAnsi="Times New Roman" w:cs="Times New Roman"/>
          <w:spacing w:val="-6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.2.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Оплата услуг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по Контракту 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производится на основании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счета на оплату и/или акта приемки оказанных услуг или иных необходимых документов,</w:t>
      </w:r>
      <w:r>
        <w:rPr>
          <w:rFonts w:ascii="Times New Roman" w:hAnsi="Times New Roman" w:eastAsia="Times New Roman" w:cs="Times New Roman"/>
          <w:bCs/>
          <w:color w:val="000000" w:themeColor="text1"/>
          <w:spacing w:val="-6"/>
          <w:sz w:val="22"/>
          <w:szCs w:val="22"/>
          <w:highlight w:val="white"/>
        </w:rPr>
        <w:t xml:space="preserve"> путем безналичного перечисления денежных средств на расчетный счет Исполнителя после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приемки оказанной услуги, предусмотренной Контрактом, включая проведение экспертизы оказанной услуги.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bookmarkStart w:id="4" w:name="_Hlk31901507"/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2.3. </w:t>
      </w:r>
      <w:bookmarkEnd w:id="4"/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Оплата осуществляется Государственным заказчико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м путем перечисления денежных средств на расчетный счет Исполнителя в течение 10 рабочих дней со дня подписания Государственным заказчиком документа о приемке при наличии на его лицевом счете соответствующих предельных объемов оплаты денежных обязательств.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Датой оплаты считается дата списания денежных сре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дств с л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ицевого счета Государственного заказчика.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2.4. 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Цена К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онтракт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а является твердой,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определяется на весь срок исполнения Контракта</w:t>
      </w:r>
      <w:r>
        <w:rPr>
          <w:rFonts w:ascii="Times New Roman" w:hAnsi="Times New Roman" w:eastAsia="Times New Roman" w:cs="Times New Roman"/>
          <w:iCs/>
          <w:color w:val="000000"/>
          <w:sz w:val="22"/>
          <w:szCs w:val="22"/>
        </w:rPr>
        <w:t xml:space="preserve">, не может изменяться в ходе его исполнения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включает в себя: все расходы по оказанию Услуг, прибыль, налоги, пошлины, расходы на страхование и другие обязательные платежи Исполнителя, а также иные расходы, которые могут возникнуть у Исполнителя при выполнении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2.5. Обязательство Государственного заказчика по оплате Услуг считается полностью исполненным в момент списания денежных сре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дств с л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ицевого счета Государственного заказчика.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left="57" w:right="57" w:firstLine="65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2.6. Банковское сопровождение Контракта не осуществляется.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2.7.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Источник финансирования: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федеральный бюджет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Платежи по Контракту осуществляются в российских рублях.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2.8.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Тарифы на Услуги по маршруту: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2"/>
        </w:numPr>
        <w:contextualSpacing/>
        <w:ind w:left="1560" w:hanging="49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вызов и подача автомобиля – бесплатно;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0"/>
          <w:numId w:val="12"/>
        </w:numPr>
        <w:contextualSpacing/>
        <w:ind w:left="1560" w:hanging="491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стоимость 1 ч. пробега автомобиля определяется в соответствии со спецификацией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center"/>
        <w:spacing w:after="0" w:line="0" w:lineRule="atLeast"/>
        <w:tabs>
          <w:tab w:val="left" w:pos="851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 Права и обязанности Сторон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firstLine="567"/>
        <w:jc w:val="both"/>
        <w:keepLines/>
        <w:spacing w:after="0" w:line="0" w:lineRule="atLeas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ap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  <w:r>
        <w:rPr>
          <w:rFonts w:ascii="Times New Roman" w:hAnsi="Times New Roman" w:cs="Times New Roman"/>
          <w:b/>
          <w:caps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3.1. Государственный заказчик имеет право: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3.1.1. Осуществить выборочную проверку оказанных Услуг, не вмешиваясь в оперативно-хозяйственную деятельность Исполнителя.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3.1.2.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3.1.3.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п.4.1.2 настоящего Контракта.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3.2. Государственный заказчик обязан: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3.2.1. В порядке и в срок, установленный настоящим Контрактом,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оплатить стоимость Услуг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по настоящему Контракту, при условии их соответствия требованиям Контракта и описания объекта закупки (Приложение № 1к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3.2.2. Предоставить Исполнителю сведения, необходимые для надлежащего оказания Исполнителем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-3780" w:leader="none"/>
          <w:tab w:val="left" w:pos="-3119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3.3. Исполнитель вправе: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3.3.1. Требовать оплаты в случае надлежащего исполнения обязательств по настоящему Контракту.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3.3.2. В случае нарушения своих обязательств по настоящему Контракту, осуществить сверку расчетов с участием Сторон настоящего Контракта. По результатам проверки подписать итоговый акт сверки расчетов.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3.3.3. Принять решение об одностороннем отказе от исполнения Контракта по основаниям, предусмотренным Гражданским кодексом Российской Федерации, Федеральным законом 44-ФЗ.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90" w:leader="none"/>
          <w:tab w:val="left" w:pos="540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3.4. Исполнитель обязан: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3.4.1. Оказывать Услуги в полном объеме и в сроки, установленные условиями настоящего Контракта, описанием объекта закупки (Приложение № 1к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3.4.2. В течение 1 (одного) календарного дня информировать Государственного заказчика об обстоятельствах, препятствующих исполнению обязательств по настоящему Контракту.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3.4.3. Предоставлять по запросу Государственного заказчика информацию в части оказываемых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3.4.4. Безвозмездно исправлять все выявленные недостатки, ухудшившие качество Услуг, допущенные в результате отступлений от условий настоящего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3.4.5.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При исполнении настоящего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предоставить для управления автомобилем и его технической эксплуатации квалифицированный экипаж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zh-CN"/>
        </w:rPr>
        <w:t xml:space="preserve">и обеспечить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 соблюдение установленного законодательством Российской Федерации режима труда и отдыха лиц, осуществляющих управление автомобилем, согласовав график и сменность их работы с учетом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рабочего плана-графика выездов Государственного заказчика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автомобилем,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должно обладать опыт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ом вождения не 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автомобилем,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должно обладать опыт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ом вождения не 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подачу и прибытие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автомобиля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по времени и адресу, указанным Государственным заказчиком (его представителем);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соблюдение установленного законодательством Российской Федерации режима труда и отдыха лиц, осуществляющих управление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zh-CN"/>
        </w:rPr>
        <w:t xml:space="preserve">автомобилем;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создание условий для прохождения медицинского освидетельствования, инструктажа, стажировки, обучения и проверки знаний по безопасности труда и безопасности дорожного движения, лиц, осуществляющих управление автомобилем;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мероприятий по совершенствованию лиц, осуществляющих управление автомобилем, навыков оказания первой помощи пострадавшим в дорожно-транспортных происшествиях;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соответствие технического состояния автомобиля требованиям безопасности дорожного движения и требованиям предприятия-изготовителя;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 в исправном состоянии и соответствующего установленным для него техническим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требованиям, с соблюдением норм технического обслуживания, текущего ремонта, своевременного прохождения технического осмотра с оформлением всех установленных документов, своевременной сезонной заменой автопокрышек;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перевозку автомобилем технически исправным, с отсутствием внешних повреждений, дефектов лакокрасочного покрытия и не участвовавшим в ДТП;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автомобиля, не имеющего определяющих знаков такси, рекламных надписей, фирменных логотипов и названия Исполнителя;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ежедневного контроля технического состояния транспортного средства перед выездом для оказания Услуг (прохождение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предрейсового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технического осмотра автомобиля);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укомплектование автомобиля горюче-смазочными материалами, средствами пожаротушения, медицинскими аптечками, заводск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им комплектом инструментов для возможности оперативной замены колеса (домкрат, баллонный ключ и другие необходимые инструменты) и другим дополнительным оборудованием (в том числе, знаком аварийной остановки, запасным колесом), необходимым для эксплуатации;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автомобиля с отсутствием запаха горюче-смазочных материалов в салоне;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регулярное техническое обслуживание автомобиля на сервисных станциях официального дилера;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на весь срок оказания Услуг за счет своих средств и своевременно получение полиса ОСАГО, а также страхование лиц, осуществляющих управление автомобилем от несчастных случаев на транспорте;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своими силами или за свой счет эвакуацию автомобиля с места поломки или места дорожно-транспортного происшествия;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поддержание автомобиля в надлежащем санитарном состоянии (ежедневная мойка кузова и ежедневная чистка салона, а также полировка кузова (при необходимости));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опрятный внешний вид лиц, осуществляющих управление автомобилем (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летнее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время-брюки, рубашка, в остальное время-костюм, рубашка, верхняя одежда и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обувь-в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соответствии с сезоном);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уважительное отношение лиц, осуществляющих управление автомобилем, к представителям Государственного заказчика и (или) пассажирам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круглосуточное диспетчерское обслуживание автомобиля, с осуществлением записи телефонных переговоров (и их хранения не менее 3х месяцев) для решения спорных вопросов;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предоставление и бесперебойное функционирование радиотелефонной связи с членами экипажа автомобиля;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выбор оптимального маршрута следования автомобиля до пункта назначения, определяемого Государственным заказчиком, с учетом особенностей организации дорожного движения в соответствующей местности;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за счет собственных сре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дств пр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оезд по платным автомобильным дорогам и (или) автомобильным дорогам, содержащим платные участки.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проведение мероприятий по обращению с отходами производства, образующимися при оказании Услуг;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вы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езд представителя на место дорожно-транспортного происшествия и участия 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здоровью, имуществу пассажиров);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-обеспечить в течение 1 (одного часа) замену автомобиля, прекратившего перевозку по различным причинам автомобилем аналогичного класса.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567"/>
        <w:jc w:val="both"/>
        <w:spacing w:after="0" w:line="240" w:lineRule="auto"/>
        <w:widowControl w:val="off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4. Прием-передача оказанных Услуг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highlight w:val="none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4.1. Оказание Услуг осуществляется непрерывно по Заявкам Заказчика в течение всего срока, указанного в пункте 1.5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4.2. Приемка фактически оказанных Услуг осуществляется Заказчиком </w:t>
      </w:r>
      <w:r>
        <w:rPr>
          <w:rStyle w:val="926"/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highlight w:val="white"/>
        </w:rPr>
        <w:t xml:space="preserve">по факту выполнения каждой отдельной Заявки (рейса) либо по итогам накопленного объема оказанных услуг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 на основании предоставленных Исполнителем документов на бумажном носителе.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4.3. Для подтверждения объема и факта оказания Услуг Исполнитель вправе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предоставлять Заказчику закрывающие документы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 по мере фактического выполнения перевозок (но не чаще 2 (двух) раз в календарный месяц и не позднее 5 (пяти) числа месяца, следующего за месяцем оказания услуг).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4.4. Для проведения приемки фактически оказанного объема Услуг Исполнитель представляет Заказчику на бумажном носителе следующие документы в 2 (двух) экземплярах: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Акт об оказании услуг (на фактически выполненный объем), подписанный со стороны Исполнителя;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Реестр выполненных поездок за принимаемый период;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Копии путевых листов с отметками ответственных лиц Заказчика;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numPr>
          <w:ilvl w:val="0"/>
          <w:numId w:val="17"/>
        </w:numPr>
        <w:ind w:left="0"/>
        <w:jc w:val="both"/>
        <w:spacing w:after="0" w:line="240" w:lineRule="auto"/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Style w:val="934"/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Счет на оплату.</w:t>
      </w:r>
      <w:r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Style w:val="934"/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4.5. Заказчик в течение 3 (трех) рабочих дней со дня получения документов, указанных в пункте 4.4 Контракт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а, осуществляет проверку объема, качества оказанных Услуг и соответствия тарифам Спецификации (Приложение № 2). По результатам проверки Заказчик подписывает бумажный Акт об оказании услуг либо направляет Исполнителю мотивированный отказ в письменной форме.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4.6. Подписание Акта об оказании услуг со стороны Заказчика подтверждает проведение экспертизы результатов Контракта своими силами, предусмотренной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. 4 ст. 94 Закона № 44-ФЗ, и является основанием для оплаты фактически принятого объема Услуг.</w:t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5. Ответственность Сторон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Правила определения размера штрафа определены в соответствии с Правилами определения размера штрафа, начисляемого в случае ненадлежащего исполне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Правительства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 РФ от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08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2017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 N </w:t>
      </w:r>
      <w:r>
        <w:rPr>
          <w:rFonts w:ascii="Times New Roman" w:hAnsi="Times New Roman" w:eastAsia="Times New Roman" w:cs="Times New Roman"/>
          <w:iCs/>
          <w:sz w:val="22"/>
          <w:szCs w:val="22"/>
          <w:lang w:eastAsia="ru-RU"/>
        </w:rPr>
        <w:t xml:space="preserve">1042</w:t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  <w:lang w:eastAsia="ru-RU"/>
        </w:rPr>
        <w:t xml:space="preserve">. 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требование об уплате неустоек (штрафов, пеней).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5.3.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 каждый или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факт неисполнения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Исполнителем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обязательств, предусмотренных Контрактом, в связи с заключением настоящего Контракта в соответствии с пунктом 1 части 1 статьи 30Федер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 тыс. рублей.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составляет 1000,00 рублей (Одна тысяча руб. 00 коп.).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lang w:eastAsia="ru-RU"/>
        </w:rPr>
        <w:t xml:space="preserve">Общая сумма начисленных штрафов за неисполнение или 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5.4.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Пеня начисляется за каждый день просрочки исполнения Исполнителем обязательс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10" w:tooltip="garantF1://10080094.100" w:history="1">
        <w:r>
          <w:rPr>
            <w:rFonts w:ascii="Times New Roman" w:hAnsi="Times New Roman" w:eastAsia="Times New Roman" w:cs="Times New Roman"/>
            <w:color w:val="000000"/>
            <w:sz w:val="22"/>
            <w:szCs w:val="22"/>
            <w:lang w:eastAsia="ru-RU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Государственный заказчик при окончательном расчете вычитает пеню, предусмотренную настоящим пунктом, путем уменьшения суммы окончательного расчета на сумму пеней, рассчитанных в соответствии с настоящим пунктом.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3" w:leader="none"/>
          <w:tab w:val="left" w:pos="-2692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Основанием для вычета является Акт о приемке товаров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, работ, Услуг, содержащий сведения об исполнении обязательств по государственному Контракту Исполнителем и о принятых результатах исполнения государственного Контракта, включая сумму неустойки (пеней, штрафов), подписанный Сторонами настоящего Контракта.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5.5. В случае просрочки исполнения Государственным зак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заказчиком, предусмотренных настоящим Контрактом,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Пеня начисляется за каждый день просрочки исполнения обязательства, предусмотренного настоящим Контрактом, начиная со дня, следующего после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5.6.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1000,00 (Одна тысяча) рублей 00 копеек.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5.7.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-2835" w:leader="none"/>
          <w:tab w:val="left" w:pos="-2694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5.8. Уплата пени и возмещение убытков, связанных с неисполнением или ненадлежащим исполнением Сторонами своих обязательств по настоящему Контракту, не освобождают нарушившую условия Контракта Сторону от выполнения принятых обязательств.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-1" w:firstLine="567"/>
        <w:jc w:val="both"/>
        <w:spacing w:after="0" w:line="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708" w:right="57" w:firstLine="708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6. Обстоятельства непреодолимой силы и конфиденциальность информации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то есть чрезвычайных и непредотвратимых при данных условиях обсто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ятельств, в том числе объявленная или фактическая война, гражданские волнения, эпидемии, блокада, эмбарго, землетрясения, наводнения и другие природные стихийные бедствия, если эти обстоятельства непосредственно повлияли на исполнение настоящего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6.2. 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таких обстоятельствах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 их влиянии на исполнение обязательств по Контракту в срок до 5 (пяти) календарных дней и в срок до 15 (пятнадцати) календарных дней представить доказательства возникновения данных обстоятельств в письменном виде. Если Сторона не сообщ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ила о возникновении обстоятельств непреодолимой силы или не представила доказательств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6.3. Если обстоятельства непреодолимой силы или их последствия действуют на протяжении 20 (двадцати) последовательных дней, то Стороны обсудят меры, которые следует принять для продолжения действия настоящего Контракта, либо настоящий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может быть расторгнут в установленном порядке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6.4.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Исполнитель не должен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без предварительного письменного согласия Государственного заказчика использовать, кроме как в целях надлежащего исполнения Контракта, и раскрывать полученную от Государственного заказчика или от иных лиц в ходе исполнения настоящего Контракта информацию,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за исключением того персонала, который привлечен Исполнитель для выполнения настоящего Контракта. Указанная информация должна предоставляться этому персоналу конфиденциально и лишь в той мере, насколько это необходимо для надлежащего исполнения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Cs/>
          <w:color w:val="000000"/>
          <w:sz w:val="22"/>
          <w:szCs w:val="22"/>
        </w:rPr>
      </w:r>
    </w:p>
    <w:p>
      <w:pPr>
        <w:ind w:right="5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7. Изменение, расторжение Контракта,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  <w:t xml:space="preserve">порядок разрешения споров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Федерации, Федеральным законом 44-ФЗ.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7.2. При расторжении Контракта по совместному решению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Сторон Государственный заказчик оплачивает Исполнителю стоимость оказанных Услуг в объеме, определяемом актом приема-передачи оказанных Услуг, подписанным Государственным заказчиком и Исполнителем, при наличии средств на счете Государственного заказчика.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7.3. При расторжении Контракта в связи с односторонним отказом Стороны Контракта от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7.4. Стороны принимают все меры к тому, чтобы любые спорные вопросы, разногласия либо претензии, касающиеся настоящего Контракта, были урегулированы путем переговоров в досудебном порядке.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7.5. В случае если спор не будет урегулирован Сторонами, то такой спор подлежит разрешению в Арбитражном суде Ростовской области.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7.6.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Федерального закона N 44-ФЗ.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left="57" w:right="57" w:firstLine="652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left="3596" w:right="57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  <w:t xml:space="preserve">8. Дополнительные условия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8.1. Любые изменения и дополнения к настоящему Контракту, не противоречащие действующему законодательству Российской Федерации и законным интересам Сторон, оформляются дополнительными соглашениями в письменной форме.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8.2. Все уведомления Сторон, связанные с исполнением настоящего Контракта, направляются в письм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енной форме по почте заказным письмом по фактическому адресу Стороны, указанному в настоящем Контракте,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8.3. Исполнитель представляет в соответствии с запросом Государственного заказчика в течение 2 (двух) рабочих дней информацию о ходе исполнения обязательств по настоящему Контракту.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right="57" w:firstLine="720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8.4. Во всем, что не было предусмотрено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№ 1 –Описание объекта закупки.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 № 2 - Спецификация.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left="707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  <w:t xml:space="preserve">11. Юридические адреса, банковские реквизиты, подписи сторон: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ind w:left="70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tbl>
      <w:tblPr>
        <w:tblW w:w="99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576"/>
      </w:tblGrid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ind w:firstLine="567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60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ind w:firstLine="318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72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Южное территориальное управление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ИНН/КПП 6164218751/616401001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ОГРН 1046164002499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ОКПО 71922039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ОКТМО 60701000001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/с 40102810745370000024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Л/с 03581739130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Юридический адрес: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344011, г. Ростов-на-Дону,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пер.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Доломановский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, д.53А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тел. (863)210-42-01,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эл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. почта: yug@ytu.rlw.gov.ru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Платежные реквизиты: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Получатель платежа: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УФК по Ростовской области (Южное территориальное управление Федерального агентства железнодорожного транспорта,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/с 03581739130)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Банк получателя: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ОКЦ № 1 ВВГУ Банка России // УФК по Нижегородской области,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. Нижний Новгород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ТОФК: Управление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Федерального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казначейства по Ростовской области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Код ТОФК: 5800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БИК ТОФК:012202102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казначейского счета (счет получателя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платежа):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03211643000000013230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Единого казначейского счета (ЕКС):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40102810745370000024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left="284" w:right="-135" w:firstLine="720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  <w:tr>
        <w:trPr>
          <w:trHeight w:val="70"/>
        </w:trPr>
        <w:tc>
          <w:tcPr>
            <w:shd w:val="clear" w:color="auto" w:fill="ffffff"/>
            <w:tcW w:w="5387" w:type="dxa"/>
            <w:textDirection w:val="lrTb"/>
            <w:noWrap w:val="false"/>
          </w:tcPr>
          <w:tbl>
            <w:tblPr>
              <w:tblpPr w:horzAnchor="text" w:tblpXSpec="left" w:vertAnchor="text" w:tblpY="1" w:leftFromText="180" w:topFromText="0" w:rightFromText="180" w:bottomFromText="0"/>
              <w:tblW w:w="9538" w:type="dxa"/>
              <w:tblLayout w:type="fixed"/>
              <w:tblLook w:val="04A0" w:firstRow="1" w:lastRow="0" w:firstColumn="1" w:lastColumn="0" w:noHBand="0" w:noVBand="1"/>
            </w:tblPr>
            <w:tblGrid>
              <w:gridCol w:w="5387"/>
              <w:gridCol w:w="4151"/>
            </w:tblGrid>
            <w:tr>
              <w:trPr>
                <w:trHeight w:val="70"/>
              </w:trPr>
              <w:tc>
                <w:tcPr>
                  <w:shd w:val="clear" w:color="auto" w:fill="ffffff"/>
                  <w:tcW w:w="5387" w:type="dxa"/>
                  <w:vMerge w:val="restart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Государственный заказчик: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Руководитель Южного территориального управления Федерального агентства железнодорожного транспорта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  <w:t xml:space="preserve">_________________ В.Н. Королев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  <w:p>
                  <w:pPr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1024"/>
              </w:trPr>
              <w:tc>
                <w:tcPr>
                  <w:shd w:val="clear" w:color="auto" w:fill="ffffff"/>
                  <w:tcW w:w="5387" w:type="dxa"/>
                  <w:vMerge w:val="continue"/>
                  <w:textDirection w:val="lrTb"/>
                  <w:noWrap w:val="false"/>
                </w:tcPr>
                <w:p>
                  <w:pPr>
                    <w:ind w:firstLine="34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  <w:r>
                    <w:rPr>
                      <w:rFonts w:ascii="Times New Roman" w:hAnsi="Times New Roman"/>
                      <w:b/>
                    </w:rPr>
                  </w:r>
                </w:p>
              </w:tc>
              <w:tc>
                <w:tcPr>
                  <w:shd w:val="clear" w:color="auto" w:fill="ffffff"/>
                  <w:tcW w:w="4151" w:type="dxa"/>
                  <w:textDirection w:val="lrTb"/>
                  <w:noWrap w:val="false"/>
                </w:tcPr>
                <w:p>
                  <w:pPr>
                    <w:ind w:firstLine="34"/>
                    <w:jc w:val="both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r>
                </w:p>
              </w:tc>
            </w:tr>
          </w:tbl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continuous"/>
          <w:pgSz w:w="11906" w:h="16838" w:orient="portrait"/>
          <w:pgMar w:top="567" w:right="991" w:bottom="851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государственному контракту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от ___ ______________ 2026г. № 14-ЗС-202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zh-CN"/>
        </w:rPr>
        <w:t xml:space="preserve">ОПИСАНИЕ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numPr>
          <w:ilvl w:val="0"/>
          <w:numId w:val="16"/>
        </w:numPr>
        <w:contextualSpacing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  <w:t xml:space="preserve">Описание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1069"/>
        <w:jc w:val="both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zh-CN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Оказание услуг по перевозке автомобильным транспортом, в том числе в пределах территории с особым 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внутриобъектовым</w:t>
      </w: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 режимом ОАО «РЖД» и ФГУП «КЖД» (далее по тексту настоящего описания объекта закупки – автотранспортные услуги или услуги), в порядке, определенном нормативными прав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zh-CN"/>
        </w:rPr>
        <w:t xml:space="preserve">овыми актами и документами, регулирующими правоотношения в сфере транспорта, а также на условиях, определённых настоящим описанием объекта закупки.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ind w:left="720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  <w:lang w:eastAsia="en-US"/>
        </w:rPr>
        <w:t xml:space="preserve">2.Срок оказания услуг: 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en-US"/>
        </w:rPr>
        <w:t xml:space="preserve">с момента заключения по 30.11.2026 (включительно).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white"/>
          <w:lang w:eastAsia="zh-CN"/>
        </w:rPr>
        <w:t xml:space="preserve">3.Основные характеристики объекта закупки</w:t>
      </w:r>
      <w:r>
        <w:rPr>
          <w:rFonts w:ascii="Times New Roman" w:hAnsi="Times New Roman" w:eastAsia="Times New Roman" w:cs="Times New Roman"/>
          <w:sz w:val="22"/>
          <w:szCs w:val="22"/>
          <w:highlight w:val="white"/>
          <w:lang w:eastAsia="zh-CN"/>
        </w:rPr>
        <w:t xml:space="preserve">.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tbl>
      <w:tblPr>
        <w:tblW w:w="10207" w:type="dxa"/>
        <w:tblInd w:w="-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5673"/>
      </w:tblGrid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Вид сообщения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Городской, Пригородный, Междугородний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График оказания услуг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Рабочие и нерабочие дни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Периодичность оказания услуг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 потребности Государственного заказчика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Характеристики комфортности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Климатконтроль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 электрические стекло подъемники, подогрев сидений,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US"/>
              </w:rPr>
              <w:t xml:space="preserve">ABS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Общая характеристика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Внедорожник однотонной окраски, не ранее 2024 года выпуска, без укрепленных на автомобиле специальных опознавательных знаков.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Эксплуатационные показатели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Экологический класс ─ не менее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Euro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5; расход топлива,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/100км ─ не более 12,5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Двигатель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тип ─ бензин; объем, см³ ─ не менее 2693; максимальная мощность, л.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white"/>
              </w:rPr>
              <w:t xml:space="preserve">. ─ не более 150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Трансмиссия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Коробка передач ─ механическая; тип привода ─ полный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Размеры, в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Длина ─ не более 4750; ширина ─ не менее 2110; высота ─ не менее 1910; дорожный просвет─ не менее 210 мм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Объем и масса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Объем багажника,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─ не менее 600; объем топливного бака, л ─ не менее 68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Подвеска и тормоза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Тип передней подвески – независимая, пружинная, с гидравлическими телескопическими амортизаторами и стабилизаторами поперечной устойчивости; Тип задней подвески ─ зависимая,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ресорная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 с гидравлическими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телескопическими амортизаторами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Требования к режиму рабочего времени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Услуги предоставляются ежедневно с 06.00. по  22.00 (включительно). По предварительному уведомлению Государственного заказчика в иное время суток согласно графику выезда государственных служащих к месту их командирования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Заправка автомобиля топливом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 счет средств Исполнителя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Порядок определения маршрута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Выбор оптимального маршрута следования автомобиля до пункта назначения, определяемого Государственным заказчиком, с учетом особенностей организации дорожного движения в соответствующей местности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Проезд по платным дорогам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 счет собственных средств Исполнителя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Замена автомобиля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В течение 1 (одного часа) обеспечивается замена автомобиля, прекратившего перевозку по различным причинам автомобилем аналогичного класса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4534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Требования к экипажу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567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Предоставление квалифицированного экипажа, осуществляющего безопасное управление автомобилем и имеющего водительское удостоверение на право управления; лицо, осуществляющее управления автомобилем, должно обладать опытом вождения не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менее 5 лет, обладать качествами устойчивости в стрессовых ситуациях, аккуратности, добросовестности при исполнении своих обязанностей, соблюдать правила этикета и конфиденциальности в отношениях с представителями Государственного заказчика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pPr w:horzAnchor="text" w:tblpXSpec="left" w:vertAnchor="text" w:tblpY="1" w:leftFromText="180" w:topFromText="0" w:rightFromText="180" w:bottomFromText="0"/>
        <w:tblW w:w="9538" w:type="dxa"/>
        <w:tblLayout w:type="fixed"/>
        <w:tblLook w:val="04A0" w:firstRow="1" w:lastRow="0" w:firstColumn="1" w:lastColumn="0" w:noHBand="0" w:noVBand="1"/>
      </w:tblPr>
      <w:tblGrid>
        <w:gridCol w:w="4962"/>
        <w:gridCol w:w="4576"/>
      </w:tblGrid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024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Руководитель Южного территориального управления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_________________ В.Н. Королев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1 к описанию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ПРИМЕРНАЯ ФОРМА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-280034</wp:posOffset>
                </wp:positionH>
                <wp:positionV relativeFrom="paragraph">
                  <wp:posOffset>120015</wp:posOffset>
                </wp:positionV>
                <wp:extent cx="3657600" cy="1409065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760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«____________________________»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Наименование организации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  <w:p>
                            <w:r/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ГРАФИК СМЕННОСТИ</w:t>
                            </w:r>
                            <w:r>
                              <w:t xml:space="preserve"> 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t xml:space="preserve">                                   (месяц)</w:t>
                            </w:r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________________________________________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61312;o:allowoverlap:true;o:allowincell:true;mso-position-horizontal-relative:text;margin-left:-22.05pt;mso-position-horizontal:absolute;mso-position-vertical-relative:text;margin-top:9.45pt;mso-position-vertical:absolute;width:288.00pt;height:110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«____________________________»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Наименование организации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ГРАФИК СМЕННОСТИ</w:t>
                      </w:r>
                      <w:r>
                        <w:t xml:space="preserve"> 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jc w:val="center"/>
                      </w:pPr>
                      <w:r>
                        <w:t xml:space="preserve">                                   (месяц)</w:t>
                      </w:r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________________________________________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140335</wp:posOffset>
                </wp:positionV>
                <wp:extent cx="2971800" cy="135255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718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УТВЕРЖДАЮ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  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«___» ________________20 __  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60288;o:allowoverlap:true;o:allowincell:true;mso-position-horizontal-relative:text;margin-left:297.30pt;mso-position-horizontal:absolute;mso-position-vertical-relative:text;margin-top:11.05pt;mso-position-vertical:absolute;width:234.00pt;height:106.5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УТВЕРЖДАЮ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  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(подпись, дата, должность, фамилия)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«___» ________________20 __  г.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10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284"/>
        <w:gridCol w:w="283"/>
        <w:gridCol w:w="284"/>
        <w:gridCol w:w="283"/>
        <w:gridCol w:w="284"/>
        <w:gridCol w:w="284"/>
        <w:gridCol w:w="284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4"/>
        <w:gridCol w:w="283"/>
        <w:gridCol w:w="283"/>
        <w:gridCol w:w="284"/>
        <w:gridCol w:w="284"/>
        <w:gridCol w:w="283"/>
        <w:gridCol w:w="284"/>
        <w:gridCol w:w="283"/>
        <w:gridCol w:w="284"/>
        <w:gridCol w:w="283"/>
        <w:gridCol w:w="253"/>
        <w:gridCol w:w="456"/>
        <w:gridCol w:w="709"/>
        <w:gridCol w:w="46"/>
      </w:tblGrid>
      <w:tr>
        <w:trPr>
          <w:gridAfter w:val="1"/>
        </w:trPr>
        <w:tc>
          <w:tcPr>
            <w:tcW w:w="929" w:type="dxa"/>
            <w:vMerge w:val="restart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Фамилия, инициалы (должность)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1"/>
            <w:tcBorders>
              <w:bottom w:val="single" w:color="auto" w:sz="4" w:space="0"/>
            </w:tcBorders>
            <w:tcW w:w="93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Числа месяца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cantSplit/>
          <w:trHeight w:val="1134"/>
        </w:trPr>
        <w:tc>
          <w:tcPr>
            <w:tcW w:w="92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/>
                <w:sz w:val="20"/>
                <w:lang w:eastAsia="ru-RU"/>
              </w:rPr>
            </w:pPr>
            <w:r>
              <w:rPr>
                <w:rFonts w:ascii="Times New Roman" w:hAnsi="Times New Roman"/>
                <w:sz w:val="20"/>
                <w:lang w:eastAsia="ru-RU"/>
              </w:rPr>
            </w:r>
            <w:r>
              <w:rPr>
                <w:rFonts w:ascii="Times New Roman" w:hAnsi="Times New Roman"/>
                <w:sz w:val="20"/>
                <w:lang w:eastAsia="ru-RU"/>
              </w:rPr>
            </w:r>
            <w:r>
              <w:rPr>
                <w:rFonts w:ascii="Times New Roman" w:hAnsi="Times New Roman"/>
                <w:sz w:val="20"/>
                <w:lang w:eastAsia="ru-RU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755" w:type="dxa"/>
            <w:textDirection w:val="btLr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W w:w="929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45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5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279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Продолжительность 1 смены: _____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Начало: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_____Окончание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: 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Перерыв для отдыха и питания: 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  <w:tab w:val="left" w:pos="6960" w:leader="none"/>
          <w:tab w:val="center" w:pos="728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Продолжительность 2 смены: _____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Начало: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_____Окончание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: 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279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Перерыв для отдыха и питания: 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9555" w:leader="none"/>
          <w:tab w:val="left" w:pos="11895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2347935</wp:posOffset>
                </wp:positionH>
                <wp:positionV relativeFrom="paragraph">
                  <wp:posOffset>83820</wp:posOffset>
                </wp:positionV>
                <wp:extent cx="5256825" cy="1724660"/>
                <wp:effectExtent l="6350" t="6350" r="6350" b="6350"/>
                <wp:wrapNone/>
                <wp:docPr id="3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256824" cy="172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Times New Roman" w:hAnsi="Times New Roman"/>
                              </w:rPr>
                              <w:t xml:space="preserve">  Ознакомлены:</w:t>
                            </w:r>
                            <w:r>
                              <w:t xml:space="preserve">__________________________________________</w:t>
                            </w:r>
                            <w:r/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ind w:left="708" w:firstLine="708"/>
                            </w:pPr>
                            <w:r>
                              <w:t xml:space="preserve">__________________________________________</w:t>
                            </w:r>
                            <w:r/>
                          </w:p>
                          <w:p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                                 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r>
                          </w:p>
                          <w:p>
                            <w:r>
                              <w:t xml:space="preserve">                                                              </w:t>
                            </w:r>
                            <w:r/>
                          </w:p>
                          <w:p>
                            <w:r>
                              <w:t xml:space="preserve">  (подпись, дата, фамилия)</w:t>
                            </w:r>
                            <w:r/>
                          </w:p>
                          <w:p>
                            <w:r>
                              <w:t xml:space="preserve">________________________________________________________</w:t>
                            </w:r>
                            <w:r/>
                          </w:p>
                          <w:p>
                            <w:r>
                              <w:t xml:space="preserve">(подпись, дата, фамилия)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62336;o:allowoverlap:true;o:allowincell:true;mso-position-horizontal-relative:text;margin-left:184.88pt;mso-position-horizontal:absolute;mso-position-vertical-relative:text;margin-top:6.60pt;mso-position-vertical:absolute;width:413.92pt;height:135.8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r>
                        <w:rPr>
                          <w:rFonts w:ascii="Times New Roman" w:hAnsi="Times New Roman"/>
                        </w:rPr>
                        <w:t xml:space="preserve">  Ознакомлены:</w:t>
                      </w:r>
                      <w:r>
                        <w:t xml:space="preserve">__________________________________________</w:t>
                      </w:r>
                      <w:r/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(подпись, дата, должность, фамилия)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pPr>
                        <w:ind w:left="708" w:firstLine="708"/>
                      </w:pPr>
                      <w:r>
                        <w:t xml:space="preserve">__________________________________________</w:t>
                      </w:r>
                      <w:r/>
                    </w:p>
                    <w:p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                                 (подпись, дата, должность, фамилия)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</w:r>
                    </w:p>
                    <w:p>
                      <w:r>
                        <w:t xml:space="preserve">                                                              </w:t>
                      </w:r>
                      <w:r/>
                    </w:p>
                    <w:p>
                      <w:r>
                        <w:t xml:space="preserve">  (подпись, дата, фамилия)</w:t>
                      </w:r>
                      <w:r/>
                    </w:p>
                    <w:p>
                      <w:r>
                        <w:t xml:space="preserve">________________________________________________________</w:t>
                      </w:r>
                      <w:r/>
                    </w:p>
                    <w:p>
                      <w:r>
                        <w:t xml:space="preserve">(подпись, дата, фамилия)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spacing w:after="0" w:line="240" w:lineRule="auto"/>
        <w:tabs>
          <w:tab w:val="left" w:pos="7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График составил:    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                (подпись, дата, должность, фамилия)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2 к описанию объекта закупки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-153034</wp:posOffset>
                </wp:positionH>
                <wp:positionV relativeFrom="paragraph">
                  <wp:posOffset>178435</wp:posOffset>
                </wp:positionV>
                <wp:extent cx="3657600" cy="1409065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5760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«____________________________»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Наименование организации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ГРАФИК И СХЕМА МАРШРУТА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_________________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________________________________________</w:t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  <w:r>
                              <w:rPr>
                                <w:u w:val="single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64384;o:allowoverlap:true;o:allowincell:true;mso-position-horizontal-relative:text;margin-left:-12.05pt;mso-position-horizontal:absolute;mso-position-vertical-relative:text;margin-top:14.05pt;mso-position-vertical:absolute;width:288.00pt;height:110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«____________________________»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Наименование организации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ГРАФИК И СХЕМА МАРШРУТА</w:t>
                      </w:r>
                      <w:r>
                        <w:rPr>
                          <w:rFonts w:ascii="Times New Roman" w:hAnsi="Times New Roman"/>
                        </w:rPr>
                        <w:t xml:space="preserve"> _________________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________________________________________</w:t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  <w:r>
                        <w:rPr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ПРИМЕРНАЯ ФОРМА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56515</wp:posOffset>
                </wp:positionV>
                <wp:extent cx="2971800" cy="1352550"/>
                <wp:effectExtent l="0" t="0" r="0" b="0"/>
                <wp:wrapNone/>
                <wp:docPr id="5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718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УТВЕРЖДАЮ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  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(подпись, дата, должность, фамилия)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«___» ________________20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_  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63360;o:allowoverlap:true;o:allowincell:true;mso-position-horizontal-relative:text;margin-left:304.05pt;mso-position-horizontal:absolute;mso-position-vertical-relative:text;margin-top:4.45pt;mso-position-vertical:absolute;width:234.00pt;height:106.5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УТВЕРЖДАЮ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  ________________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(подпись, дата, должность, фамилия)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«___» ________________20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</w:rPr>
                        <w:t xml:space="preserve">_  г.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1"/>
          <w:numId w:val="3"/>
        </w:numPr>
        <w:contextualSpacing/>
        <w:jc w:val="both"/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en-US"/>
        </w:rPr>
        <w:t xml:space="preserve">График маршрута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4"/>
        <w:gridCol w:w="1860"/>
        <w:gridCol w:w="2521"/>
        <w:gridCol w:w="2521"/>
        <w:gridCol w:w="1305"/>
        <w:gridCol w:w="1118"/>
      </w:tblGrid>
      <w:tr>
        <w:trPr/>
        <w:tc>
          <w:tcPr>
            <w:shd w:val="clear" w:color="auto" w:fill="auto"/>
            <w:tcW w:w="100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Дата поездки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93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Место прибытия в промежуточный и конечный пункт маршрута, адрес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20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Отметка о прибытии (часы, мин)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плановая/фактическая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8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Отметка об убытии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(часы, мин)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плановая/фактическая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18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Показания одометра,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км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4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Затраты,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W w:w="100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93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04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\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8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\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._____мин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18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4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numPr>
          <w:ilvl w:val="1"/>
          <w:numId w:val="3"/>
        </w:numPr>
        <w:contextualSpacing/>
        <w:jc w:val="both"/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en-US"/>
        </w:rPr>
        <w:t xml:space="preserve">Схема маршрута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Составил: 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                                                             (подпись, дата, должность, фамилия)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  <w:sectPr>
          <w:footnotePr/>
          <w:endnotePr/>
          <w:type w:val="nextPage"/>
          <w:pgSz w:w="11906" w:h="16838" w:orient="portrait"/>
          <w:pgMar w:top="567" w:right="567" w:bottom="1134" w:left="1134" w:header="181" w:footer="85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Приложение № 2 к государственному контракту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от ___ ______________ 2026 г. № 14-ЗС-202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4956"/>
        <w:jc w:val="right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оказание услуг перевозки федеральных государственных служащих автомобильным транспортом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72" w:type="dxa"/>
        <w:tblInd w:w="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1"/>
        <w:gridCol w:w="5103"/>
        <w:gridCol w:w="1387"/>
        <w:gridCol w:w="2301"/>
      </w:tblGrid>
      <w:tr>
        <w:trPr>
          <w:trHeight w:val="1432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п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Ед.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изм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Цена единицы услуги, в т.ч. НДС/ НДС не предусмотрен, руб.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в пределах Ростовской области за пределами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 на расстояние до 50 километров включительно, измеряемое от границы территории г.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в пределах Ростовской области за пределами территории городского округа Ростов-на-Дону на расстояние более 50 километров, измеряемое от границы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Ростова-на-Дону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Южного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Северо-Кавказского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федеральныхокругов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измеряемое от границы территории Ростовской области (за исключением Республики Крым и г. Севастополь)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Центрального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Северо-Западного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Приволжского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7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Уральского федерального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перевозки федеральных государственных служащих автомобильным транспортом в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пределах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. Севастополь и Республики Крым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Херсонской области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Запорожской области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служащих автомобильным транспортом в пределах Донецкой Народной Республики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W w:w="98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510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Услуга перевозки федеральных государственных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служащих автомобильным транспортом в пределах Луганской Народной Республики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138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1 час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517"/>
        </w:trPr>
        <w:tc>
          <w:tcPr>
            <w:gridSpan w:val="3"/>
            <w:shd w:val="clear" w:color="auto" w:fill="auto"/>
            <w:tcW w:w="747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Итого сумма цен единиц услуги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W w:w="230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</w:tbl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pPr w:horzAnchor="text" w:tblpXSpec="left" w:vertAnchor="text" w:tblpY="1" w:leftFromText="180" w:topFromText="0" w:rightFromText="180" w:bottomFromText="0"/>
        <w:tblW w:w="9538" w:type="dxa"/>
        <w:tblLayout w:type="fixed"/>
        <w:tblLook w:val="04A0" w:firstRow="1" w:lastRow="0" w:firstColumn="1" w:lastColumn="0" w:noHBand="0" w:noVBand="1"/>
      </w:tblPr>
      <w:tblGrid>
        <w:gridCol w:w="4962"/>
        <w:gridCol w:w="4576"/>
      </w:tblGrid>
      <w:tr>
        <w:trPr>
          <w:trHeight w:val="70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Исполнитель: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1024"/>
        </w:trPr>
        <w:tc>
          <w:tcPr>
            <w:shd w:val="clear" w:color="auto" w:fill="ffffff"/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Руководитель Южного территориального управления Федерального агентства железнодорожного транспорта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_________________ В.Н. Королев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W w:w="457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ind w:firstLine="34"/>
              <w:jc w:val="both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</w:tc>
      </w:tr>
    </w:tbl>
    <w:p>
      <w:pPr>
        <w:spacing w:after="0" w:line="0" w:lineRule="atLeast"/>
        <w:rPr>
          <w:rFonts w:ascii="Times New Roman" w:hAnsi="Times New Roman" w:cs="Arial"/>
          <w:lang w:eastAsia="ru-RU"/>
        </w:rPr>
      </w:pPr>
      <w:r>
        <w:rPr>
          <w:rFonts w:ascii="Times New Roman" w:hAnsi="Times New Roman" w:cs="Arial"/>
          <w:lang w:eastAsia="ru-RU"/>
        </w:rPr>
      </w:r>
      <w:r>
        <w:rPr>
          <w:rFonts w:ascii="Times New Roman" w:hAnsi="Times New Roman" w:cs="Arial"/>
          <w:lang w:eastAsia="ru-RU"/>
        </w:rPr>
      </w:r>
      <w:r>
        <w:rPr>
          <w:rFonts w:ascii="Times New Roman" w:hAnsi="Times New Roman" w:cs="Arial"/>
          <w:lang w:eastAsia="ru-RU"/>
        </w:rPr>
      </w:r>
    </w:p>
    <w:sectPr>
      <w:footnotePr/>
      <w:endnotePr/>
      <w:type w:val="nextPage"/>
      <w:pgSz w:w="11906" w:h="16838" w:orient="portrait"/>
      <w:pgMar w:top="567" w:right="567" w:bottom="1134" w:left="1134" w:header="181" w:footer="85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GaramondC">
    <w:panose1 w:val="02020404030301010803"/>
  </w:font>
  <w:font w:name="Courier New">
    <w:panose1 w:val="02070309020205020404"/>
  </w:font>
  <w:font w:name="Sylfaen">
    <w:panose1 w:val="010A0502050306030303"/>
  </w:font>
  <w:font w:name="TimesDL">
    <w:panose1 w:val="05050102010205020202"/>
  </w:font>
  <w:font w:name="MS Mincho">
    <w:panose1 w:val="02020609040205080304"/>
  </w:font>
  <w:font w:name="Tahoma">
    <w:panose1 w:val="020B0604030504040204"/>
  </w:font>
  <w:font w:name="DejaVu Sans">
    <w:panose1 w:val="020B0603030804020204"/>
  </w:font>
  <w:font w:name="font291">
    <w:panose1 w:val="05050102010205020202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  <w:tabs>
          <w:tab w:val="num" w:pos="0" w:leader="none"/>
        </w:tabs>
      </w:pPr>
      <w:rPr>
        <w:rFonts w:ascii="Sylfaen" w:hAnsi="Sylfa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</w:lvl>
  </w:abstractNum>
  <w:abstractNum w:abstractNumId="2">
    <w:multiLevelType w:val="hybridMultilevel"/>
    <w:styleLink w:val="906"/>
    <w:lvl w:ilvl="0">
      <w:start w:val="1"/>
      <w:numFmt w:val="decimal"/>
      <w:pStyle w:val="906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67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87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07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27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47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67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87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07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27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pStyle w:val="921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49" w:hanging="495"/>
        <w:tabs>
          <w:tab w:val="num" w:pos="0" w:leader="none"/>
        </w:tabs>
      </w:p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4"/>
  </w:num>
  <w:num w:numId="14">
    <w:abstractNumId w:val="13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Subtitle Char"/>
    <w:basedOn w:val="691"/>
    <w:link w:val="711"/>
    <w:uiPriority w:val="11"/>
    <w:rPr>
      <w:sz w:val="24"/>
      <w:szCs w:val="24"/>
    </w:rPr>
  </w:style>
  <w:style w:type="character" w:styleId="688">
    <w:name w:val="Quote Char"/>
    <w:link w:val="713"/>
    <w:uiPriority w:val="29"/>
    <w:rPr>
      <w:i/>
    </w:rPr>
  </w:style>
  <w:style w:type="character" w:styleId="689">
    <w:name w:val="Intense Quote Char"/>
    <w:link w:val="715"/>
    <w:uiPriority w:val="30"/>
    <w:rPr>
      <w:i/>
    </w:rPr>
  </w:style>
  <w:style w:type="paragraph" w:styleId="690" w:default="1">
    <w:name w:val="Normal"/>
    <w:qFormat/>
    <w:pPr>
      <w:spacing w:after="200" w:line="276" w:lineRule="auto"/>
    </w:pPr>
    <w:rPr>
      <w:rFonts w:eastAsia="Times New Roman"/>
      <w:sz w:val="22"/>
      <w:szCs w:val="22"/>
      <w:lang w:eastAsia="ar-SA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Heading 1 Char"/>
    <w:basedOn w:val="691"/>
    <w:link w:val="859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Heading 2 Char"/>
    <w:basedOn w:val="691"/>
    <w:link w:val="860"/>
    <w:uiPriority w:val="9"/>
    <w:rPr>
      <w:rFonts w:ascii="Arial" w:hAnsi="Arial" w:eastAsia="Arial" w:cs="Arial"/>
      <w:sz w:val="34"/>
    </w:rPr>
  </w:style>
  <w:style w:type="paragraph" w:styleId="696" w:customStyle="1">
    <w:name w:val="Heading 3"/>
    <w:basedOn w:val="690"/>
    <w:next w:val="690"/>
    <w:link w:val="69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697" w:customStyle="1">
    <w:name w:val="Heading 3 Char"/>
    <w:basedOn w:val="691"/>
    <w:link w:val="696"/>
    <w:uiPriority w:val="9"/>
    <w:rPr>
      <w:rFonts w:ascii="Arial" w:hAnsi="Arial" w:eastAsia="Arial" w:cs="Arial"/>
      <w:sz w:val="30"/>
      <w:szCs w:val="30"/>
    </w:rPr>
  </w:style>
  <w:style w:type="paragraph" w:styleId="698" w:customStyle="1">
    <w:name w:val="Heading 4"/>
    <w:basedOn w:val="690"/>
    <w:next w:val="690"/>
    <w:link w:val="69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 w:customStyle="1">
    <w:name w:val="Heading 4 Char"/>
    <w:basedOn w:val="691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 w:customStyle="1">
    <w:name w:val="Heading 5"/>
    <w:basedOn w:val="690"/>
    <w:next w:val="690"/>
    <w:link w:val="70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Heading 5 Char"/>
    <w:basedOn w:val="691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 w:customStyle="1">
    <w:name w:val="Heading 6"/>
    <w:basedOn w:val="690"/>
    <w:next w:val="690"/>
    <w:link w:val="70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703" w:customStyle="1">
    <w:name w:val="Heading 6 Char"/>
    <w:basedOn w:val="691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 w:customStyle="1">
    <w:name w:val="Heading 7"/>
    <w:basedOn w:val="690"/>
    <w:next w:val="690"/>
    <w:link w:val="70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705" w:customStyle="1">
    <w:name w:val="Heading 7 Char"/>
    <w:basedOn w:val="691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 w:customStyle="1">
    <w:name w:val="Heading 8"/>
    <w:basedOn w:val="690"/>
    <w:next w:val="690"/>
    <w:link w:val="70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707" w:customStyle="1">
    <w:name w:val="Heading 8 Char"/>
    <w:basedOn w:val="691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 w:customStyle="1">
    <w:name w:val="Heading 9"/>
    <w:basedOn w:val="690"/>
    <w:next w:val="690"/>
    <w:link w:val="70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 w:customStyle="1">
    <w:name w:val="Heading 9 Char"/>
    <w:basedOn w:val="691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 w:customStyle="1">
    <w:name w:val="Title Char"/>
    <w:basedOn w:val="691"/>
    <w:link w:val="898"/>
    <w:uiPriority w:val="10"/>
    <w:rPr>
      <w:sz w:val="48"/>
      <w:szCs w:val="48"/>
    </w:rPr>
  </w:style>
  <w:style w:type="paragraph" w:styleId="711">
    <w:name w:val="Subtitle"/>
    <w:basedOn w:val="690"/>
    <w:next w:val="690"/>
    <w:link w:val="712"/>
    <w:uiPriority w:val="11"/>
    <w:qFormat/>
    <w:pPr>
      <w:spacing w:before="200"/>
    </w:pPr>
    <w:rPr>
      <w:sz w:val="24"/>
      <w:szCs w:val="24"/>
    </w:rPr>
  </w:style>
  <w:style w:type="character" w:styleId="712" w:customStyle="1">
    <w:name w:val="Подзаголовок Знак"/>
    <w:basedOn w:val="691"/>
    <w:link w:val="711"/>
    <w:uiPriority w:val="11"/>
    <w:rPr>
      <w:sz w:val="24"/>
      <w:szCs w:val="24"/>
    </w:rPr>
  </w:style>
  <w:style w:type="paragraph" w:styleId="713">
    <w:name w:val="Quote"/>
    <w:basedOn w:val="690"/>
    <w:next w:val="690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90"/>
    <w:next w:val="690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1"/>
    <w:link w:val="883"/>
    <w:uiPriority w:val="99"/>
  </w:style>
  <w:style w:type="character" w:styleId="718" w:customStyle="1">
    <w:name w:val="Footer Char"/>
    <w:basedOn w:val="691"/>
    <w:link w:val="879"/>
    <w:uiPriority w:val="99"/>
  </w:style>
  <w:style w:type="paragraph" w:styleId="719" w:customStyle="1">
    <w:name w:val="Caption"/>
    <w:basedOn w:val="690"/>
    <w:next w:val="690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0" w:customStyle="1">
    <w:name w:val="Caption Char"/>
    <w:link w:val="879"/>
    <w:uiPriority w:val="99"/>
  </w:style>
  <w:style w:type="table" w:styleId="721" w:customStyle="1">
    <w:name w:val="Table Grid Light"/>
    <w:basedOn w:val="69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9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2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2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2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2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2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2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2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2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2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2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2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2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2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2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2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2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2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2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2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2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2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2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2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2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2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2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2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2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2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2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2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2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2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2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2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2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2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6" w:customStyle="1">
    <w:name w:val="Footnote Text Char"/>
    <w:link w:val="895"/>
    <w:uiPriority w:val="99"/>
    <w:rPr>
      <w:sz w:val="18"/>
    </w:rPr>
  </w:style>
  <w:style w:type="character" w:styleId="847" w:customStyle="1">
    <w:name w:val="Endnote Text Char"/>
    <w:link w:val="928"/>
    <w:uiPriority w:val="99"/>
    <w:rPr>
      <w:sz w:val="20"/>
    </w:rPr>
  </w:style>
  <w:style w:type="paragraph" w:styleId="848">
    <w:name w:val="toc 1"/>
    <w:basedOn w:val="690"/>
    <w:next w:val="690"/>
    <w:uiPriority w:val="39"/>
    <w:unhideWhenUsed/>
    <w:pPr>
      <w:spacing w:after="57"/>
    </w:pPr>
  </w:style>
  <w:style w:type="paragraph" w:styleId="849">
    <w:name w:val="toc 2"/>
    <w:basedOn w:val="690"/>
    <w:next w:val="690"/>
    <w:uiPriority w:val="39"/>
    <w:unhideWhenUsed/>
    <w:pPr>
      <w:ind w:left="283"/>
      <w:spacing w:after="57"/>
    </w:pPr>
  </w:style>
  <w:style w:type="paragraph" w:styleId="850">
    <w:name w:val="toc 3"/>
    <w:basedOn w:val="690"/>
    <w:next w:val="690"/>
    <w:uiPriority w:val="39"/>
    <w:unhideWhenUsed/>
    <w:pPr>
      <w:ind w:left="567"/>
      <w:spacing w:after="57"/>
    </w:pPr>
  </w:style>
  <w:style w:type="paragraph" w:styleId="851">
    <w:name w:val="toc 4"/>
    <w:basedOn w:val="690"/>
    <w:next w:val="690"/>
    <w:uiPriority w:val="39"/>
    <w:unhideWhenUsed/>
    <w:pPr>
      <w:ind w:left="850"/>
      <w:spacing w:after="57"/>
    </w:pPr>
  </w:style>
  <w:style w:type="paragraph" w:styleId="852">
    <w:name w:val="toc 5"/>
    <w:basedOn w:val="690"/>
    <w:next w:val="690"/>
    <w:uiPriority w:val="39"/>
    <w:unhideWhenUsed/>
    <w:pPr>
      <w:ind w:left="1134"/>
      <w:spacing w:after="57"/>
    </w:pPr>
  </w:style>
  <w:style w:type="paragraph" w:styleId="853">
    <w:name w:val="toc 6"/>
    <w:basedOn w:val="690"/>
    <w:next w:val="690"/>
    <w:uiPriority w:val="39"/>
    <w:unhideWhenUsed/>
    <w:pPr>
      <w:ind w:left="1417"/>
      <w:spacing w:after="57"/>
    </w:pPr>
  </w:style>
  <w:style w:type="paragraph" w:styleId="854">
    <w:name w:val="toc 7"/>
    <w:basedOn w:val="690"/>
    <w:next w:val="690"/>
    <w:uiPriority w:val="39"/>
    <w:unhideWhenUsed/>
    <w:pPr>
      <w:ind w:left="1701"/>
      <w:spacing w:after="57"/>
    </w:pPr>
  </w:style>
  <w:style w:type="paragraph" w:styleId="855">
    <w:name w:val="toc 8"/>
    <w:basedOn w:val="690"/>
    <w:next w:val="690"/>
    <w:uiPriority w:val="39"/>
    <w:unhideWhenUsed/>
    <w:pPr>
      <w:ind w:left="1984"/>
      <w:spacing w:after="57"/>
    </w:pPr>
  </w:style>
  <w:style w:type="paragraph" w:styleId="856">
    <w:name w:val="toc 9"/>
    <w:basedOn w:val="690"/>
    <w:next w:val="690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90"/>
    <w:next w:val="690"/>
    <w:uiPriority w:val="99"/>
    <w:unhideWhenUsed/>
    <w:pPr>
      <w:spacing w:after="0"/>
    </w:pPr>
  </w:style>
  <w:style w:type="paragraph" w:styleId="859" w:customStyle="1">
    <w:name w:val="Heading 1"/>
    <w:basedOn w:val="690"/>
    <w:next w:val="690"/>
    <w:link w:val="915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860" w:customStyle="1">
    <w:name w:val="Heading 2"/>
    <w:next w:val="862"/>
    <w:link w:val="861"/>
    <w:qFormat/>
    <w:pPr>
      <w:ind w:left="576" w:hanging="576"/>
      <w:jc w:val="center"/>
      <w:keepNext/>
      <w:spacing w:before="120" w:line="100" w:lineRule="atLeast"/>
      <w:widowControl w:val="off"/>
      <w:tabs>
        <w:tab w:val="num" w:pos="576" w:leader="none"/>
      </w:tabs>
      <w:outlineLvl w:val="1"/>
    </w:pPr>
    <w:rPr>
      <w:rFonts w:ascii="Times New Roman" w:hAnsi="Times New Roman" w:eastAsia="DejaVu Sans" w:cs="font291"/>
      <w:b/>
      <w:sz w:val="32"/>
      <w:szCs w:val="32"/>
      <w:lang w:eastAsia="ar-SA"/>
    </w:rPr>
  </w:style>
  <w:style w:type="character" w:styleId="861" w:customStyle="1">
    <w:name w:val="Заголовок 2 Знак"/>
    <w:link w:val="860"/>
    <w:rPr>
      <w:rFonts w:ascii="Times New Roman" w:hAnsi="Times New Roman" w:eastAsia="DejaVu Sans" w:cs="font291"/>
      <w:b/>
      <w:sz w:val="32"/>
      <w:szCs w:val="32"/>
      <w:lang w:eastAsia="ar-SA"/>
    </w:rPr>
  </w:style>
  <w:style w:type="paragraph" w:styleId="862">
    <w:name w:val="Body Text"/>
    <w:basedOn w:val="690"/>
    <w:link w:val="863"/>
    <w:uiPriority w:val="99"/>
    <w:pPr>
      <w:spacing w:after="120"/>
    </w:pPr>
  </w:style>
  <w:style w:type="character" w:styleId="863" w:customStyle="1">
    <w:name w:val="Основной текст Знак"/>
    <w:link w:val="862"/>
    <w:uiPriority w:val="99"/>
    <w:rPr>
      <w:rFonts w:ascii="Calibri" w:hAnsi="Calibri" w:eastAsia="Times New Roman" w:cs="Times New Roman"/>
      <w:lang w:eastAsia="ar-SA"/>
    </w:rPr>
  </w:style>
  <w:style w:type="paragraph" w:styleId="864">
    <w:name w:val="Normal (Web)"/>
    <w:uiPriority w:val="99"/>
    <w:pPr>
      <w:spacing w:after="200" w:line="276" w:lineRule="auto"/>
      <w:widowControl w:val="off"/>
    </w:pPr>
    <w:rPr>
      <w:rFonts w:eastAsia="DejaVu Sans" w:cs="font291"/>
      <w:sz w:val="22"/>
      <w:szCs w:val="22"/>
      <w:lang w:eastAsia="ar-SA"/>
    </w:rPr>
  </w:style>
  <w:style w:type="paragraph" w:styleId="865">
    <w:name w:val="Body Text 2"/>
    <w:link w:val="867"/>
    <w:pPr>
      <w:jc w:val="both"/>
      <w:spacing w:before="120" w:line="100" w:lineRule="atLeast"/>
      <w:widowControl w:val="off"/>
    </w:pPr>
    <w:rPr>
      <w:rFonts w:ascii="Times New Roman" w:hAnsi="Times New Roman" w:eastAsia="DejaVu Sans" w:cs="font291"/>
      <w:sz w:val="24"/>
      <w:lang w:eastAsia="ar-SA"/>
    </w:rPr>
  </w:style>
  <w:style w:type="character" w:styleId="866" w:customStyle="1">
    <w:name w:val="Основной текст 2 Знак"/>
    <w:rPr>
      <w:rFonts w:ascii="Calibri" w:hAnsi="Calibri" w:eastAsia="Times New Roman" w:cs="Times New Roman"/>
      <w:lang w:eastAsia="ar-SA"/>
    </w:rPr>
  </w:style>
  <w:style w:type="character" w:styleId="867" w:customStyle="1">
    <w:name w:val="Основной текст 2 Знак1"/>
    <w:link w:val="865"/>
    <w:rPr>
      <w:rFonts w:ascii="Times New Roman" w:hAnsi="Times New Roman" w:eastAsia="DejaVu Sans" w:cs="font291"/>
      <w:sz w:val="24"/>
      <w:szCs w:val="20"/>
      <w:lang w:eastAsia="ar-SA"/>
    </w:rPr>
  </w:style>
  <w:style w:type="paragraph" w:styleId="868" w:customStyle="1">
    <w:name w:val="ConsPlusNormal"/>
    <w:link w:val="931"/>
    <w:uiPriority w:val="99"/>
    <w:qFormat/>
    <w:pPr>
      <w:ind w:firstLine="720"/>
    </w:pPr>
    <w:rPr>
      <w:rFonts w:ascii="Arial" w:hAnsi="Arial" w:eastAsia="Times New Roman" w:cs="Arial"/>
    </w:rPr>
  </w:style>
  <w:style w:type="character" w:styleId="869">
    <w:name w:val="Hyperlink"/>
    <w:uiPriority w:val="99"/>
    <w:rPr>
      <w:color w:val="0000ff"/>
      <w:u w:val="single"/>
    </w:rPr>
  </w:style>
  <w:style w:type="paragraph" w:styleId="870">
    <w:name w:val="Block Text"/>
    <w:basedOn w:val="690"/>
    <w:pPr>
      <w:ind w:left="200" w:right="200"/>
      <w:spacing w:before="200" w:line="480" w:lineRule="atLeast"/>
    </w:pPr>
    <w:rPr>
      <w:rFonts w:ascii="Times New Roman" w:hAnsi="Times New Roman"/>
      <w:szCs w:val="24"/>
      <w:lang w:eastAsia="ru-RU"/>
    </w:rPr>
  </w:style>
  <w:style w:type="paragraph" w:styleId="871" w:customStyle="1">
    <w:name w:val="xl91"/>
    <w:basedOn w:val="690"/>
    <w:pPr>
      <w:spacing w:before="100" w:beforeAutospacing="1" w:after="100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872" w:customStyle="1">
    <w:name w:val="Абзац списка1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paragraph" w:styleId="873" w:customStyle="1">
    <w:name w:val="Абзац списка11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character" w:styleId="874" w:customStyle="1">
    <w:name w:val="blk"/>
    <w:basedOn w:val="691"/>
  </w:style>
  <w:style w:type="paragraph" w:styleId="875" w:customStyle="1">
    <w:name w:val="Стиль"/>
    <w:pPr>
      <w:widowControl w:val="off"/>
    </w:pPr>
    <w:rPr>
      <w:rFonts w:ascii="Arial" w:hAnsi="Arial" w:eastAsia="Times New Roman" w:cs="Arial"/>
      <w:sz w:val="24"/>
      <w:szCs w:val="24"/>
    </w:rPr>
  </w:style>
  <w:style w:type="paragraph" w:styleId="876">
    <w:name w:val="Balloon Text"/>
    <w:basedOn w:val="690"/>
    <w:link w:val="87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7" w:customStyle="1">
    <w:name w:val="Текст выноски Знак"/>
    <w:link w:val="876"/>
    <w:rPr>
      <w:rFonts w:ascii="Tahoma" w:hAnsi="Tahoma" w:eastAsia="Times New Roman" w:cs="Tahoma"/>
      <w:sz w:val="16"/>
      <w:szCs w:val="16"/>
      <w:lang w:eastAsia="ar-SA"/>
    </w:rPr>
  </w:style>
  <w:style w:type="paragraph" w:styleId="878" w:customStyle="1">
    <w:name w:val="Подраздел"/>
    <w:pPr>
      <w:jc w:val="center"/>
      <w:spacing w:before="240" w:after="120" w:line="100" w:lineRule="atLeast"/>
      <w:widowControl w:val="off"/>
    </w:pPr>
    <w:rPr>
      <w:rFonts w:ascii="TimesDL" w:hAnsi="TimesDL" w:eastAsia="DejaVu Sans" w:cs="font291"/>
      <w:b/>
      <w:smallCaps/>
      <w:spacing w:val="-2"/>
      <w:sz w:val="24"/>
      <w:lang w:eastAsia="ar-SA"/>
    </w:rPr>
  </w:style>
  <w:style w:type="paragraph" w:styleId="879" w:customStyle="1">
    <w:name w:val="Footer"/>
    <w:basedOn w:val="690"/>
    <w:link w:val="880"/>
    <w:pPr>
      <w:tabs>
        <w:tab w:val="center" w:pos="4320" w:leader="none"/>
        <w:tab w:val="right" w:pos="8640" w:leader="none"/>
      </w:tabs>
    </w:pPr>
  </w:style>
  <w:style w:type="character" w:styleId="880" w:customStyle="1">
    <w:name w:val="Нижний колонтитул Знак"/>
    <w:link w:val="879"/>
    <w:rPr>
      <w:rFonts w:ascii="Calibri" w:hAnsi="Calibri" w:eastAsia="Times New Roman" w:cs="Times New Roman"/>
      <w:lang w:eastAsia="ar-SA"/>
    </w:rPr>
  </w:style>
  <w:style w:type="character" w:styleId="881">
    <w:name w:val="page number"/>
    <w:basedOn w:val="691"/>
  </w:style>
  <w:style w:type="numbering" w:styleId="882" w:customStyle="1">
    <w:name w:val="Нет списка1"/>
    <w:next w:val="693"/>
    <w:semiHidden/>
  </w:style>
  <w:style w:type="paragraph" w:styleId="883" w:customStyle="1">
    <w:name w:val="Header"/>
    <w:basedOn w:val="690"/>
    <w:link w:val="884"/>
    <w:uiPriority w:val="99"/>
    <w:pPr>
      <w:ind w:firstLine="567"/>
      <w:jc w:val="center"/>
      <w:spacing w:after="0" w:line="0" w:lineRule="atLeast"/>
      <w:tabs>
        <w:tab w:val="center" w:pos="4677" w:leader="none"/>
        <w:tab w:val="right" w:pos="9355" w:leader="none"/>
      </w:tabs>
    </w:pPr>
    <w:rPr>
      <w:rFonts w:ascii="Times New Roman" w:hAnsi="Times New Roman"/>
      <w:sz w:val="24"/>
      <w:szCs w:val="24"/>
      <w:lang w:eastAsia="ru-RU"/>
    </w:rPr>
  </w:style>
  <w:style w:type="character" w:styleId="884" w:customStyle="1">
    <w:name w:val="Верхний колонтитул Знак"/>
    <w:link w:val="88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содержание2-11"/>
    <w:basedOn w:val="690"/>
    <w:pPr>
      <w:ind w:firstLine="567"/>
      <w:jc w:val="both"/>
      <w:spacing w:after="60" w:line="0" w:lineRule="atLeast"/>
    </w:pPr>
    <w:rPr>
      <w:rFonts w:ascii="Times New Roman" w:hAnsi="Times New Roman"/>
      <w:sz w:val="24"/>
      <w:szCs w:val="24"/>
      <w:lang w:eastAsia="ru-RU"/>
    </w:rPr>
  </w:style>
  <w:style w:type="character" w:styleId="886" w:customStyle="1">
    <w:name w:val="zakon_spanusual11"/>
    <w:rPr>
      <w:rFonts w:hint="default" w:ascii="Courier New" w:hAnsi="Courier New" w:cs="Arial Unicode MS"/>
      <w:color w:val="000000"/>
      <w:sz w:val="18"/>
      <w:szCs w:val="18"/>
    </w:rPr>
  </w:style>
  <w:style w:type="paragraph" w:styleId="887" w:customStyle="1">
    <w:name w:val="Head 9.2"/>
    <w:basedOn w:val="690"/>
    <w:next w:val="690"/>
    <w:pPr>
      <w:ind w:firstLine="567"/>
      <w:jc w:val="center"/>
      <w:keepLines/>
      <w:keepNext/>
      <w:spacing w:after="0" w:line="0" w:lineRule="atLeast"/>
      <w:suppressLineNumbers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styleId="888" w:customStyle="1">
    <w:name w:val="Заголовок 2.КД"/>
    <w:basedOn w:val="690"/>
    <w:next w:val="690"/>
    <w:pPr>
      <w:ind w:firstLine="720"/>
      <w:jc w:val="center"/>
      <w:keepNext/>
      <w:spacing w:before="240" w:after="240" w:line="0" w:lineRule="atLeast"/>
      <w:widowControl w:val="off"/>
      <w:outlineLvl w:val="0"/>
    </w:pPr>
    <w:rPr>
      <w:rFonts w:ascii="Times New Roman" w:hAnsi="Times New Roman"/>
      <w:b/>
      <w:szCs w:val="24"/>
      <w:lang w:eastAsia="en-US"/>
    </w:rPr>
  </w:style>
  <w:style w:type="paragraph" w:styleId="889" w:customStyle="1">
    <w:name w:val="Prilozhenie_level_2"/>
    <w:basedOn w:val="690"/>
    <w:pPr>
      <w:ind w:firstLine="567"/>
      <w:jc w:val="center"/>
      <w:spacing w:after="0" w:line="0" w:lineRule="atLeast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890" w:customStyle="1">
    <w:name w:val="Обычный1"/>
    <w:link w:val="900"/>
    <w:pPr>
      <w:ind w:firstLine="567"/>
      <w:jc w:val="center"/>
      <w:spacing w:line="0" w:lineRule="atLeast"/>
    </w:pPr>
    <w:rPr>
      <w:rFonts w:ascii="Times New Roman" w:hAnsi="Times New Roman" w:eastAsia="Times New Roman"/>
      <w:sz w:val="28"/>
      <w:lang w:eastAsia="en-US"/>
    </w:rPr>
  </w:style>
  <w:style w:type="paragraph" w:styleId="891" w:customStyle="1">
    <w:name w:val="1 Знак Char Знак Char Знак"/>
    <w:basedOn w:val="690"/>
    <w:pPr>
      <w:ind w:firstLine="567"/>
      <w:jc w:val="center"/>
      <w:spacing w:after="160" w:line="240" w:lineRule="exact"/>
    </w:pPr>
    <w:rPr>
      <w:rFonts w:ascii="Times New Roman" w:hAnsi="Times New Roman" w:eastAsia="Calibri"/>
      <w:sz w:val="20"/>
      <w:szCs w:val="20"/>
      <w:lang w:eastAsia="zh-CN"/>
    </w:rPr>
  </w:style>
  <w:style w:type="paragraph" w:styleId="892" w:customStyle="1">
    <w:name w:val="Normal1"/>
    <w:pPr>
      <w:ind w:firstLine="567"/>
      <w:jc w:val="both"/>
      <w:spacing w:line="360" w:lineRule="auto"/>
      <w:widowControl w:val="off"/>
    </w:pPr>
    <w:rPr>
      <w:rFonts w:ascii="Times New Roman" w:hAnsi="Times New Roman" w:eastAsia="Times New Roman"/>
      <w:sz w:val="28"/>
    </w:rPr>
  </w:style>
  <w:style w:type="paragraph" w:styleId="893">
    <w:name w:val="List Paragraph"/>
    <w:basedOn w:val="690"/>
    <w:uiPriority w:val="34"/>
    <w:qFormat/>
    <w:pPr>
      <w:contextualSpacing/>
      <w:ind w:left="720"/>
    </w:pPr>
    <w:rPr>
      <w:rFonts w:eastAsia="Calibri"/>
      <w:lang w:eastAsia="en-US"/>
    </w:rPr>
  </w:style>
  <w:style w:type="character" w:styleId="894" w:customStyle="1">
    <w:name w:val="blk2"/>
    <w:rPr>
      <w:vanish w:val="0"/>
    </w:rPr>
  </w:style>
  <w:style w:type="paragraph" w:styleId="895">
    <w:name w:val="footnote text"/>
    <w:basedOn w:val="690"/>
    <w:link w:val="896"/>
    <w:uiPriority w:val="99"/>
    <w:unhideWhenUsed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896" w:customStyle="1">
    <w:name w:val="Текст сноски Знак"/>
    <w:link w:val="89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7">
    <w:name w:val="footnote reference"/>
    <w:uiPriority w:val="99"/>
    <w:unhideWhenUsed/>
    <w:rPr>
      <w:vertAlign w:val="superscript"/>
    </w:rPr>
  </w:style>
  <w:style w:type="paragraph" w:styleId="898">
    <w:name w:val="Title"/>
    <w:basedOn w:val="690"/>
    <w:link w:val="899"/>
    <w:qFormat/>
    <w:pPr>
      <w:jc w:val="center"/>
      <w:spacing w:before="240" w:after="0" w:line="240" w:lineRule="auto"/>
      <w:outlineLvl w:val="0"/>
    </w:pPr>
    <w:rPr>
      <w:rFonts w:ascii="Arial" w:hAnsi="Arial"/>
      <w:b/>
      <w:sz w:val="32"/>
      <w:szCs w:val="20"/>
    </w:rPr>
  </w:style>
  <w:style w:type="character" w:styleId="899" w:customStyle="1">
    <w:name w:val="Название Знак"/>
    <w:link w:val="898"/>
    <w:rPr>
      <w:rFonts w:ascii="Arial" w:hAnsi="Arial" w:eastAsia="Times New Roman" w:cs="Times New Roman"/>
      <w:b/>
      <w:sz w:val="32"/>
      <w:szCs w:val="20"/>
    </w:rPr>
  </w:style>
  <w:style w:type="character" w:styleId="900" w:customStyle="1">
    <w:name w:val="Normal Знак"/>
    <w:link w:val="890"/>
    <w:rPr>
      <w:rFonts w:ascii="Times New Roman" w:hAnsi="Times New Roman" w:eastAsia="Times New Roman" w:cs="Times New Roman"/>
      <w:sz w:val="28"/>
      <w:szCs w:val="20"/>
    </w:rPr>
  </w:style>
  <w:style w:type="paragraph" w:styleId="901" w:customStyle="1">
    <w:name w:val="Абзац списка2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table" w:styleId="902">
    <w:name w:val="Table Grid"/>
    <w:basedOn w:val="692"/>
    <w:uiPriority w:val="39"/>
    <w:rPr>
      <w:rFonts w:ascii="Times New Roman" w:hAnsi="Times New Roman" w:eastAsia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3" w:customStyle="1">
    <w:name w:val="Текст сноски Знак1"/>
  </w:style>
  <w:style w:type="paragraph" w:styleId="904" w:customStyle="1">
    <w:name w:val="ConsPlusNonformat"/>
    <w:uiPriority w:val="99"/>
    <w:pPr>
      <w:widowControl w:val="off"/>
    </w:pPr>
    <w:rPr>
      <w:rFonts w:ascii="Courier New" w:hAnsi="Courier New" w:eastAsia="Times New Roman" w:cs="Courier New"/>
      <w:color w:val="ff0000"/>
      <w:sz w:val="28"/>
      <w:szCs w:val="28"/>
    </w:rPr>
  </w:style>
  <w:style w:type="table" w:styleId="905" w:customStyle="1">
    <w:name w:val="Сетка таблицы1"/>
    <w:basedOn w:val="692"/>
    <w:next w:val="902"/>
    <w:uiPriority w:val="3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06" w:customStyle="1">
    <w:name w:val="Стиль225"/>
    <w:pPr>
      <w:numPr>
        <w:ilvl w:val="0"/>
        <w:numId w:val="1"/>
      </w:numPr>
    </w:pPr>
  </w:style>
  <w:style w:type="paragraph" w:styleId="907" w:customStyle="1">
    <w:name w:val="Абзац списка3"/>
    <w:basedOn w:val="690"/>
    <w:pPr>
      <w:ind w:left="720"/>
      <w:jc w:val="both"/>
      <w:spacing w:after="0" w:line="240" w:lineRule="auto"/>
      <w:widowControl w:val="off"/>
    </w:pPr>
    <w:rPr>
      <w:rFonts w:ascii="Times New Roman" w:hAnsi="Times New Roman" w:eastAsia="Calibri"/>
      <w:sz w:val="20"/>
      <w:szCs w:val="20"/>
      <w:lang w:val="en-US"/>
    </w:rPr>
  </w:style>
  <w:style w:type="character" w:styleId="908">
    <w:name w:val="annotation reference"/>
    <w:uiPriority w:val="99"/>
    <w:semiHidden/>
    <w:unhideWhenUsed/>
    <w:rPr>
      <w:sz w:val="16"/>
      <w:szCs w:val="16"/>
    </w:rPr>
  </w:style>
  <w:style w:type="paragraph" w:styleId="909">
    <w:name w:val="annotation text"/>
    <w:basedOn w:val="690"/>
    <w:link w:val="91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10" w:customStyle="1">
    <w:name w:val="Текст примечания Знак"/>
    <w:link w:val="909"/>
    <w:uiPriority w:val="99"/>
    <w:semiHidden/>
    <w:rPr>
      <w:rFonts w:eastAsia="Times New Roman"/>
      <w:lang w:eastAsia="ar-SA"/>
    </w:rPr>
  </w:style>
  <w:style w:type="paragraph" w:styleId="911">
    <w:name w:val="annotation subject"/>
    <w:basedOn w:val="909"/>
    <w:next w:val="909"/>
    <w:link w:val="912"/>
    <w:uiPriority w:val="99"/>
    <w:semiHidden/>
    <w:unhideWhenUsed/>
    <w:rPr>
      <w:b/>
      <w:bCs/>
    </w:rPr>
  </w:style>
  <w:style w:type="character" w:styleId="912" w:customStyle="1">
    <w:name w:val="Тема примечания Знак"/>
    <w:link w:val="911"/>
    <w:uiPriority w:val="99"/>
    <w:semiHidden/>
    <w:rPr>
      <w:rFonts w:eastAsia="Times New Roman"/>
      <w:b/>
      <w:bCs/>
      <w:lang w:eastAsia="ar-SA"/>
    </w:rPr>
  </w:style>
  <w:style w:type="paragraph" w:styleId="913" w:customStyle="1">
    <w:name w:val="Абзац списка4"/>
    <w:basedOn w:val="690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paragraph" w:styleId="914">
    <w:name w:val="No Spacing"/>
    <w:link w:val="927"/>
    <w:uiPriority w:val="1"/>
    <w:qFormat/>
    <w:rPr>
      <w:rFonts w:ascii="Times New Roman" w:hAnsi="Times New Roman" w:eastAsia="Times New Roman"/>
      <w:sz w:val="22"/>
      <w:szCs w:val="22"/>
    </w:rPr>
  </w:style>
  <w:style w:type="character" w:styleId="915" w:customStyle="1">
    <w:name w:val="Заголовок 1 Знак"/>
    <w:basedOn w:val="691"/>
    <w:link w:val="859"/>
    <w:rPr>
      <w:rFonts w:ascii="Cambria" w:hAnsi="Cambria" w:eastAsia="Times New Roman"/>
      <w:b/>
      <w:bCs/>
      <w:sz w:val="32"/>
      <w:szCs w:val="32"/>
      <w:lang w:eastAsia="ar-SA"/>
    </w:rPr>
  </w:style>
  <w:style w:type="paragraph" w:styleId="916" w:customStyle="1">
    <w:name w:val="Подпункт"/>
    <w:basedOn w:val="690"/>
    <w:pPr>
      <w:jc w:val="both"/>
      <w:spacing w:after="0" w:line="240" w:lineRule="auto"/>
    </w:pPr>
    <w:rPr>
      <w:rFonts w:ascii="Times New Roman" w:hAnsi="Times New Roman"/>
      <w:sz w:val="24"/>
      <w:szCs w:val="28"/>
      <w:lang w:eastAsia="ru-RU"/>
    </w:rPr>
  </w:style>
  <w:style w:type="paragraph" w:styleId="917">
    <w:name w:val="Body Text Indent"/>
    <w:basedOn w:val="690"/>
    <w:link w:val="918"/>
    <w:pPr>
      <w:ind w:firstLine="567"/>
      <w:jc w:val="both"/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styleId="918" w:customStyle="1">
    <w:name w:val="Основной текст с отступом Знак"/>
    <w:basedOn w:val="691"/>
    <w:link w:val="917"/>
    <w:rPr>
      <w:rFonts w:ascii="Times New Roman" w:hAnsi="Times New Roman" w:eastAsia="Times New Roman"/>
      <w:sz w:val="24"/>
    </w:rPr>
  </w:style>
  <w:style w:type="paragraph" w:styleId="919" w:customStyle="1">
    <w:name w:val="Знак Знак Знак Знак Знак Знак1 Знак Знак Знак Знак Знак Знак1 Знак"/>
    <w:basedOn w:val="690"/>
    <w:pPr>
      <w:spacing w:after="160" w:line="240" w:lineRule="exact"/>
    </w:pPr>
    <w:rPr>
      <w:rFonts w:ascii="Times New Roman" w:hAnsi="Times New Roman" w:eastAsia="Calibri"/>
      <w:sz w:val="28"/>
      <w:szCs w:val="28"/>
      <w:lang w:eastAsia="zh-CN"/>
    </w:rPr>
  </w:style>
  <w:style w:type="character" w:styleId="920">
    <w:name w:val="Emphasis"/>
    <w:basedOn w:val="691"/>
    <w:qFormat/>
    <w:rPr>
      <w:i/>
      <w:iCs/>
    </w:rPr>
  </w:style>
  <w:style w:type="paragraph" w:styleId="921" w:customStyle="1">
    <w:name w:val="Обычный + 14 пт"/>
    <w:basedOn w:val="690"/>
    <w:pPr>
      <w:numPr>
        <w:ilvl w:val="0"/>
        <w:numId w:val="2"/>
      </w:numPr>
      <w:jc w:val="both"/>
      <w:spacing w:after="0" w:line="240" w:lineRule="auto"/>
    </w:pPr>
    <w:rPr>
      <w:rFonts w:ascii="Arial" w:hAnsi="Arial" w:cs="Arial"/>
      <w:color w:val="000000"/>
      <w:sz w:val="20"/>
      <w:szCs w:val="20"/>
      <w:lang w:eastAsia="ru-RU"/>
    </w:rPr>
  </w:style>
  <w:style w:type="paragraph" w:styleId="922">
    <w:name w:val="Body Text 3"/>
    <w:basedOn w:val="690"/>
    <w:link w:val="923"/>
    <w:pPr>
      <w:spacing w:after="120"/>
    </w:pPr>
    <w:rPr>
      <w:sz w:val="16"/>
      <w:szCs w:val="16"/>
    </w:rPr>
  </w:style>
  <w:style w:type="character" w:styleId="923" w:customStyle="1">
    <w:name w:val="Основной текст 3 Знак"/>
    <w:basedOn w:val="691"/>
    <w:link w:val="922"/>
    <w:rPr>
      <w:rFonts w:eastAsia="Times New Roman"/>
      <w:sz w:val="16"/>
      <w:szCs w:val="16"/>
      <w:lang w:eastAsia="ar-SA"/>
    </w:rPr>
  </w:style>
  <w:style w:type="paragraph" w:styleId="924" w:customStyle="1">
    <w:name w:val="Default"/>
    <w:uiPriority w:val="99"/>
    <w:pPr>
      <w:widowControl w:val="off"/>
    </w:pPr>
    <w:rPr>
      <w:rFonts w:ascii="GaramondC" w:hAnsi="GaramondC" w:eastAsia="MS Mincho" w:cs="GaramondC"/>
      <w:color w:val="000000"/>
      <w:sz w:val="24"/>
      <w:szCs w:val="24"/>
      <w:lang w:eastAsia="ja-JP"/>
    </w:rPr>
  </w:style>
  <w:style w:type="character" w:styleId="925" w:customStyle="1">
    <w:name w:val="Основной текст Знак1"/>
    <w:basedOn w:val="691"/>
    <w:uiPriority w:val="99"/>
    <w:rPr>
      <w:rFonts w:ascii="Times New Roman" w:hAnsi="Times New Roman" w:cs="Times New Roman"/>
      <w:spacing w:val="10"/>
      <w:sz w:val="23"/>
      <w:szCs w:val="23"/>
      <w:u w:val="none"/>
    </w:rPr>
  </w:style>
  <w:style w:type="character" w:styleId="926">
    <w:name w:val="Strong"/>
    <w:uiPriority w:val="22"/>
    <w:qFormat/>
    <w:rPr>
      <w:rFonts w:hint="default" w:ascii="Times New Roman" w:hAnsi="Times New Roman" w:cs="Times New Roman"/>
      <w:b/>
      <w:bCs/>
    </w:rPr>
  </w:style>
  <w:style w:type="character" w:styleId="927" w:customStyle="1">
    <w:name w:val="Без интервала Знак"/>
    <w:link w:val="914"/>
    <w:uiPriority w:val="1"/>
    <w:rPr>
      <w:rFonts w:ascii="Times New Roman" w:hAnsi="Times New Roman" w:eastAsia="Times New Roman"/>
      <w:sz w:val="22"/>
      <w:szCs w:val="22"/>
    </w:rPr>
  </w:style>
  <w:style w:type="paragraph" w:styleId="928">
    <w:name w:val="endnote text"/>
    <w:basedOn w:val="690"/>
    <w:link w:val="92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29" w:customStyle="1">
    <w:name w:val="Текст концевой сноски Знак"/>
    <w:basedOn w:val="691"/>
    <w:link w:val="928"/>
    <w:uiPriority w:val="99"/>
    <w:semiHidden/>
    <w:rPr>
      <w:rFonts w:eastAsia="Times New Roman"/>
      <w:lang w:eastAsia="ar-SA"/>
    </w:rPr>
  </w:style>
  <w:style w:type="character" w:styleId="930">
    <w:name w:val="endnote reference"/>
    <w:basedOn w:val="691"/>
    <w:uiPriority w:val="99"/>
    <w:semiHidden/>
    <w:unhideWhenUsed/>
    <w:rPr>
      <w:vertAlign w:val="superscript"/>
    </w:rPr>
  </w:style>
  <w:style w:type="character" w:styleId="931" w:customStyle="1">
    <w:name w:val="ConsPlusNormal Знак"/>
    <w:link w:val="868"/>
    <w:uiPriority w:val="99"/>
    <w:rPr>
      <w:rFonts w:ascii="Arial" w:hAnsi="Arial" w:eastAsia="Times New Roman" w:cs="Arial"/>
    </w:rPr>
  </w:style>
  <w:style w:type="table" w:styleId="932" w:customStyle="1">
    <w:name w:val="Сетка таблицы2"/>
    <w:basedOn w:val="692"/>
    <w:next w:val="902"/>
    <w:uiPriority w:val="39"/>
    <w:rPr>
      <w:rFonts w:eastAsia="Times New Roman"/>
      <w:sz w:val="22"/>
      <w:szCs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3" w:customStyle="1">
    <w:name w:val="Абзац списка5"/>
    <w:basedOn w:val="690"/>
    <w:pPr>
      <w:contextualSpacing/>
      <w:ind w:left="720"/>
    </w:pPr>
    <w:rPr>
      <w:rFonts w:eastAsia="Calibri" w:cs="Calibri"/>
      <w:lang w:eastAsia="en-US"/>
    </w:rPr>
  </w:style>
  <w:style w:type="character" w:styleId="934" w:customStyle="1">
    <w:name w:val="inqyif"/>
    <w:basedOn w:val="69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garantF1://10080094.10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3C23-5A9C-49D4-ABFE-66491432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 Ильдарович Мерсияпов</dc:creator>
  <cp:revision>66</cp:revision>
  <dcterms:created xsi:type="dcterms:W3CDTF">2022-08-18T09:05:00Z</dcterms:created>
  <dcterms:modified xsi:type="dcterms:W3CDTF">2026-08-24T05:31:00Z</dcterms:modified>
</cp:coreProperties>
</file>