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01D0DEF"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w:t>
      </w:r>
      <w:r w:rsidR="00BA1C8B">
        <w:rPr>
          <w:rFonts w:ascii="Times New Roman" w:hAnsi="Times New Roman" w:cs="Times New Roman"/>
          <w:sz w:val="20"/>
          <w:szCs w:val="20"/>
        </w:rPr>
        <w:t xml:space="preserve"> </w:t>
      </w:r>
      <w:r w:rsidR="00BA1C8B" w:rsidRPr="00BA1C8B">
        <w:rPr>
          <w:rFonts w:ascii="Times New Roman" w:hAnsi="Times New Roman" w:cs="Times New Roman"/>
          <w:sz w:val="20"/>
          <w:szCs w:val="20"/>
        </w:rPr>
        <w:t>Врио начальника учреждения Репинского Дениса Васильевича, действующего на основании Доверенности №498 от 11.04.2025г. и приказа № 171-к от 26.05.2026г</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7BC3297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431B4A">
      <w:pPr>
        <w:tabs>
          <w:tab w:val="left" w:pos="6480"/>
          <w:tab w:val="left" w:pos="11057"/>
          <w:tab w:val="left" w:pos="11199"/>
        </w:tabs>
        <w:spacing w:after="0" w:line="240" w:lineRule="auto"/>
        <w:ind w:right="-74"/>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985"/>
        <w:gridCol w:w="567"/>
        <w:gridCol w:w="1099"/>
        <w:gridCol w:w="1263"/>
        <w:gridCol w:w="2174"/>
      </w:tblGrid>
      <w:tr w:rsidR="001B1875" w:rsidRPr="00F22D71" w14:paraId="653FD868" w14:textId="77777777" w:rsidTr="00035F1E">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985"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567"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099"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39D405ED"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w:t>
            </w:r>
            <w:r w:rsidR="00431B4A">
              <w:rPr>
                <w:rFonts w:ascii="Times New Roman" w:eastAsia="Times New Roman" w:hAnsi="Times New Roman" w:cs="Times New Roman"/>
              </w:rPr>
              <w:t>м</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035F1E">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5CA4CF02" w:rsidR="00564FC9" w:rsidRPr="00035F1E" w:rsidRDefault="00431B4A" w:rsidP="00F768D0">
            <w:pPr>
              <w:shd w:val="clear" w:color="auto" w:fill="FFFFFF"/>
              <w:spacing w:after="0" w:line="240" w:lineRule="auto"/>
              <w:rPr>
                <w:rFonts w:ascii="Times New Roman" w:eastAsia="Times New Roman" w:hAnsi="Times New Roman" w:cs="Times New Roman"/>
              </w:rPr>
            </w:pPr>
            <w:r w:rsidRPr="00431B4A">
              <w:rPr>
                <w:rFonts w:ascii="Times New Roman" w:eastAsia="Times New Roman" w:hAnsi="Times New Roman" w:cs="Times New Roman"/>
              </w:rPr>
              <w:t>Провод многожильный ПГМП 3*2,5мм</w:t>
            </w:r>
          </w:p>
        </w:tc>
        <w:tc>
          <w:tcPr>
            <w:tcW w:w="1985" w:type="dxa"/>
          </w:tcPr>
          <w:p w14:paraId="78AA670F" w14:textId="60A994E6" w:rsidR="00A938D6" w:rsidRPr="00035F1E" w:rsidRDefault="00A938D6" w:rsidP="00A938D6">
            <w:pPr>
              <w:spacing w:after="0" w:line="240" w:lineRule="auto"/>
              <w:jc w:val="center"/>
              <w:rPr>
                <w:rFonts w:ascii="Times New Roman" w:eastAsia="Calibri" w:hAnsi="Times New Roman" w:cs="Times New Roman"/>
                <w:sz w:val="20"/>
                <w:szCs w:val="20"/>
                <w:lang w:eastAsia="en-US"/>
              </w:rPr>
            </w:pPr>
            <w:r w:rsidRPr="00035F1E">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5AF6C500" w14:textId="070179EC" w:rsidR="00A938D6" w:rsidRPr="001B1875" w:rsidRDefault="00431B4A"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м</w:t>
            </w:r>
          </w:p>
        </w:tc>
        <w:tc>
          <w:tcPr>
            <w:tcW w:w="1099" w:type="dxa"/>
          </w:tcPr>
          <w:p w14:paraId="174B1212" w14:textId="79CACB97" w:rsidR="00A938D6" w:rsidRPr="001B1875" w:rsidRDefault="00431B4A"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A711DA">
              <w:rPr>
                <w:rFonts w:ascii="Times New Roman" w:eastAsia="Times New Roman" w:hAnsi="Times New Roman" w:cs="Times New Roman"/>
              </w:rPr>
              <w:t>0</w:t>
            </w:r>
            <w:r w:rsidR="00B140F7">
              <w:rPr>
                <w:rFonts w:ascii="Times New Roman" w:eastAsia="Times New Roman" w:hAnsi="Times New Roman" w:cs="Times New Roman"/>
              </w:rPr>
              <w:t>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1FE0383F" w:rsidR="00A938D6" w:rsidRPr="00035F1E" w:rsidRDefault="007F71FB" w:rsidP="00A938D6">
            <w:pPr>
              <w:spacing w:after="0" w:line="240" w:lineRule="auto"/>
              <w:jc w:val="center"/>
              <w:rPr>
                <w:rFonts w:ascii="Times New Roman" w:eastAsia="Times New Roman" w:hAnsi="Times New Roman" w:cs="Times New Roman"/>
                <w:sz w:val="20"/>
                <w:szCs w:val="20"/>
              </w:rPr>
            </w:pPr>
            <w:r w:rsidRPr="00035F1E">
              <w:rPr>
                <w:rFonts w:ascii="Times New Roman" w:eastAsia="Times New Roman" w:hAnsi="Times New Roman" w:cs="Times New Roman"/>
                <w:sz w:val="20"/>
                <w:szCs w:val="20"/>
              </w:rPr>
              <w:t xml:space="preserve">С момента заключения </w:t>
            </w:r>
            <w:r w:rsidR="00C631B6">
              <w:rPr>
                <w:rFonts w:ascii="Times New Roman" w:eastAsia="Times New Roman" w:hAnsi="Times New Roman" w:cs="Times New Roman"/>
                <w:sz w:val="20"/>
                <w:szCs w:val="20"/>
              </w:rPr>
              <w:t xml:space="preserve">контракта </w:t>
            </w:r>
            <w:r w:rsidR="00B01608" w:rsidRPr="00035F1E">
              <w:rPr>
                <w:rFonts w:ascii="Times New Roman" w:eastAsia="Times New Roman" w:hAnsi="Times New Roman" w:cs="Times New Roman"/>
                <w:sz w:val="20"/>
                <w:szCs w:val="20"/>
              </w:rPr>
              <w:t xml:space="preserve">в </w:t>
            </w:r>
            <w:r w:rsidR="00C631B6">
              <w:rPr>
                <w:rFonts w:ascii="Times New Roman" w:eastAsia="Times New Roman" w:hAnsi="Times New Roman" w:cs="Times New Roman"/>
                <w:sz w:val="20"/>
                <w:szCs w:val="20"/>
              </w:rPr>
              <w:t>течении 7 рабочих дней.</w:t>
            </w:r>
            <w:r w:rsidR="003119C8" w:rsidRPr="00035F1E">
              <w:rPr>
                <w:rFonts w:ascii="Times New Roman" w:eastAsia="Times New Roman" w:hAnsi="Times New Roman" w:cs="Times New Roman"/>
                <w:sz w:val="20"/>
                <w:szCs w:val="20"/>
              </w:rPr>
              <w:t xml:space="preserve"> </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39A6687A" w:rsidR="00703CE0" w:rsidRDefault="00703CE0" w:rsidP="001B1875">
      <w:pPr>
        <w:tabs>
          <w:tab w:val="left" w:pos="1845"/>
        </w:tabs>
        <w:spacing w:after="0" w:line="240" w:lineRule="auto"/>
        <w:rPr>
          <w:rFonts w:ascii="Times New Roman" w:eastAsia="Times New Roman" w:hAnsi="Times New Roman" w:cs="Times New Roman"/>
          <w:sz w:val="20"/>
          <w:szCs w:val="20"/>
        </w:rPr>
      </w:pPr>
    </w:p>
    <w:p w14:paraId="4002E79D" w14:textId="77777777" w:rsidR="00431B4A" w:rsidRDefault="00431B4A" w:rsidP="001B1875">
      <w:pPr>
        <w:tabs>
          <w:tab w:val="left" w:pos="1845"/>
        </w:tabs>
        <w:spacing w:after="0" w:line="240" w:lineRule="auto"/>
        <w:rPr>
          <w:rFonts w:ascii="Times New Roman" w:eastAsia="Times New Roman" w:hAnsi="Times New Roman" w:cs="Times New Roman"/>
          <w:sz w:val="20"/>
          <w:szCs w:val="20"/>
        </w:rPr>
      </w:pPr>
    </w:p>
    <w:p w14:paraId="2A722A66" w14:textId="77777777" w:rsidR="00BA1C8B" w:rsidRPr="00F22D71" w:rsidRDefault="00BA1C8B"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1B3B9BC9" w14:textId="77777777" w:rsidR="00703CE0"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p w14:paraId="2D6A90FA" w14:textId="4A7C3CF7" w:rsidR="00431B4A" w:rsidRPr="00F22D71" w:rsidRDefault="00431B4A"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bookmarkStart w:id="2" w:name="_GoBack"/>
            <w:bookmarkEnd w:id="2"/>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76FC7D6"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3E1F552F" w14:textId="0E756CF3" w:rsidR="00C34156" w:rsidRDefault="00C34156" w:rsidP="00E11713">
      <w:pPr>
        <w:tabs>
          <w:tab w:val="left" w:pos="7025"/>
        </w:tabs>
        <w:rPr>
          <w:rFonts w:ascii="Times New Roman" w:hAnsi="Times New Roman" w:cs="Times New Roman"/>
          <w:i/>
          <w:sz w:val="20"/>
          <w:szCs w:val="20"/>
        </w:rPr>
      </w:pPr>
    </w:p>
    <w:p w14:paraId="49E15735" w14:textId="64DB572E" w:rsidR="00680B71" w:rsidRDefault="00680B71" w:rsidP="00E11713">
      <w:pPr>
        <w:tabs>
          <w:tab w:val="left" w:pos="7025"/>
        </w:tabs>
        <w:rPr>
          <w:rFonts w:ascii="Times New Roman" w:hAnsi="Times New Roman" w:cs="Times New Roman"/>
          <w:i/>
          <w:sz w:val="20"/>
          <w:szCs w:val="20"/>
        </w:rPr>
      </w:pPr>
    </w:p>
    <w:p w14:paraId="4DAC7220" w14:textId="6BA31D79" w:rsidR="00680B71" w:rsidRDefault="00680B71" w:rsidP="00E11713">
      <w:pPr>
        <w:tabs>
          <w:tab w:val="left" w:pos="7025"/>
        </w:tabs>
        <w:rPr>
          <w:rFonts w:ascii="Times New Roman" w:hAnsi="Times New Roman" w:cs="Times New Roman"/>
          <w:i/>
          <w:sz w:val="20"/>
          <w:szCs w:val="20"/>
        </w:rPr>
      </w:pPr>
    </w:p>
    <w:p w14:paraId="6BAEA1B7" w14:textId="257EE5F0" w:rsidR="00680B71" w:rsidRDefault="00680B71" w:rsidP="00E11713">
      <w:pPr>
        <w:tabs>
          <w:tab w:val="left" w:pos="7025"/>
        </w:tabs>
        <w:rPr>
          <w:rFonts w:ascii="Times New Roman" w:hAnsi="Times New Roman" w:cs="Times New Roman"/>
          <w:i/>
          <w:sz w:val="20"/>
          <w:szCs w:val="20"/>
        </w:rPr>
      </w:pPr>
    </w:p>
    <w:p w14:paraId="1047F6CA" w14:textId="36AA7AEC" w:rsidR="00680B71" w:rsidRDefault="00680B71" w:rsidP="00E11713">
      <w:pPr>
        <w:tabs>
          <w:tab w:val="left" w:pos="7025"/>
        </w:tabs>
        <w:rPr>
          <w:rFonts w:ascii="Times New Roman" w:hAnsi="Times New Roman" w:cs="Times New Roman"/>
          <w:i/>
          <w:sz w:val="20"/>
          <w:szCs w:val="20"/>
        </w:rPr>
      </w:pPr>
    </w:p>
    <w:p w14:paraId="453A9051" w14:textId="72BF526F" w:rsidR="00035F1E" w:rsidRDefault="00035F1E" w:rsidP="00E11713">
      <w:pPr>
        <w:tabs>
          <w:tab w:val="left" w:pos="7025"/>
        </w:tabs>
        <w:rPr>
          <w:rFonts w:ascii="Times New Roman" w:hAnsi="Times New Roman" w:cs="Times New Roman"/>
          <w:i/>
          <w:sz w:val="20"/>
          <w:szCs w:val="20"/>
        </w:rPr>
      </w:pPr>
    </w:p>
    <w:p w14:paraId="30CA5274" w14:textId="5CC9F5CB" w:rsidR="00035F1E" w:rsidRDefault="00035F1E" w:rsidP="00E11713">
      <w:pPr>
        <w:tabs>
          <w:tab w:val="left" w:pos="7025"/>
        </w:tabs>
        <w:rPr>
          <w:rFonts w:ascii="Times New Roman" w:hAnsi="Times New Roman" w:cs="Times New Roman"/>
          <w:i/>
          <w:sz w:val="20"/>
          <w:szCs w:val="20"/>
        </w:rPr>
      </w:pPr>
    </w:p>
    <w:p w14:paraId="4AE75BCA" w14:textId="28B93591" w:rsidR="00035F1E" w:rsidRDefault="00035F1E" w:rsidP="00E11713">
      <w:pPr>
        <w:tabs>
          <w:tab w:val="left" w:pos="7025"/>
        </w:tabs>
        <w:rPr>
          <w:rFonts w:ascii="Times New Roman" w:hAnsi="Times New Roman" w:cs="Times New Roman"/>
          <w:i/>
          <w:sz w:val="20"/>
          <w:szCs w:val="20"/>
        </w:rPr>
      </w:pPr>
    </w:p>
    <w:p w14:paraId="6448C5B4" w14:textId="56D575E9" w:rsidR="00035F1E" w:rsidRDefault="00035F1E" w:rsidP="00E11713">
      <w:pPr>
        <w:tabs>
          <w:tab w:val="left" w:pos="7025"/>
        </w:tabs>
        <w:rPr>
          <w:rFonts w:ascii="Times New Roman" w:hAnsi="Times New Roman" w:cs="Times New Roman"/>
          <w:i/>
          <w:sz w:val="20"/>
          <w:szCs w:val="20"/>
        </w:rPr>
      </w:pPr>
    </w:p>
    <w:p w14:paraId="56195E95" w14:textId="264E6C65" w:rsidR="00035F1E" w:rsidRDefault="00035F1E" w:rsidP="00E11713">
      <w:pPr>
        <w:tabs>
          <w:tab w:val="left" w:pos="7025"/>
        </w:tabs>
        <w:rPr>
          <w:rFonts w:ascii="Times New Roman" w:hAnsi="Times New Roman" w:cs="Times New Roman"/>
          <w:i/>
          <w:sz w:val="20"/>
          <w:szCs w:val="20"/>
        </w:rPr>
      </w:pPr>
    </w:p>
    <w:p w14:paraId="56A65583" w14:textId="77777777" w:rsidR="00035F1E" w:rsidRDefault="00035F1E"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A9912" w14:textId="77777777" w:rsidR="00DA485C" w:rsidRDefault="00DA485C">
      <w:pPr>
        <w:spacing w:after="0" w:line="240" w:lineRule="auto"/>
      </w:pPr>
      <w:r>
        <w:separator/>
      </w:r>
    </w:p>
  </w:endnote>
  <w:endnote w:type="continuationSeparator" w:id="0">
    <w:p w14:paraId="3C518AE8" w14:textId="77777777" w:rsidR="00DA485C" w:rsidRDefault="00DA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4DA88" w14:textId="77777777" w:rsidR="00DA485C" w:rsidRDefault="00DA485C">
      <w:pPr>
        <w:spacing w:after="0" w:line="240" w:lineRule="auto"/>
      </w:pPr>
      <w:r>
        <w:separator/>
      </w:r>
    </w:p>
  </w:footnote>
  <w:footnote w:type="continuationSeparator" w:id="0">
    <w:p w14:paraId="19B9D97E" w14:textId="77777777" w:rsidR="00DA485C" w:rsidRDefault="00DA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5F1E"/>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946"/>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B4A"/>
    <w:rsid w:val="00431C5F"/>
    <w:rsid w:val="00436282"/>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E0C"/>
    <w:rsid w:val="00666FE2"/>
    <w:rsid w:val="006730C3"/>
    <w:rsid w:val="00673DF5"/>
    <w:rsid w:val="00680B71"/>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41BC"/>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11DA"/>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15F5"/>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1C8B"/>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24"/>
    <w:rsid w:val="00C22064"/>
    <w:rsid w:val="00C23024"/>
    <w:rsid w:val="00C24530"/>
    <w:rsid w:val="00C27F80"/>
    <w:rsid w:val="00C34156"/>
    <w:rsid w:val="00C3552A"/>
    <w:rsid w:val="00C363E8"/>
    <w:rsid w:val="00C36483"/>
    <w:rsid w:val="00C43102"/>
    <w:rsid w:val="00C4570A"/>
    <w:rsid w:val="00C54F31"/>
    <w:rsid w:val="00C605E4"/>
    <w:rsid w:val="00C61BC5"/>
    <w:rsid w:val="00C631B6"/>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23997"/>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A485C"/>
    <w:rsid w:val="00DB279C"/>
    <w:rsid w:val="00DC0890"/>
    <w:rsid w:val="00DC13D4"/>
    <w:rsid w:val="00DC4602"/>
    <w:rsid w:val="00DC7630"/>
    <w:rsid w:val="00DD7C7D"/>
    <w:rsid w:val="00DE3E97"/>
    <w:rsid w:val="00DE4244"/>
    <w:rsid w:val="00DF09E3"/>
    <w:rsid w:val="00DF2DB9"/>
    <w:rsid w:val="00DF30C3"/>
    <w:rsid w:val="00DF639F"/>
    <w:rsid w:val="00E03F1E"/>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DA76-5A0F-43CB-9089-D8C4F923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5816</Words>
  <Characters>33155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2026-07-02T11:04:00Z</dcterms:created>
  <dcterms:modified xsi:type="dcterms:W3CDTF">2026-07-02T11:04:00Z</dcterms:modified>
</cp:coreProperties>
</file>