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w:t>
      </w:r>
      <w:r>
        <w:rPr>
          <w:shd w:fill="auto" w:val="clear"/>
        </w:rPr>
        <w:t>дной стороны, и _____________________, в лице ____________, действующего на основании _____, именуем</w:t>
      </w:r>
      <w:r>
        <w:rPr>
          <w:rFonts w:eastAsia="Times New Roman" w:cs="Times New Roman"/>
          <w:color w:val="auto"/>
          <w:kern w:val="0"/>
          <w:sz w:val="20"/>
          <w:szCs w:val="20"/>
          <w:shd w:fill="auto" w:val="clear"/>
          <w:lang w:val="ru-RU" w:eastAsia="ru-RU" w:bidi="ar-SA"/>
        </w:rPr>
        <w:t>ое</w:t>
      </w:r>
      <w:r>
        <w:rPr>
          <w:shd w:fill="auto" w:val="clear"/>
        </w:rPr>
        <w:t xml:space="preserve"> в дальнейшем </w:t>
      </w:r>
      <w:r>
        <w:rPr>
          <w:b/>
          <w:bCs/>
          <w:shd w:fill="auto" w:val="clear"/>
        </w:rPr>
        <w:t>«Поставщик»</w:t>
      </w:r>
      <w:r>
        <w:rPr>
          <w:shd w:fill="auto" w:val="clear"/>
        </w:rPr>
        <w:t xml:space="preserve">, с другой стороны, в дальнейшем именуемые </w:t>
      </w:r>
      <w:r>
        <w:rPr>
          <w:b/>
          <w:bCs/>
          <w:shd w:fill="auto" w:val="clear"/>
        </w:rPr>
        <w:t>«Стороны/Сторона»</w:t>
      </w:r>
      <w:r>
        <w:rPr>
          <w:shd w:fill="auto" w:val="clear"/>
        </w:rPr>
        <w:t xml:space="preserve">, на основании </w:t>
      </w:r>
      <w:r>
        <w:rPr>
          <w:shd w:fill="auto" w:val="clear"/>
        </w:rPr>
        <w:t>пункта 4 части 1 статьи 93 Федерального Закона от 05.04.2013 г. № 44-ФЗ</w:t>
      </w:r>
      <w:r>
        <w:rPr>
          <w:shd w:fill="auto" w:val="clear"/>
        </w:rPr>
        <w:t xml:space="preserve"> «О кон</w:t>
      </w:r>
      <w:r>
        <w:rPr/>
        <w:t>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тов</w:t>
      </w:r>
      <w:r>
        <w:rPr>
          <w:rFonts w:eastAsia="Times New Roman" w:cs="Times New Roman"/>
          <w:color w:val="auto"/>
          <w:kern w:val="0"/>
          <w:sz w:val="20"/>
          <w:szCs w:val="20"/>
          <w:lang w:val="ru-RU" w:eastAsia="ru-RU" w:bidi="ar-SA"/>
        </w:rPr>
        <w:t>ар: замки электромагнитные</w:t>
      </w:r>
      <w:bookmarkStart w:id="2" w:name="_Hlk174882135"/>
      <w:r>
        <w:rPr>
          <w:rFonts w:eastAsia="Times New Roman" w:cs="Times New Roman"/>
          <w:color w:val="auto"/>
          <w:kern w:val="0"/>
          <w:sz w:val="20"/>
          <w:szCs w:val="20"/>
          <w:lang w:val="ru-RU" w:eastAsia="ru-RU" w:bidi="ar-SA"/>
        </w:rPr>
        <w:t xml:space="preserve"> </w:t>
      </w:r>
      <w:bookmarkEnd w:id="2"/>
      <w:r>
        <w:rPr>
          <w:rFonts w:eastAsia="Times New Roman" w:cs="Times New Roman"/>
          <w:color w:val="auto"/>
          <w:kern w:val="0"/>
          <w:sz w:val="20"/>
          <w:szCs w:val="20"/>
          <w:lang w:val="ru-RU" w:eastAsia="ru-RU" w:bidi="ar-SA"/>
        </w:rPr>
        <w:t>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Товара устанавливается</w:t>
      </w:r>
      <w:r>
        <w:rPr/>
        <w:t xml:space="preserve">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 xml:space="preserve">единовременно </w:t>
      </w:r>
      <w:r>
        <w:rPr>
          <w:i w:val="false"/>
          <w:iCs w:val="false"/>
          <w:u w:val="none"/>
          <w:shd w:fill="auto" w:val="clear"/>
        </w:rPr>
        <w:t>в течении 30 дней с момента заключения контракта</w:t>
      </w:r>
      <w:r>
        <w:rPr>
          <w:b/>
          <w:bCs/>
          <w:shd w:fill="auto" w:val="clear"/>
        </w:rPr>
        <w:t>.</w:t>
      </w:r>
      <w:r>
        <w:rPr>
          <w:shd w:fill="auto" w:val="clear"/>
        </w:rPr>
        <w:t xml:space="preserve"> </w:t>
      </w:r>
      <w:r>
        <w:rPr>
          <w:shd w:fill="auto" w:val="clear"/>
        </w:rPr>
        <w:t xml:space="preserve"> </w:t>
      </w:r>
    </w:p>
    <w:p>
      <w:pPr>
        <w:pStyle w:val="Normal"/>
        <w:shd w:val="clear" w:fill="FFFFFF"/>
        <w:tabs>
          <w:tab w:val="clear" w:pos="531"/>
          <w:tab w:val="left" w:pos="0" w:leader="none"/>
          <w:tab w:val="left" w:pos="900" w:leader="none"/>
        </w:tabs>
        <w:jc w:val="both"/>
        <w:rPr>
          <w:rFonts w:eastAsia="Times New Roman" w:cs="Times New Roman"/>
          <w:bCs/>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fill="FFFFFF"/>
        <w:tabs>
          <w:tab w:val="clear" w:pos="531"/>
          <w:tab w:val="left" w:pos="0" w:leader="none"/>
          <w:tab w:val="left" w:pos="900" w:leader="none"/>
        </w:tabs>
        <w:jc w:val="both"/>
        <w:rPr/>
      </w:pPr>
      <w:r>
        <w:rPr>
          <w:rFonts w:eastAsia="Times New Roman" w:cs="Times New Roman"/>
          <w:bCs/>
        </w:rPr>
        <w:t xml:space="preserve">   </w:t>
      </w:r>
      <w:r>
        <w:rPr>
          <w:bCs/>
          <w:shd w:fill="auto" w:val="clear"/>
        </w:rPr>
        <w:t xml:space="preserve">О </w:t>
      </w:r>
      <w:r>
        <w:rPr>
          <w:bCs/>
          <w:shd w:fill="auto" w:val="clear"/>
        </w:rPr>
        <w:t>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color w:val="000000"/>
          <w:shd w:fill="auto" w:val="clear"/>
        </w:rPr>
      </w:pPr>
      <w:r>
        <w:rPr/>
        <w:t xml:space="preserve">4.3. </w:t>
      </w:r>
      <w:r>
        <w:rPr>
          <w:color w:val="000000"/>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rFonts w:eastAsia="Times New Roman" w:cs="Times New Roman"/>
          <w:shd w:fill="auto" w:val="clear"/>
        </w:rPr>
        <w:t xml:space="preserve">- </w:t>
      </w:r>
      <w:r>
        <w:rPr>
          <w:shd w:fill="auto" w:val="clear"/>
        </w:rPr>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Гарантийный срок эксплуата</w:t>
      </w:r>
      <w:r>
        <w:rPr>
          <w:rFonts w:eastAsia="Times New Roman" w:cs="Times New Roman"/>
          <w:bCs/>
          <w:color w:val="000000"/>
          <w:kern w:val="0"/>
          <w:sz w:val="20"/>
          <w:szCs w:val="20"/>
          <w:shd w:fill="auto" w:val="clear"/>
          <w:lang w:val="ru-RU" w:eastAsia="ru-RU" w:bidi="ar-SA"/>
        </w:rPr>
        <w:t xml:space="preserve">ции - не менее 12 месяцев. </w:t>
      </w:r>
      <w:bookmarkEnd w:id="6"/>
      <w:r>
        <w:rPr>
          <w:rFonts w:cs="Times New Roman"/>
          <w:bCs/>
          <w:color w:val="000000"/>
          <w:shd w:fill="auto" w:val="clear"/>
        </w:rPr>
        <w:t>Поста</w:t>
      </w:r>
      <w:r>
        <w:rPr>
          <w:rFonts w:cs="Times New Roman"/>
          <w:bCs/>
          <w:color w:val="000000"/>
          <w:shd w:fill="auto" w:val="clear"/>
        </w:rPr>
        <w:t xml:space="preserve">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w:t>
      </w:r>
      <w:r>
        <w:rPr>
          <w:rFonts w:cs="Times New Roman" w:ascii="Times New Roman" w:hAnsi="Times New Roman"/>
          <w:b w:val="false"/>
          <w:bCs w:val="false"/>
          <w:sz w:val="20"/>
          <w:szCs w:val="20"/>
          <w:shd w:fill="auto" w:val="clear"/>
        </w:rPr>
        <w:t xml:space="preserve">с момента заключения и действует до </w:t>
      </w:r>
      <w:r>
        <w:rPr>
          <w:rFonts w:cs="Times New Roman" w:ascii="Times New Roman" w:hAnsi="Times New Roman"/>
          <w:b w:val="false"/>
          <w:bCs w:val="false"/>
          <w:sz w:val="20"/>
          <w:szCs w:val="20"/>
          <w:shd w:fill="auto" w:val="clear"/>
        </w:rPr>
        <w:t>30</w:t>
      </w:r>
      <w:r>
        <w:rPr>
          <w:rFonts w:cs="Times New Roman" w:ascii="Times New Roman" w:hAnsi="Times New Roman"/>
          <w:b w:val="false"/>
          <w:bCs w:val="false"/>
          <w:color w:val="000000"/>
          <w:sz w:val="20"/>
          <w:szCs w:val="20"/>
          <w:shd w:fill="auto" w:val="clear"/>
        </w:rPr>
        <w:t>.0</w:t>
      </w:r>
      <w:r>
        <w:rPr>
          <w:rFonts w:cs="Times New Roman" w:ascii="Times New Roman" w:hAnsi="Times New Roman"/>
          <w:b w:val="false"/>
          <w:bCs w:val="false"/>
          <w:color w:val="000000"/>
          <w:sz w:val="20"/>
          <w:szCs w:val="20"/>
          <w:shd w:fill="auto" w:val="clear"/>
        </w:rPr>
        <w:t>9</w:t>
      </w:r>
      <w:r>
        <w:rPr>
          <w:rFonts w:cs="Times New Roman" w:ascii="Times New Roman" w:hAnsi="Times New Roman"/>
          <w:b w:val="false"/>
          <w:bCs w:val="false"/>
          <w:color w:val="000000"/>
          <w:sz w:val="20"/>
          <w:szCs w:val="20"/>
          <w:shd w:fill="auto" w:val="clear"/>
        </w:rPr>
        <w:t>.2026 г</w:t>
      </w:r>
      <w:r>
        <w:rPr>
          <w:rFonts w:cs="Times New Roman" w:ascii="Times New Roman" w:hAnsi="Times New Roman"/>
          <w:b w:val="false"/>
          <w:bCs w:val="false"/>
          <w:sz w:val="20"/>
          <w:szCs w:val="20"/>
          <w:shd w:fill="auto" w:val="clear"/>
        </w:rPr>
        <w:t>,</w:t>
      </w:r>
      <w:r>
        <w:rPr>
          <w:rFonts w:cs="Times New Roman" w:ascii="Times New Roman" w:hAnsi="Times New Roman"/>
          <w:sz w:val="20"/>
          <w:szCs w:val="20"/>
          <w:shd w:fill="auto" w:val="clear"/>
        </w:rPr>
        <w:t xml:space="preserve"> </w:t>
      </w:r>
      <w:r>
        <w:rPr>
          <w:rFonts w:cs="Times New Roman" w:ascii="Times New Roman" w:hAnsi="Times New Roman"/>
          <w:sz w:val="20"/>
          <w:szCs w:val="20"/>
          <w:shd w:fill="auto" w:val="clear"/>
        </w:rPr>
        <w:t>а в части оплаты – до исполнения обязатель</w:t>
      </w:r>
      <w:bookmarkStart w:id="8" w:name="_Hlk177570138"/>
      <w:bookmarkEnd w:id="8"/>
      <w:r>
        <w:rPr>
          <w:rFonts w:cs="Times New Roman" w:ascii="Times New Roman" w:hAnsi="Times New Roman"/>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21" w:type="dxa"/>
        <w:jc w:val="left"/>
        <w:tblInd w:w="0" w:type="dxa"/>
        <w:tblLayout w:type="fixed"/>
        <w:tblCellMar>
          <w:top w:w="0" w:type="dxa"/>
          <w:left w:w="5" w:type="dxa"/>
          <w:bottom w:w="0" w:type="dxa"/>
          <w:right w:w="0" w:type="dxa"/>
        </w:tblCellMar>
      </w:tblPr>
      <w:tblGrid>
        <w:gridCol w:w="598"/>
        <w:gridCol w:w="5778"/>
        <w:gridCol w:w="400"/>
        <w:gridCol w:w="1136"/>
        <w:gridCol w:w="20"/>
        <w:gridCol w:w="211"/>
        <w:gridCol w:w="1068"/>
        <w:gridCol w:w="1559"/>
        <w:gridCol w:w="1414"/>
        <w:gridCol w:w="1567"/>
        <w:gridCol w:w="1710"/>
        <w:gridCol w:w="10"/>
        <w:gridCol w:w="50"/>
        <w:gridCol w:w="50"/>
        <w:gridCol w:w="50"/>
      </w:tblGrid>
      <w:tr>
        <w:trPr>
          <w:trHeight w:val="572" w:hRule="atLeast"/>
        </w:trPr>
        <w:tc>
          <w:tcPr>
            <w:tcW w:w="598"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6"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9"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59"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4"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7"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0" w:type="dxa"/>
            <w:gridSpan w:val="2"/>
            <w:tcBorders>
              <w:left w:val="single" w:sz="4" w:space="0" w:color="000000"/>
            </w:tcBorders>
          </w:tcPr>
          <w:p>
            <w:pPr>
              <w:pStyle w:val="Normal"/>
              <w:snapToGrid w:val="false"/>
              <w:rPr/>
            </w:pPr>
            <w:r>
              <w:rPr/>
            </w:r>
          </w:p>
        </w:tc>
        <w:tc>
          <w:tcPr>
            <w:tcW w:w="50" w:type="dxa"/>
            <w:tcBorders/>
          </w:tcPr>
          <w:p>
            <w:pPr>
              <w:pStyle w:val="Normal"/>
              <w:snapToGrid w:val="false"/>
              <w:rPr/>
            </w:pPr>
            <w:r>
              <w:rPr/>
            </w:r>
          </w:p>
        </w:tc>
        <w:tc>
          <w:tcPr>
            <w:tcW w:w="50" w:type="dxa"/>
            <w:tcBorders/>
          </w:tcPr>
          <w:p>
            <w:pPr>
              <w:pStyle w:val="Normal"/>
              <w:snapToGrid w:val="false"/>
              <w:rPr/>
            </w:pPr>
            <w:r>
              <w:rPr/>
            </w:r>
          </w:p>
        </w:tc>
      </w:tr>
      <w:tr>
        <w:trPr>
          <w:trHeight w:val="405" w:hRule="atLeast"/>
        </w:trPr>
        <w:tc>
          <w:tcPr>
            <w:tcW w:w="598" w:type="dxa"/>
            <w:tcBorders>
              <w:top w:val="single" w:sz="4" w:space="0" w:color="000000"/>
              <w:left w:val="single" w:sz="10" w:space="0" w:color="000000"/>
              <w:bottom w:val="single" w:sz="4" w:space="0" w:color="000000"/>
            </w:tcBorders>
            <w:tcMar>
              <w:left w:w="108" w:type="dxa"/>
              <w:right w:w="108" w:type="dxa"/>
            </w:tcMar>
            <w:vAlign w:val="center"/>
          </w:tcPr>
          <w:p>
            <w:pPr>
              <w:pStyle w:val="Normal"/>
              <w:jc w:val="center"/>
              <w:rPr>
                <w:highlight w:val="none"/>
                <w:shd w:fill="auto" w:val="clear"/>
              </w:rPr>
            </w:pPr>
            <w:r>
              <w:rPr>
                <w:shd w:fill="auto" w:val="clear"/>
              </w:rPr>
              <w:t>1</w:t>
            </w:r>
          </w:p>
        </w:tc>
        <w:tc>
          <w:tcPr>
            <w:tcW w:w="5778" w:type="dxa"/>
            <w:tcBorders>
              <w:top w:val="single" w:sz="4" w:space="0" w:color="000001"/>
              <w:left w:val="single" w:sz="4" w:space="0" w:color="000001"/>
              <w:bottom w:val="single" w:sz="4" w:space="0" w:color="000000"/>
            </w:tcBorders>
            <w:tcMar>
              <w:left w:w="108" w:type="dxa"/>
              <w:right w:w="108" w:type="dxa"/>
            </w:tcMar>
          </w:tcPr>
          <w:p>
            <w:pPr>
              <w:pStyle w:val="Normal"/>
              <w:widowControl w:val="false"/>
              <w:spacing w:lineRule="auto" w:line="240" w:before="0" w:after="0"/>
              <w:rPr>
                <w:rFonts w:ascii="Times New Roman" w:hAnsi="Times New Roman" w:cs="Times New Roman"/>
                <w:b/>
                <w:bCs/>
                <w:color w:val="000000"/>
              </w:rPr>
            </w:pPr>
            <w:r>
              <w:rPr>
                <w:rFonts w:cs="Times New Roman" w:ascii="Times New Roman" w:hAnsi="Times New Roman"/>
                <w:b/>
                <w:bCs/>
                <w:color w:val="000000"/>
              </w:rPr>
              <w:t>Замок электромагнитный</w:t>
            </w:r>
          </w:p>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Сила удержания- Не менее 300</w:t>
              <w:tab/>
              <w:t xml:space="preserve"> Кг</w:t>
            </w:r>
          </w:p>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Напряжение питания- Не менее 12</w:t>
              <w:tab/>
              <w:t>В</w:t>
            </w:r>
          </w:p>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Тип питания- Постоянное</w:t>
              <w:tab/>
            </w:r>
          </w:p>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Потребляемый ток- Не более 500</w:t>
              <w:tab/>
              <w:t>мА</w:t>
            </w:r>
          </w:p>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Минимальная рабочая температура- Не менее -40</w:t>
              <w:tab/>
              <w:t>°С</w:t>
            </w:r>
          </w:p>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Максимальная рабочая температура- Не более +40</w:t>
              <w:tab/>
              <w:t>°С</w:t>
            </w:r>
          </w:p>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Наличие монтажного уголка для крепление замка на дверную коробку- Соответствие</w:t>
              <w:tab/>
            </w:r>
          </w:p>
          <w:p>
            <w:pPr>
              <w:pStyle w:val="Normal"/>
              <w:widowControl w:val="false"/>
              <w:spacing w:lineRule="auto" w:line="240" w:before="0" w:after="0"/>
              <w:rPr>
                <w:rFonts w:ascii="Times New Roman" w:hAnsi="Times New Roman" w:cs="Times New Roman"/>
                <w:color w:val="000000"/>
              </w:rPr>
            </w:pPr>
            <w:r>
              <w:rPr>
                <w:rFonts w:cs="Times New Roman" w:ascii="Times New Roman" w:hAnsi="Times New Roman"/>
                <w:color w:val="000000"/>
              </w:rPr>
              <w:t>Цвет- Серый</w:t>
              <w:tab/>
            </w:r>
          </w:p>
        </w:tc>
        <w:tc>
          <w:tcPr>
            <w:tcW w:w="1556" w:type="dxa"/>
            <w:gridSpan w:val="3"/>
            <w:tcBorders>
              <w:top w:val="single" w:sz="4" w:space="0" w:color="000000"/>
              <w:left w:val="single" w:sz="4" w:space="0" w:color="000000"/>
              <w:bottom w:val="single" w:sz="4" w:space="0" w:color="000000"/>
            </w:tcBorders>
            <w:tcMar>
              <w:left w:w="108" w:type="dxa"/>
              <w:right w:w="108" w:type="dxa"/>
            </w:tcMar>
          </w:tcPr>
          <w:p>
            <w:pPr>
              <w:pStyle w:val="Normal"/>
              <w:snapToGrid w:val="false"/>
              <w:jc w:val="center"/>
              <w:rPr>
                <w:highlight w:val="none"/>
                <w:shd w:fill="auto" w:val="clear"/>
                <w:lang w:val="en-US"/>
              </w:rPr>
            </w:pPr>
            <w:r>
              <w:rPr>
                <w:shd w:fill="auto" w:val="clear"/>
                <w:lang w:val="en-US"/>
              </w:rPr>
            </w:r>
          </w:p>
        </w:tc>
        <w:tc>
          <w:tcPr>
            <w:tcW w:w="1279" w:type="dxa"/>
            <w:gridSpan w:val="2"/>
            <w:tcBorders>
              <w:top w:val="single" w:sz="4" w:space="0" w:color="000001"/>
              <w:left w:val="single" w:sz="4" w:space="0" w:color="000001"/>
              <w:bottom w:val="single" w:sz="4" w:space="0" w:color="000000"/>
            </w:tcBorders>
            <w:tcMar>
              <w:left w:w="108" w:type="dxa"/>
              <w:right w:w="108" w:type="dxa"/>
            </w:tcMar>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5</w:t>
            </w:r>
          </w:p>
        </w:tc>
        <w:tc>
          <w:tcPr>
            <w:tcW w:w="1559" w:type="dxa"/>
            <w:tcBorders>
              <w:top w:val="single" w:sz="4" w:space="0" w:color="000001"/>
              <w:left w:val="single" w:sz="4" w:space="0" w:color="000001"/>
              <w:bottom w:val="single" w:sz="4" w:space="0" w:color="000000"/>
            </w:tcBorders>
            <w:tcMar>
              <w:left w:w="108" w:type="dxa"/>
              <w:right w:w="108" w:type="dxa"/>
            </w:tcMar>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шт</w:t>
            </w:r>
          </w:p>
        </w:tc>
        <w:tc>
          <w:tcPr>
            <w:tcW w:w="1414" w:type="dxa"/>
            <w:tcBorders>
              <w:top w:val="single" w:sz="4" w:space="0" w:color="000000"/>
              <w:left w:val="single" w:sz="4" w:space="0" w:color="000000"/>
              <w:bottom w:val="single" w:sz="4" w:space="0" w:color="000000"/>
            </w:tcBorders>
            <w:tcMar>
              <w:left w:w="108" w:type="dxa"/>
              <w:right w:w="108" w:type="dxa"/>
            </w:tcMar>
            <w:vAlign w:val="center"/>
          </w:tcPr>
          <w:p>
            <w:pPr>
              <w:pStyle w:val="Normal"/>
              <w:snapToGrid w:val="false"/>
              <w:jc w:val="center"/>
              <w:rPr>
                <w:highlight w:val="none"/>
                <w:shd w:fill="auto" w:val="clear"/>
              </w:rPr>
            </w:pPr>
            <w:r>
              <w:rPr>
                <w:shd w:fill="auto" w:val="clear"/>
              </w:rPr>
            </w:r>
          </w:p>
        </w:tc>
        <w:tc>
          <w:tcPr>
            <w:tcW w:w="1567" w:type="dxa"/>
            <w:tcBorders>
              <w:top w:val="single" w:sz="4" w:space="0" w:color="000000"/>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none"/>
                <w:shd w:fill="auto" w:val="clear"/>
              </w:rPr>
            </w:pPr>
            <w:r>
              <w:rPr>
                <w:shd w:fill="auto" w:val="clear"/>
              </w:rPr>
            </w:r>
          </w:p>
        </w:tc>
        <w:tc>
          <w:tcPr>
            <w:tcW w:w="1870" w:type="dxa"/>
            <w:gridSpan w:val="5"/>
            <w:tcBorders>
              <w:top w:val="single" w:sz="4" w:space="0" w:color="000000"/>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top w:val="single" w:sz="4" w:space="0" w:color="000000"/>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top w:val="single" w:sz="4" w:space="0" w:color="000000"/>
              <w:left w:val="single" w:sz="4" w:space="0" w:color="000000"/>
              <w:bottom w:val="single" w:sz="4" w:space="0" w:color="000000"/>
            </w:tcBorders>
          </w:tcPr>
          <w:p>
            <w:pPr>
              <w:pStyle w:val="Normal"/>
              <w:snapToGrid w:val="false"/>
              <w:jc w:val="center"/>
              <w:rPr>
                <w:b/>
                <w:bCs/>
                <w:highlight w:val="yellow"/>
              </w:rPr>
            </w:pPr>
            <w:r>
              <w:rPr>
                <w:b/>
                <w:bCs/>
                <w:highlight w:val="yellow"/>
              </w:rPr>
            </w:r>
          </w:p>
        </w:tc>
        <w:tc>
          <w:tcPr>
            <w:tcW w:w="60" w:type="dxa"/>
            <w:gridSpan w:val="2"/>
            <w:tcBorders>
              <w:left w:val="single" w:sz="4" w:space="0" w:color="000000"/>
            </w:tcBorders>
          </w:tcPr>
          <w:p>
            <w:pPr>
              <w:pStyle w:val="Normal"/>
              <w:snapToGrid w:val="false"/>
              <w:rPr>
                <w:b/>
                <w:bCs/>
                <w:color w:val="000000"/>
                <w:highlight w:val="yellow"/>
              </w:rPr>
            </w:pPr>
            <w:r>
              <w:rPr>
                <w:b/>
                <w:bCs/>
                <w:color w:val="000000"/>
                <w:highlight w:val="yellow"/>
              </w:rPr>
            </w:r>
          </w:p>
        </w:tc>
        <w:tc>
          <w:tcPr>
            <w:tcW w:w="50" w:type="dxa"/>
            <w:tcBorders/>
          </w:tcPr>
          <w:p>
            <w:pPr>
              <w:pStyle w:val="Normal"/>
              <w:snapToGrid w:val="false"/>
              <w:rPr>
                <w:b/>
                <w:bCs/>
                <w:color w:val="000000"/>
                <w:highlight w:val="yellow"/>
              </w:rPr>
            </w:pPr>
            <w:r>
              <w:rPr>
                <w:b/>
                <w:bCs/>
                <w:color w:val="000000"/>
                <w:highlight w:val="yellow"/>
              </w:rPr>
            </w:r>
          </w:p>
        </w:tc>
        <w:tc>
          <w:tcPr>
            <w:tcW w:w="50" w:type="dxa"/>
            <w:tcBorders/>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Pr>
          <w:p>
            <w:pPr>
              <w:pStyle w:val="Normal"/>
              <w:tabs>
                <w:tab w:val="clear" w:pos="531"/>
                <w:tab w:val="left" w:pos="7680" w:leader="none"/>
              </w:tabs>
              <w:snapToGrid w:val="false"/>
              <w:rPr>
                <w:b/>
                <w:color w:val="000000"/>
              </w:rPr>
            </w:pPr>
            <w:r>
              <w:rPr>
                <w:b/>
                <w:color w:val="000000"/>
              </w:rPr>
            </w:r>
          </w:p>
        </w:tc>
        <w:tc>
          <w:tcPr>
            <w:tcW w:w="231" w:type="dxa"/>
            <w:gridSpan w:val="2"/>
            <w:tcBorders/>
          </w:tcPr>
          <w:p>
            <w:pPr>
              <w:pStyle w:val="Normal"/>
              <w:tabs>
                <w:tab w:val="clear" w:pos="531"/>
                <w:tab w:val="left" w:pos="7680" w:leader="none"/>
              </w:tabs>
              <w:snapToGrid w:val="false"/>
              <w:rPr>
                <w:b/>
                <w:color w:val="000000"/>
              </w:rPr>
            </w:pPr>
            <w:r>
              <w:rPr>
                <w:b/>
                <w:color w:val="000000"/>
              </w:rPr>
            </w:r>
          </w:p>
        </w:tc>
        <w:tc>
          <w:tcPr>
            <w:tcW w:w="2627" w:type="dxa"/>
            <w:gridSpan w:val="2"/>
            <w:tcBorders/>
          </w:tcPr>
          <w:p>
            <w:pPr>
              <w:pStyle w:val="Normal"/>
              <w:snapToGrid w:val="false"/>
              <w:rPr>
                <w:b/>
                <w:color w:val="000000"/>
              </w:rPr>
            </w:pPr>
            <w:r>
              <w:rPr>
                <w:b/>
                <w:color w:val="000000"/>
              </w:rPr>
            </w:r>
          </w:p>
        </w:tc>
        <w:tc>
          <w:tcPr>
            <w:tcW w:w="4701" w:type="dxa"/>
            <w:gridSpan w:val="4"/>
            <w:tcBorders/>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50" w:type="dxa"/>
            <w:tcBorders/>
          </w:tcPr>
          <w:p>
            <w:pPr>
              <w:pStyle w:val="Normal"/>
              <w:snapToGrid w:val="false"/>
              <w:rPr/>
            </w:pPr>
            <w:r>
              <w:rPr/>
            </w:r>
          </w:p>
        </w:tc>
        <w:tc>
          <w:tcPr>
            <w:tcW w:w="50" w:type="dxa"/>
            <w:tcBorders/>
          </w:tcPr>
          <w:p>
            <w:pPr>
              <w:pStyle w:val="Normal"/>
              <w:snapToGrid w:val="false"/>
              <w:rPr/>
            </w:pPr>
            <w:r>
              <w:rPr/>
            </w:r>
          </w:p>
        </w:tc>
        <w:tc>
          <w:tcPr>
            <w:tcW w:w="50" w:type="dxa"/>
            <w:tcBorders/>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cs="Times New Roman"/>
      <w:sz w:val="20"/>
      <w:szCs w:val="20"/>
    </w:rPr>
  </w:style>
  <w:style w:type="character" w:styleId="Style14">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cs="Times New Roman"/>
    </w:rPr>
  </w:style>
  <w:style w:type="character" w:styleId="Style16">
    <w:name w:val="Тема примечания Знак"/>
    <w:basedOn w:val="Style15"/>
    <w:qFormat/>
    <w:rPr>
      <w:rFonts w:ascii="Times New Roman" w:hAnsi="Times New Roman" w:eastAsia="Times New Roman" w:cs="Times New Roman"/>
      <w:b/>
      <w:bCs/>
    </w:rPr>
  </w:style>
  <w:style w:type="character" w:styleId="Style17">
    <w:name w:val="Текст выноски Знак"/>
    <w:basedOn w:val="DefaultParagraphFont"/>
    <w:qFormat/>
    <w:rPr>
      <w:rFonts w:ascii="Tahoma" w:hAnsi="Tahoma" w:eastAsia="Times New Roman" w:cs="Tahoma"/>
      <w:sz w:val="16"/>
      <w:szCs w:val="16"/>
    </w:rPr>
  </w:style>
  <w:style w:type="character" w:styleId="Style18">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Верхний и нижний колонтитулы"/>
    <w:basedOn w:val="Normal"/>
    <w:qFormat/>
    <w:pPr/>
    <w:rPr/>
  </w:style>
  <w:style w:type="paragraph" w:styleId="Style22">
    <w:name w:val="Колонтитулы"/>
    <w:basedOn w:val="Normal"/>
    <w:qFormat/>
    <w:pPr>
      <w:suppressLineNumbers/>
      <w:tabs>
        <w:tab w:val="clear" w:pos="531"/>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173</TotalTime>
  <Application>LibreOffice/25.8.3.2$Linux_X86_64 LibreOffice_project/580$Build-2</Application>
  <AppVersion>15.0000</AppVersion>
  <Pages>7</Pages>
  <Words>3213</Words>
  <Characters>23255</Characters>
  <CharactersWithSpaces>27015</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2026-07-29T09:25:11Z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