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100" w:firstLine="0"/>
        <w:jc w:val="center"/>
        <w:spacing w:after="0" w:line="240" w:lineRule="auto"/>
        <w:rPr>
          <w:b/>
          <w:sz w:val="24"/>
          <w:szCs w:val="24"/>
        </w:rPr>
      </w:pPr>
      <w:r>
        <w:rPr>
          <w:b/>
          <w:sz w:val="24"/>
        </w:rPr>
        <w:t xml:space="preserve">Договор № </w:t>
      </w:r>
      <w:r>
        <w:rPr>
          <w:b/>
          <w:sz w:val="24"/>
          <w:szCs w:val="24"/>
        </w:rPr>
        <w:t xml:space="preserve">ЕП-21/2026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0" w:right="102" w:firstLine="0"/>
        <w:jc w:val="center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поставку к</w:t>
      </w:r>
      <w:r>
        <w:rPr>
          <w:b/>
          <w:sz w:val="24"/>
          <w:szCs w:val="24"/>
        </w:rPr>
        <w:t xml:space="preserve">омплектующи</w:t>
      </w:r>
      <w:r>
        <w:rPr>
          <w:b/>
          <w:sz w:val="24"/>
          <w:szCs w:val="24"/>
        </w:rPr>
        <w:t xml:space="preserve">х</w:t>
      </w:r>
      <w:r>
        <w:rPr>
          <w:b/>
          <w:sz w:val="24"/>
          <w:szCs w:val="24"/>
        </w:rPr>
        <w:t xml:space="preserve"> и запасны</w:t>
      </w:r>
      <w:r>
        <w:rPr>
          <w:b/>
          <w:sz w:val="24"/>
          <w:szCs w:val="24"/>
        </w:rPr>
        <w:t xml:space="preserve">х</w:t>
      </w:r>
      <w:r>
        <w:rPr>
          <w:b/>
          <w:sz w:val="24"/>
          <w:szCs w:val="24"/>
        </w:rPr>
        <w:t xml:space="preserve"> част</w:t>
      </w:r>
      <w:r>
        <w:rPr>
          <w:b/>
          <w:sz w:val="24"/>
          <w:szCs w:val="24"/>
        </w:rPr>
        <w:t xml:space="preserve">ей</w:t>
      </w:r>
      <w:r>
        <w:rPr>
          <w:b/>
          <w:sz w:val="24"/>
          <w:szCs w:val="24"/>
        </w:rPr>
        <w:t xml:space="preserve"> для вычислительных машин прочие, не включенные в другие группировки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0" w:right="100" w:firstLine="0"/>
        <w:jc w:val="center"/>
        <w:spacing w:after="255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ИКЗ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highlight w:val="white"/>
        </w:rPr>
        <w:t xml:space="preserve">261254010604425400100100170033000242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14"/>
        <w:jc w:val="left"/>
        <w:spacing w:after="255" w:line="259" w:lineRule="auto"/>
        <w:tabs>
          <w:tab w:val="left" w:pos="3557" w:leader="none"/>
          <w:tab w:val="right" w:pos="10810" w:leader="none"/>
        </w:tabs>
        <w:rPr>
          <w:b/>
          <w:sz w:val="24"/>
        </w:rPr>
        <w:sectPr>
          <w:footnotePr/>
          <w:endnotePr/>
          <w:type w:val="nextPage"/>
          <w:pgSz w:w="11906" w:h="16838" w:orient="portrait"/>
          <w:pgMar w:top="300" w:right="608" w:bottom="1274" w:left="602" w:header="720" w:footer="720" w:gutter="0"/>
          <w:cols w:num="1" w:sep="0" w:space="720" w:equalWidth="1"/>
          <w:docGrid w:linePitch="360"/>
        </w:sect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0" w:firstLine="0"/>
        <w:jc w:val="left"/>
        <w:spacing w:after="20" w:line="259" w:lineRule="auto"/>
        <w:tabs>
          <w:tab w:val="right" w:pos="10696" w:leader="none"/>
        </w:tabs>
        <w:rPr>
          <w:b/>
          <w:sz w:val="22"/>
          <w:szCs w:val="18"/>
        </w:rPr>
      </w:pPr>
      <w:r>
        <w:rPr>
          <w:b/>
          <w:sz w:val="22"/>
          <w:szCs w:val="18"/>
        </w:rPr>
      </w: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ind w:left="0" w:firstLine="0"/>
        <w:jc w:val="left"/>
        <w:spacing w:after="20" w:line="259" w:lineRule="auto"/>
        <w:tabs>
          <w:tab w:val="right" w:pos="10696" w:leader="none"/>
        </w:tabs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г. Владивосток 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 xml:space="preserve">«_____»</w:t>
      </w:r>
      <w:r>
        <w:rPr>
          <w:b/>
          <w:sz w:val="22"/>
          <w:szCs w:val="18"/>
        </w:rPr>
        <w:t xml:space="preserve">______________</w:t>
      </w:r>
      <w:r>
        <w:rPr>
          <w:b/>
          <w:sz w:val="22"/>
          <w:szCs w:val="18"/>
        </w:rPr>
        <w:t xml:space="preserve">г</w:t>
      </w:r>
      <w:r>
        <w:rPr>
          <w:b/>
          <w:sz w:val="22"/>
          <w:szCs w:val="18"/>
        </w:rPr>
        <w:t xml:space="preserve">.</w:t>
      </w: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ind w:left="0" w:firstLine="0"/>
        <w:jc w:val="left"/>
        <w:spacing w:after="20" w:line="259" w:lineRule="auto"/>
        <w:tabs>
          <w:tab w:val="right" w:pos="10696" w:leader="none"/>
        </w:tabs>
        <w:rPr>
          <w:sz w:val="22"/>
          <w:szCs w:val="18"/>
        </w:rPr>
      </w:pPr>
      <w:r>
        <w:rPr>
          <w:sz w:val="22"/>
          <w:szCs w:val="18"/>
        </w:rPr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firstLine="557"/>
        <w:rPr>
          <w:sz w:val="22"/>
        </w:rPr>
      </w:pPr>
      <w:r>
        <w:rPr>
          <w:b/>
          <w:sz w:val="22"/>
        </w:rPr>
        <w:t xml:space="preserve">Дальневосточное межрегиональное управление Федеральной службы по надзору в сфере природопользования</w:t>
      </w:r>
      <w:r>
        <w:rPr>
          <w:sz w:val="22"/>
        </w:rPr>
        <w:t xml:space="preserve">, в лице руководителя Савичева Дениса Анатольевича, действующего на основании </w:t>
      </w:r>
      <w:r>
        <w:rPr>
          <w:sz w:val="22"/>
          <w:lang w:bidi="ru-RU"/>
        </w:rPr>
        <w:t xml:space="preserve">Положения о Дальневосточном межрегиональном управлении Федеральной службы по надзору в сфере природопользования, </w:t>
      </w:r>
      <w:r>
        <w:rPr>
          <w:sz w:val="22"/>
        </w:rPr>
        <w:t xml:space="preserve">утвержденного приказом Федеральной службы по надзору в сфере природопользования от 16.02.2022№91, приказа Министерства природных ресурсов и экологии Российской Федерации от 29.12.2025 №960-лс «О назначении Савичева Д.А.»</w:t>
      </w:r>
      <w:r>
        <w:rPr>
          <w:sz w:val="22"/>
        </w:rPr>
        <w:t xml:space="preserve">, с</w:t>
      </w:r>
      <w:r>
        <w:rPr>
          <w:sz w:val="22"/>
        </w:rPr>
        <w:t xml:space="preserve"> </w:t>
      </w:r>
      <w:r>
        <w:rPr>
          <w:sz w:val="22"/>
        </w:rPr>
        <w:t xml:space="preserve">одной стороны и</w:t>
      </w:r>
      <w:r>
        <w:rPr>
          <w:sz w:val="22"/>
        </w:rPr>
        <w:t xml:space="preserve"> </w:t>
      </w:r>
      <w:r>
        <w:rPr>
          <w:b/>
          <w:sz w:val="22"/>
          <w:shd w:val="clear" w:color="auto" w:fill="ffffff"/>
        </w:rPr>
        <w:t xml:space="preserve">_______________________________</w:t>
      </w:r>
      <w:r>
        <w:rPr>
          <w:sz w:val="22"/>
        </w:rPr>
        <w:t xml:space="preserve">, именуемое в дальнейшем «</w:t>
      </w:r>
      <w:r>
        <w:rPr>
          <w:bCs/>
          <w:sz w:val="22"/>
        </w:rPr>
        <w:t xml:space="preserve">Поставщик</w:t>
      </w:r>
      <w:r>
        <w:rPr>
          <w:sz w:val="22"/>
        </w:rPr>
        <w:t xml:space="preserve">», в лице </w:t>
      </w:r>
      <w:r>
        <w:rPr>
          <w:sz w:val="22"/>
        </w:rPr>
        <w:t xml:space="preserve">_________________________________</w:t>
      </w:r>
      <w:r>
        <w:rPr>
          <w:sz w:val="22"/>
        </w:rPr>
        <w:t xml:space="preserve">, действующего на основании</w:t>
      </w:r>
      <w:r>
        <w:rPr>
          <w:sz w:val="22"/>
          <w:szCs w:val="18"/>
        </w:rPr>
        <w:t xml:space="preserve"> _________________, с другой стороны, совместно именуемые в дальнейшем «Стороны», руководствуясь положениями пункта </w:t>
      </w:r>
      <w:r>
        <w:rPr>
          <w:sz w:val="22"/>
          <w:szCs w:val="18"/>
        </w:rPr>
        <w:t xml:space="preserve">4</w:t>
      </w:r>
      <w:r>
        <w:rPr>
          <w:sz w:val="22"/>
          <w:szCs w:val="18"/>
        </w:rPr>
        <w:t xml:space="preserve"> части </w:t>
      </w:r>
      <w:r>
        <w:rPr>
          <w:sz w:val="22"/>
          <w:szCs w:val="18"/>
        </w:rPr>
        <w:t xml:space="preserve">1 </w:t>
      </w:r>
      <w:r>
        <w:rPr>
          <w:sz w:val="22"/>
          <w:szCs w:val="18"/>
        </w:rPr>
        <w:t xml:space="preserve">статьи </w:t>
      </w:r>
      <w:r>
        <w:rPr>
          <w:sz w:val="22"/>
          <w:szCs w:val="18"/>
        </w:rPr>
        <w:t xml:space="preserve">93 </w:t>
      </w:r>
      <w:r>
        <w:rPr>
          <w:sz w:val="22"/>
          <w:szCs w:val="18"/>
        </w:rPr>
        <w:t xml:space="preserve">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</w:t>
      </w:r>
      <w:r>
        <w:rPr>
          <w:sz w:val="22"/>
          <w:szCs w:val="18"/>
        </w:rPr>
        <w:t xml:space="preserve">:</w:t>
      </w:r>
      <w:r>
        <w:rPr>
          <w:sz w:val="22"/>
        </w:rPr>
      </w:r>
      <w:r>
        <w:rPr>
          <w:sz w:val="22"/>
        </w:rPr>
      </w:r>
    </w:p>
    <w:p>
      <w:pPr>
        <w:ind w:firstLine="426"/>
        <w:rPr>
          <w:b/>
          <w:sz w:val="22"/>
          <w:szCs w:val="18"/>
          <w:shd w:val="clear" w:color="auto" w:fill="ffffff"/>
        </w:rPr>
      </w:pPr>
      <w:r>
        <w:rPr>
          <w:b/>
          <w:sz w:val="22"/>
          <w:szCs w:val="18"/>
          <w:shd w:val="clear" w:color="auto" w:fill="ffffff"/>
        </w:rPr>
      </w:r>
      <w:r>
        <w:rPr>
          <w:b/>
          <w:sz w:val="22"/>
          <w:szCs w:val="18"/>
          <w:shd w:val="clear" w:color="auto" w:fill="ffffff"/>
        </w:rPr>
      </w:r>
      <w:r>
        <w:rPr>
          <w:b/>
          <w:sz w:val="22"/>
          <w:szCs w:val="18"/>
          <w:shd w:val="clear" w:color="auto" w:fill="ffffff"/>
        </w:rPr>
      </w:r>
    </w:p>
    <w:p>
      <w:pPr>
        <w:pStyle w:val="833"/>
        <w:ind w:left="180" w:hanging="180"/>
        <w:rPr>
          <w:sz w:val="24"/>
        </w:rPr>
      </w:pPr>
      <w:r>
        <w:rPr>
          <w:sz w:val="24"/>
        </w:rPr>
        <w:t xml:space="preserve">ПРЕДМЕТ ДОГОВОРА</w:t>
      </w:r>
      <w:r>
        <w:rPr>
          <w:sz w:val="24"/>
        </w:rPr>
      </w:r>
      <w:r>
        <w:rPr>
          <w:sz w:val="24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1.1. Поставщик обязуется поставить, а Покупатель принять и оплатить Товар по заранее согласованной заявке.</w:t>
      </w:r>
      <w:r>
        <w:rPr>
          <w:sz w:val="22"/>
        </w:rPr>
      </w:r>
      <w:r>
        <w:rPr>
          <w:sz w:val="22"/>
        </w:rPr>
      </w:r>
    </w:p>
    <w:p>
      <w:pPr>
        <w:ind w:left="0" w:right="68" w:firstLine="182"/>
        <w:rPr>
          <w:sz w:val="22"/>
        </w:rPr>
      </w:pPr>
      <w:r>
        <w:rPr>
          <w:sz w:val="22"/>
        </w:rPr>
        <w:t xml:space="preserve">Товаром по настоящему договору признается </w:t>
      </w:r>
      <w:r>
        <w:rPr>
          <w:sz w:val="22"/>
        </w:rPr>
        <w:t xml:space="preserve">к</w:t>
      </w:r>
      <w:r>
        <w:rPr>
          <w:sz w:val="22"/>
        </w:rPr>
        <w:t xml:space="preserve">омплектующие и запасные части для вычислительных машин прочие, не включенные в другие группировки</w:t>
      </w:r>
      <w:r>
        <w:rPr>
          <w:sz w:val="22"/>
        </w:rPr>
        <w:t xml:space="preserve">.</w:t>
      </w:r>
      <w:r>
        <w:rPr>
          <w:sz w:val="22"/>
        </w:rPr>
      </w:r>
      <w:r>
        <w:rPr>
          <w:sz w:val="22"/>
        </w:rPr>
      </w:r>
    </w:p>
    <w:p>
      <w:pPr>
        <w:ind w:left="0" w:right="68" w:firstLine="182"/>
        <w:rPr>
          <w:sz w:val="22"/>
        </w:rPr>
      </w:pPr>
      <w:r>
        <w:rPr>
          <w:sz w:val="22"/>
        </w:rPr>
        <w:t xml:space="preserve">Под заявкой в рамках настоящего договора понимается направление письменного заказа на адрес электронной почты Поставщика, в котором указывается  перечень и количество необходимого к поставке Товара.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1.2. Поставщик обязан в те</w:t>
      </w:r>
      <w:r>
        <w:rPr>
          <w:sz w:val="22"/>
        </w:rPr>
        <w:t xml:space="preserve">чение 5 (пяти) рабочих дней со дня получения заявки подтвердить возможность её исполнения путем выставления счета на оплату поставки соответствующего Товара или направить Покупателю мотивированную корректировку Заявки на адрес электронной почты Покупателя.</w:t>
      </w:r>
      <w:r>
        <w:rPr>
          <w:sz w:val="22"/>
        </w:rPr>
      </w:r>
      <w:r>
        <w:rPr>
          <w:sz w:val="22"/>
        </w:rPr>
      </w:r>
    </w:p>
    <w:p>
      <w:pPr>
        <w:ind w:left="0" w:right="68" w:firstLine="182"/>
        <w:rPr>
          <w:sz w:val="22"/>
        </w:rPr>
      </w:pPr>
      <w:r>
        <w:rPr>
          <w:sz w:val="22"/>
        </w:rPr>
        <w:t xml:space="preserve">Фактом согласования условий поставки, приведенных в соответствующей заявке, признается счет, выставленный Поставщиком Покупателю.</w:t>
      </w:r>
      <w:r>
        <w:rPr>
          <w:sz w:val="22"/>
        </w:rPr>
      </w:r>
      <w:r>
        <w:rPr>
          <w:sz w:val="22"/>
        </w:rPr>
      </w:r>
    </w:p>
    <w:p>
      <w:pPr>
        <w:ind w:right="68"/>
        <w:spacing w:after="239"/>
        <w:rPr>
          <w:sz w:val="22"/>
        </w:rPr>
      </w:pPr>
      <w:r>
        <w:rPr>
          <w:sz w:val="22"/>
        </w:rPr>
        <w:t xml:space="preserve">1.3. При необходимости Поставщик может оказать Покупателю Услуги по установке и настройке программного обеспечения (далее по тексту договора – ПО). Данные услуги выполняются Продавцом только с использованием ПО, предоставленного Покупателем.  </w:t>
      </w:r>
      <w:r>
        <w:rPr>
          <w:sz w:val="22"/>
        </w:rPr>
      </w:r>
      <w:r>
        <w:rPr>
          <w:sz w:val="22"/>
        </w:rPr>
      </w:r>
    </w:p>
    <w:p>
      <w:pPr>
        <w:pStyle w:val="833"/>
        <w:ind w:left="180" w:right="85" w:hanging="180"/>
        <w:rPr>
          <w:sz w:val="24"/>
        </w:rPr>
      </w:pPr>
      <w:r>
        <w:rPr>
          <w:sz w:val="24"/>
        </w:rPr>
        <w:t xml:space="preserve">ПОРЯДОК И УСЛОВИЯ ПОСТАВКИ ТОВАРА</w:t>
      </w:r>
      <w:r>
        <w:rPr>
          <w:sz w:val="24"/>
        </w:rPr>
      </w:r>
      <w:r>
        <w:rPr>
          <w:sz w:val="24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2.1. Поставка Товара осуществляется не позднее </w:t>
      </w:r>
      <w:r>
        <w:rPr>
          <w:sz w:val="22"/>
        </w:rPr>
        <w:t xml:space="preserve">5</w:t>
      </w:r>
      <w:r>
        <w:rPr>
          <w:sz w:val="22"/>
        </w:rPr>
        <w:t xml:space="preserve"> (</w:t>
      </w:r>
      <w:r>
        <w:rPr>
          <w:sz w:val="22"/>
        </w:rPr>
        <w:t xml:space="preserve">пяти</w:t>
      </w:r>
      <w:r>
        <w:rPr>
          <w:sz w:val="22"/>
        </w:rPr>
        <w:t xml:space="preserve">) рабочих дней </w:t>
      </w:r>
      <w:r>
        <w:rPr>
          <w:sz w:val="22"/>
        </w:rPr>
        <w:t xml:space="preserve">с даты </w:t>
      </w:r>
      <w:r>
        <w:rPr>
          <w:sz w:val="22"/>
        </w:rPr>
        <w:t xml:space="preserve">подписания</w:t>
      </w:r>
      <w:r>
        <w:rPr>
          <w:sz w:val="22"/>
        </w:rPr>
        <w:t xml:space="preserve"> договора.</w:t>
      </w:r>
      <w:r>
        <w:rPr>
          <w:sz w:val="22"/>
        </w:rPr>
      </w:r>
      <w:r>
        <w:rPr>
          <w:sz w:val="22"/>
        </w:rPr>
      </w:r>
    </w:p>
    <w:p>
      <w:pPr>
        <w:rPr>
          <w:b/>
          <w:sz w:val="22"/>
        </w:rPr>
      </w:pPr>
      <w:r>
        <w:rPr>
          <w:sz w:val="22"/>
        </w:rPr>
        <w:t xml:space="preserve">2.2</w:t>
      </w:r>
      <w:r>
        <w:rPr>
          <w:sz w:val="22"/>
        </w:rPr>
        <w:t xml:space="preserve">. </w:t>
      </w:r>
      <w:r>
        <w:rPr>
          <w:sz w:val="22"/>
        </w:rPr>
        <w:t xml:space="preserve">Поставка</w:t>
      </w:r>
      <w:r>
        <w:rPr>
          <w:sz w:val="22"/>
        </w:rPr>
        <w:t xml:space="preserve"> </w:t>
      </w:r>
      <w:r>
        <w:rPr>
          <w:sz w:val="22"/>
        </w:rPr>
        <w:t xml:space="preserve">т</w:t>
      </w:r>
      <w:r>
        <w:rPr>
          <w:sz w:val="22"/>
        </w:rPr>
        <w:t xml:space="preserve">овара осуществляется Поставщиком в рабочие дни с предварительным уведомлением по электронной почте (</w:t>
      </w:r>
      <w:hyperlink r:id="rId10" w:tooltip="mailto:rpn25@rpn.gov.ru" w:history="1">
        <w:r>
          <w:rPr>
            <w:rStyle w:val="844"/>
            <w:sz w:val="22"/>
            <w:lang w:val="en-US"/>
          </w:rPr>
          <w:t xml:space="preserve">rpn</w:t>
        </w:r>
        <w:r>
          <w:rPr>
            <w:rStyle w:val="844"/>
            <w:sz w:val="22"/>
          </w:rPr>
          <w:t xml:space="preserve">25@</w:t>
        </w:r>
        <w:r>
          <w:rPr>
            <w:rStyle w:val="844"/>
            <w:sz w:val="22"/>
            <w:lang w:val="en-US"/>
          </w:rPr>
          <w:t xml:space="preserve">rpn</w:t>
        </w:r>
        <w:r>
          <w:rPr>
            <w:rStyle w:val="844"/>
            <w:sz w:val="22"/>
          </w:rPr>
          <w:t xml:space="preserve">.</w:t>
        </w:r>
        <w:r>
          <w:rPr>
            <w:rStyle w:val="844"/>
            <w:sz w:val="22"/>
            <w:lang w:val="en-US"/>
          </w:rPr>
          <w:t xml:space="preserve">gov</w:t>
        </w:r>
        <w:r>
          <w:rPr>
            <w:rStyle w:val="844"/>
            <w:sz w:val="22"/>
          </w:rPr>
          <w:t xml:space="preserve">.</w:t>
        </w:r>
        <w:r>
          <w:rPr>
            <w:rStyle w:val="844"/>
            <w:sz w:val="22"/>
            <w:lang w:val="en-US"/>
          </w:rPr>
          <w:t xml:space="preserve">ru</w:t>
        </w:r>
      </w:hyperlink>
      <w:r>
        <w:rPr>
          <w:sz w:val="22"/>
        </w:rPr>
        <w:t xml:space="preserve">) или по телефону +7(</w:t>
      </w:r>
      <w:r>
        <w:rPr>
          <w:sz w:val="22"/>
        </w:rPr>
        <w:t xml:space="preserve">423</w:t>
      </w:r>
      <w:r>
        <w:rPr>
          <w:sz w:val="22"/>
        </w:rPr>
        <w:t xml:space="preserve">)</w:t>
      </w:r>
      <w:r>
        <w:rPr>
          <w:sz w:val="22"/>
        </w:rPr>
        <w:t xml:space="preserve">240-78-08</w:t>
      </w:r>
      <w:r>
        <w:rPr>
          <w:sz w:val="22"/>
        </w:rPr>
        <w:t xml:space="preserve">  за 2 (два) рабочих дня до поставки товара не позднее 16.00 по местному времени по адресу: </w:t>
      </w:r>
      <w:r>
        <w:rPr>
          <w:sz w:val="22"/>
        </w:rPr>
        <w:t xml:space="preserve">Российская Фед</w:t>
      </w:r>
      <w:r>
        <w:rPr>
          <w:sz w:val="22"/>
        </w:rPr>
        <w:t xml:space="preserve">е</w:t>
      </w:r>
      <w:r>
        <w:rPr>
          <w:sz w:val="22"/>
        </w:rPr>
        <w:t xml:space="preserve">рация, </w:t>
      </w:r>
      <w:r>
        <w:rPr>
          <w:sz w:val="22"/>
        </w:rPr>
        <w:t xml:space="preserve">Приморский край</w:t>
      </w:r>
      <w:r>
        <w:rPr>
          <w:sz w:val="22"/>
        </w:rPr>
        <w:t xml:space="preserve"> </w:t>
      </w:r>
      <w:r>
        <w:rPr>
          <w:sz w:val="22"/>
        </w:rPr>
        <w:t xml:space="preserve">–</w:t>
      </w:r>
      <w:r>
        <w:rPr>
          <w:sz w:val="22"/>
        </w:rPr>
        <w:t xml:space="preserve"> </w:t>
        <w:br/>
      </w:r>
      <w:r>
        <w:rPr>
          <w:sz w:val="22"/>
        </w:rPr>
        <w:t xml:space="preserve">г</w:t>
      </w:r>
      <w:r>
        <w:rPr>
          <w:sz w:val="22"/>
        </w:rPr>
        <w:t xml:space="preserve">. Владивосток, Океанский проспект, 29</w:t>
      </w:r>
      <w:r>
        <w:rPr>
          <w:sz w:val="22"/>
        </w:rPr>
        <w:t xml:space="preserve">, (</w:t>
      </w:r>
      <w:r>
        <w:rPr>
          <w:sz w:val="22"/>
        </w:rPr>
        <w:t xml:space="preserve">центральный вход</w:t>
      </w:r>
      <w:r>
        <w:rPr>
          <w:sz w:val="22"/>
        </w:rPr>
        <w:t xml:space="preserve">).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Иной порядок доставки Товара до места нахождения Покупателя определяется сторонами дополнительно и оформляется дополнительным соглашением к настоящему договору.</w:t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2.3. </w:t>
      </w:r>
      <w:r>
        <w:rPr>
          <w:sz w:val="22"/>
        </w:rPr>
        <w:t xml:space="preserve">Поставщик осуществляет</w:t>
      </w:r>
      <w:r>
        <w:rPr>
          <w:sz w:val="22"/>
        </w:rPr>
        <w:t xml:space="preserve"> </w:t>
      </w:r>
      <w:r>
        <w:rPr>
          <w:sz w:val="22"/>
        </w:rPr>
        <w:t xml:space="preserve">доставку, разгрузку – погрузку, размещение</w:t>
      </w:r>
      <w:r>
        <w:rPr>
          <w:sz w:val="22"/>
        </w:rPr>
        <w:t xml:space="preserve"> в месте, указанном в п. 2</w:t>
      </w:r>
      <w:r>
        <w:rPr>
          <w:sz w:val="22"/>
        </w:rPr>
        <w:t xml:space="preserve">.2. договора, средствами и транспортом Поставщика.</w:t>
      </w:r>
      <w:r>
        <w:rPr>
          <w:sz w:val="22"/>
        </w:rPr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  <w:t xml:space="preserve">2.4. </w:t>
      </w:r>
      <w:r>
        <w:rPr>
          <w:sz w:val="22"/>
        </w:rPr>
        <w:t xml:space="preserve">Поставка товара партиями не допускается.</w:t>
      </w:r>
      <w:r>
        <w:rPr>
          <w:sz w:val="22"/>
        </w:rPr>
      </w:r>
      <w:r>
        <w:rPr>
          <w:sz w:val="22"/>
        </w:rPr>
      </w:r>
    </w:p>
    <w:p>
      <w:pPr>
        <w:rPr>
          <w:b/>
          <w:sz w:val="22"/>
        </w:rPr>
      </w:pPr>
      <w:r>
        <w:rPr>
          <w:sz w:val="22"/>
        </w:rPr>
        <w:t xml:space="preserve">2.5. </w:t>
      </w:r>
      <w:r>
        <w:rPr>
          <w:sz w:val="22"/>
        </w:rPr>
        <w:t xml:space="preserve">Товар должен быть поставлен Заказчику в надлежащей упаковке (таре), отвечающей требованиям </w:t>
      </w:r>
      <w:r>
        <w:rPr>
          <w:sz w:val="22"/>
        </w:rPr>
        <w:t xml:space="preserve">ГОСТов</w:t>
      </w:r>
      <w:r>
        <w:rPr>
          <w:sz w:val="22"/>
        </w:rPr>
        <w:t xml:space="preserve">, ТУ и, обеспечивающий сохранность товара при обычных условиях перевозки и хранения.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-5"/>
        <w:spacing w:after="0" w:line="245" w:lineRule="auto"/>
        <w:rPr>
          <w:sz w:val="22"/>
        </w:rPr>
      </w:pPr>
      <w:r>
        <w:rPr>
          <w:sz w:val="22"/>
        </w:rPr>
        <w:t xml:space="preserve">2.4. Поставляемый Товар сопровождается универсальным передаточным</w:t>
      </w:r>
      <w:r>
        <w:rPr>
          <w:sz w:val="22"/>
        </w:rPr>
        <w:t xml:space="preserve"> документом (УПД). При приеме-передаче Товара Покупатель и/ или уполномоченный представитель Покупателя обязан удостовериться в наличии УПД. Претензии по отсутствию УПД могут быть заявлены Поставщику как в день поставки Товара, так и позднее в любое время.</w:t>
      </w:r>
      <w:r>
        <w:rPr>
          <w:sz w:val="22"/>
        </w:rPr>
      </w:r>
      <w:r>
        <w:rPr>
          <w:sz w:val="22"/>
        </w:rPr>
      </w:r>
    </w:p>
    <w:p>
      <w:pPr>
        <w:rPr>
          <w:b/>
          <w:sz w:val="22"/>
        </w:rPr>
      </w:pPr>
      <w:r>
        <w:rPr>
          <w:sz w:val="22"/>
        </w:rPr>
        <w:t xml:space="preserve">2.5. </w:t>
      </w:r>
      <w:r>
        <w:rPr>
          <w:sz w:val="22"/>
        </w:rPr>
        <w:t xml:space="preserve">Датой поставки товара считается дата фактического принятия товара уполномоченным лицом Заказчика и подписания соответствующих документов о приемке.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-5"/>
        <w:spacing w:after="0" w:line="245" w:lineRule="auto"/>
        <w:rPr>
          <w:sz w:val="22"/>
        </w:rPr>
      </w:pPr>
      <w:r>
        <w:rPr>
          <w:sz w:val="22"/>
        </w:rPr>
        <w:t xml:space="preserve">2.6. </w:t>
      </w:r>
      <w:r>
        <w:rPr>
          <w:sz w:val="22"/>
        </w:rPr>
        <w:t xml:space="preserve">В случае обнаружения некомплектности Товара, Покупатель вправе потре</w:t>
      </w:r>
      <w:r>
        <w:rPr>
          <w:sz w:val="22"/>
        </w:rPr>
        <w:t xml:space="preserve">бовать доукомплектовать Товар. В случае обнаружения видимых недостатков Товара, расхождений по ассортименту, Покупатель вправе потребовать от Поставщика замены Товара на Товар, соответствующий заявленному в заявке, либо устранения обнаруженных недостатков.</w:t>
      </w:r>
      <w:r>
        <w:rPr>
          <w:sz w:val="22"/>
        </w:rPr>
      </w:r>
      <w:r>
        <w:rPr>
          <w:sz w:val="22"/>
        </w:rPr>
      </w:r>
    </w:p>
    <w:p>
      <w:pPr>
        <w:ind w:left="0" w:firstLine="182"/>
        <w:rPr>
          <w:sz w:val="22"/>
        </w:rPr>
      </w:pPr>
      <w:r>
        <w:rPr>
          <w:sz w:val="22"/>
        </w:rPr>
        <w:t xml:space="preserve">При  обнаружении Покупателем излишков, некомплектности Товара, несоответствия согласованных Сторонами дополнительно условий, которые Покупатель не мог обнаружить при приемке Товара, По</w:t>
      </w:r>
      <w:r>
        <w:rPr>
          <w:sz w:val="22"/>
        </w:rPr>
        <w:t xml:space="preserve">купатель обязан принять Товар на ответственное хранение и уведомить об этом Поставщика, который обязан направить своего представителя к месту приемки Товара в течение 5 (пяти) рабочих дней с момента получения уведомления, для составления и подписания Акта.</w:t>
      </w:r>
      <w:r>
        <w:rPr>
          <w:sz w:val="22"/>
        </w:rPr>
      </w:r>
      <w:r>
        <w:rPr>
          <w:sz w:val="22"/>
        </w:rPr>
      </w:r>
    </w:p>
    <w:p>
      <w:pPr>
        <w:ind w:left="0" w:firstLine="182"/>
        <w:rPr>
          <w:sz w:val="22"/>
        </w:rPr>
      </w:pPr>
      <w:r>
        <w:rPr>
          <w:sz w:val="22"/>
        </w:rPr>
        <w:t xml:space="preserve">Покупатель не вправе ссы</w:t>
      </w:r>
      <w:r>
        <w:rPr>
          <w:sz w:val="22"/>
        </w:rPr>
        <w:t xml:space="preserve">латься на видимые недостатки Товара, предъявлять требования к комплектности, ассортименту, количеству поставленного Товара с момента осуществления его приемки без составления Акта, оформленного сторонами в порядке, определенном в настоящем пункте Договора.</w:t>
      </w:r>
      <w:r>
        <w:rPr>
          <w:sz w:val="22"/>
        </w:rPr>
      </w:r>
      <w:r>
        <w:rPr>
          <w:sz w:val="22"/>
        </w:rPr>
      </w:r>
    </w:p>
    <w:p>
      <w:pPr>
        <w:ind w:left="0" w:firstLine="182"/>
        <w:rPr>
          <w:sz w:val="22"/>
        </w:rPr>
      </w:pPr>
      <w:r>
        <w:rPr>
          <w:sz w:val="22"/>
        </w:rPr>
        <w:t xml:space="preserve">В случае неявки представителя Поставщика в указанный в абзаце 2 настоящего пункта срок, Покупатель обязан составить соответствующий Акт и направить Поставщи</w:t>
      </w:r>
      <w:r>
        <w:rPr>
          <w:sz w:val="22"/>
        </w:rPr>
        <w:t xml:space="preserve">ку претензию с приложением указанного Акта. В случае если Покупатель не получит ответ о принятии претензии или мотивированный отказ в срок, указанный в пункте 4.4. настоящего Договора, претензия признается принятой Поставщиком и подлежащей удовлетворению. 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2.7. Право собственности на Товар переходит к Покупателю в момент передачи Товара Покупателю. 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2.8. Поставляемый товар должен соответствовать по качеству стандартам, определенным для продукции данного типа.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2.9. Гарантийный срок на Товар указывается в сопроводительной документации производителя/Поставщика Товара.</w:t>
      </w:r>
      <w:r>
        <w:rPr>
          <w:sz w:val="22"/>
        </w:rPr>
        <w:t xml:space="preserve"> В случае если данный срок в документации не указан, Стороны согласились, что гарантийный срок на Товар составляет 12 (двенадцать) месяцев со дня подписания УПД. Условия гарантии определяются в сопроводительной документации производителя/Поставщика Товара.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2.10. В случае если Покупателю передан Товар ненадлежащего качества (под Товаром ненадлежащего ка</w:t>
      </w:r>
      <w:r>
        <w:rPr>
          <w:sz w:val="22"/>
        </w:rPr>
        <w:t xml:space="preserve">чества в настоящем пункте Договоре понимается Товар, в котором в течение гарантийного срока выявлен скрытый производственный недостаток), Покупатель в течение гарантийного срока вправе потребовать от Поставщика безвозмездного устранения недостатков Товара.</w:t>
      </w:r>
      <w:r>
        <w:rPr>
          <w:sz w:val="22"/>
        </w:rPr>
      </w:r>
      <w:r>
        <w:rPr>
          <w:sz w:val="22"/>
        </w:rPr>
      </w:r>
    </w:p>
    <w:p>
      <w:pPr>
        <w:ind w:left="0" w:right="68" w:firstLine="182"/>
        <w:rPr>
          <w:sz w:val="22"/>
        </w:rPr>
      </w:pPr>
      <w:r>
        <w:rPr>
          <w:sz w:val="22"/>
        </w:rPr>
        <w:t xml:space="preserve">Недостатки поставленного Товара устраняются Поставщиком в течение 90 (девяноста) кален</w:t>
      </w:r>
      <w:r>
        <w:rPr>
          <w:sz w:val="22"/>
        </w:rPr>
        <w:t xml:space="preserve">дарных дней с момента передачи ненадлежащего Товара Покупателем Поставщику в сервисном центре Поставщика. При этом Стороны вправе согласовать дополнительный срок для устранения недостатков, если будет очевидно, что по объективным причинам гарантийный ремон</w:t>
      </w:r>
      <w:r>
        <w:rPr>
          <w:sz w:val="22"/>
        </w:rPr>
        <w:t xml:space="preserve">т не может быть завершен в течение вышеуказанного срока. Согласование дополнительного срока для завершения ремонта не может считаться несоразмерной затратой времени и наличия в Товаре существенного недостатка. Адреса сервисных центров Поставщик доводит до </w:t>
      </w:r>
      <w:r>
        <w:rPr>
          <w:sz w:val="22"/>
        </w:rPr>
        <w:t xml:space="preserve">Покупателя посредством</w:t>
      </w:r>
      <w:r>
        <w:rPr>
          <w:sz w:val="22"/>
        </w:rPr>
        <w:t xml:space="preserve"> размещения контактных данных сервисных центров на интернет-ресурсе по ссылке https://www.dns-shop.ru/service-center/search/.</w:t>
      </w:r>
      <w:r>
        <w:rPr>
          <w:sz w:val="22"/>
        </w:rPr>
      </w:r>
      <w:r>
        <w:rPr>
          <w:sz w:val="22"/>
        </w:rPr>
      </w:r>
    </w:p>
    <w:p>
      <w:pPr>
        <w:ind w:left="0" w:right="68" w:firstLine="182"/>
        <w:rPr>
          <w:sz w:val="22"/>
        </w:rPr>
      </w:pPr>
      <w:r>
        <w:rPr>
          <w:sz w:val="22"/>
        </w:rPr>
        <w:t xml:space="preserve">В случае существенного нарушения требований к качеству Товара Покупатель вправе по своему выбору: отказаться от исполнения Договора, либо потребовать замены Товара ненадлежащего качества Товаром, соответствующим условиям настоящего Договора. Пр</w:t>
      </w:r>
      <w:r>
        <w:rPr>
          <w:sz w:val="22"/>
        </w:rPr>
        <w:t xml:space="preserve">и осуществлении прав, поименованных в настоящем пункте Договора, Покупатель своими силами  и за свой счет обязан возвратить Поставщику Товар. Исчисление сроков удовлетворения требований Покупателя производится с даты передачи Товара Покупателем Поставщику.</w:t>
      </w:r>
      <w:r>
        <w:rPr>
          <w:sz w:val="22"/>
        </w:rPr>
      </w:r>
      <w:r>
        <w:rPr>
          <w:sz w:val="22"/>
        </w:rPr>
      </w:r>
    </w:p>
    <w:p>
      <w:pPr>
        <w:ind w:left="0" w:right="68" w:firstLine="182"/>
        <w:rPr>
          <w:sz w:val="22"/>
        </w:rPr>
      </w:pPr>
      <w:r>
        <w:rPr>
          <w:sz w:val="22"/>
        </w:rPr>
        <w:t xml:space="preserve">Поставщик освобождается от ответственности за недостатки Товара, возникшие вследствие нарушения правил транспортировки, хранения, монтажа, эксплуатации Товара.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2.11. Если Поставщик установит, что ухудшение качества Товара не связано с производственным браком, </w:t>
      </w:r>
      <w:r>
        <w:rPr>
          <w:sz w:val="22"/>
        </w:rPr>
        <w:t xml:space="preserve">а также в случае нарушения Покупателем условий гарантии, указанных в сопроводительных документах на Товар (п.2.9 настоящего Договора), такой Товар не подлежит бесплатному ремонту/замене/возврату, а в случае, если к моменту установления данного факта Постав</w:t>
      </w:r>
      <w:r>
        <w:rPr>
          <w:sz w:val="22"/>
        </w:rPr>
        <w:t xml:space="preserve">щик передал Покупателю взамен новый Товар или вернул Покупателю денежные средства за него, Покупатель обязан оплатить Поставщику такой Товар в течение 14 (четырнадцати) календарных дней с момента получения соответствующего требования и счета от Поставщика.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2.1</w:t>
      </w:r>
      <w:r>
        <w:rPr>
          <w:sz w:val="22"/>
        </w:rPr>
        <w:t xml:space="preserve">2</w:t>
      </w:r>
      <w:r>
        <w:rPr>
          <w:sz w:val="22"/>
        </w:rPr>
        <w:t xml:space="preserve">. Покупатель обязуется принять Товар в сроки, установленные п.2.1 настоящего Договора. </w:t>
      </w:r>
      <w:r>
        <w:rPr>
          <w:sz w:val="22"/>
        </w:rPr>
      </w:r>
      <w:r>
        <w:rPr>
          <w:sz w:val="22"/>
        </w:rPr>
      </w:r>
    </w:p>
    <w:p>
      <w:pPr>
        <w:ind w:left="0" w:right="68" w:firstLine="182"/>
        <w:rPr>
          <w:sz w:val="22"/>
        </w:rPr>
      </w:pPr>
      <w:r>
        <w:rPr>
          <w:sz w:val="22"/>
        </w:rPr>
        <w:t xml:space="preserve">В случае если по истечении указанного срока Покупатель уклоняется от получения Товара, Поставщик вправе направить в адрес Покупателя письменную претензию о необходимости исполнения принятых на себя обязательств. Стороны отдельно договорились, чт</w:t>
      </w:r>
      <w:r>
        <w:rPr>
          <w:sz w:val="22"/>
        </w:rPr>
        <w:t xml:space="preserve">о для целей настоящего пункта письменная претензия о необходимости исполнения принятых на себя обязательств считается полученной Покупателем на 5 (пятый) день с даты ее направления на юридический адрес Покупателя, указанный в разделе 8 настоящего договора.</w:t>
      </w:r>
      <w:r>
        <w:rPr>
          <w:sz w:val="22"/>
        </w:rPr>
      </w:r>
      <w:r>
        <w:rPr>
          <w:sz w:val="22"/>
        </w:rPr>
      </w:r>
    </w:p>
    <w:p>
      <w:pPr>
        <w:ind w:left="0" w:right="68" w:firstLine="182"/>
        <w:spacing w:after="28"/>
        <w:rPr>
          <w:sz w:val="22"/>
        </w:rPr>
      </w:pPr>
      <w:r>
        <w:rPr>
          <w:sz w:val="22"/>
        </w:rPr>
        <w:t xml:space="preserve">Если Товар не будет принят Покупателем в течение 5 (пяти) календарных дней с даты получения указанной претензии, такое нарушение условий договора Покупателем является существенным, а Поставщик вправе </w:t>
      </w:r>
      <w:r>
        <w:rPr>
          <w:sz w:val="22"/>
        </w:rPr>
        <w:t xml:space="preserve">расторгнуть настоящий договор в односторон</w:t>
      </w:r>
      <w:r>
        <w:rPr>
          <w:sz w:val="22"/>
        </w:rPr>
        <w:t xml:space="preserve">нем порядке путем направления письменного уведомления Покупателю и возвратить уплаченную Покупателем сумму на реквизиты, указанные в разделе 8 настоящего Договора. Договор считается расторгнутым с даты направления Поставщиком соответствующего уведомления. </w:t>
      </w:r>
      <w:r>
        <w:rPr>
          <w:sz w:val="22"/>
        </w:rPr>
      </w:r>
      <w:r>
        <w:rPr>
          <w:sz w:val="22"/>
        </w:rPr>
      </w:r>
    </w:p>
    <w:p>
      <w:pPr>
        <w:ind w:left="0" w:right="68" w:firstLine="182"/>
        <w:spacing w:after="28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33"/>
        <w:ind w:left="180" w:right="119" w:hanging="180"/>
        <w:rPr>
          <w:sz w:val="24"/>
        </w:rPr>
      </w:pPr>
      <w:r>
        <w:rPr>
          <w:sz w:val="24"/>
        </w:rPr>
        <w:t xml:space="preserve">ЦЕНА И ПОРЯДОК РАСЧЁТОВ</w:t>
      </w:r>
      <w:r>
        <w:rPr>
          <w:sz w:val="24"/>
        </w:rPr>
      </w:r>
      <w:r>
        <w:rPr>
          <w:sz w:val="24"/>
        </w:rPr>
      </w:r>
    </w:p>
    <w:p>
      <w:pPr>
        <w:tabs>
          <w:tab w:val="left" w:pos="709" w:leader="none"/>
        </w:tabs>
        <w:rPr>
          <w:b/>
          <w:sz w:val="22"/>
          <w:szCs w:val="18"/>
        </w:rPr>
      </w:pPr>
      <w:r>
        <w:rPr>
          <w:sz w:val="22"/>
          <w:szCs w:val="18"/>
        </w:rPr>
        <w:t xml:space="preserve">3.1. Общая сумма по настоящему Договору составляет</w:t>
      </w:r>
      <w:r>
        <w:rPr>
          <w:sz w:val="22"/>
          <w:szCs w:val="18"/>
        </w:rPr>
        <w:t xml:space="preserve">: </w:t>
      </w:r>
      <w:bookmarkStart w:id="0" w:name="_Hlk161927388"/>
      <w:r>
        <w:rPr>
          <w:b/>
          <w:sz w:val="22"/>
          <w:szCs w:val="18"/>
        </w:rPr>
        <w:t xml:space="preserve">__________________</w:t>
      </w:r>
      <w:r>
        <w:rPr>
          <w:b/>
          <w:sz w:val="22"/>
          <w:szCs w:val="18"/>
        </w:rPr>
        <w:t xml:space="preserve"> (</w:t>
      </w:r>
      <w:r>
        <w:rPr>
          <w:b/>
          <w:sz w:val="22"/>
          <w:szCs w:val="18"/>
        </w:rPr>
        <w:t xml:space="preserve">_______________________</w:t>
      </w:r>
      <w:r>
        <w:rPr>
          <w:b/>
          <w:sz w:val="22"/>
          <w:szCs w:val="18"/>
        </w:rPr>
        <w:t xml:space="preserve">) </w:t>
      </w:r>
      <w:r>
        <w:rPr>
          <w:b/>
          <w:sz w:val="22"/>
          <w:szCs w:val="18"/>
        </w:rPr>
        <w:t xml:space="preserve">рубл</w:t>
      </w:r>
      <w:r>
        <w:rPr>
          <w:b/>
          <w:sz w:val="22"/>
          <w:szCs w:val="18"/>
        </w:rPr>
        <w:t xml:space="preserve">ей</w:t>
      </w:r>
      <w:r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 xml:space="preserve">__________</w:t>
      </w:r>
      <w:r>
        <w:rPr>
          <w:b/>
          <w:sz w:val="22"/>
          <w:szCs w:val="18"/>
        </w:rPr>
        <w:t xml:space="preserve">копеек</w:t>
      </w:r>
      <w:r>
        <w:rPr>
          <w:b/>
          <w:sz w:val="22"/>
          <w:szCs w:val="18"/>
        </w:rPr>
        <w:t xml:space="preserve">, в том числе НДС – </w:t>
      </w:r>
      <w:r>
        <w:rPr>
          <w:b/>
          <w:sz w:val="22"/>
          <w:szCs w:val="18"/>
        </w:rPr>
        <w:t xml:space="preserve">______________</w:t>
      </w:r>
      <w:r>
        <w:rPr>
          <w:b/>
          <w:sz w:val="22"/>
          <w:szCs w:val="18"/>
        </w:rPr>
        <w:t xml:space="preserve"> руб.</w:t>
      </w:r>
      <w:bookmarkEnd w:id="0"/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tabs>
          <w:tab w:val="left" w:pos="709" w:leader="none"/>
        </w:tabs>
        <w:rPr>
          <w:b/>
          <w:sz w:val="22"/>
          <w:szCs w:val="18"/>
        </w:rPr>
      </w:pPr>
      <w:r>
        <w:rPr>
          <w:sz w:val="22"/>
          <w:szCs w:val="18"/>
        </w:rPr>
        <w:t xml:space="preserve">3.2. Расчеты между Заказчиком и Поставщиком производятся не позднее </w:t>
      </w:r>
      <w:r>
        <w:rPr>
          <w:sz w:val="22"/>
          <w:szCs w:val="18"/>
        </w:rPr>
        <w:t xml:space="preserve">10</w:t>
      </w:r>
      <w:r>
        <w:rPr>
          <w:sz w:val="22"/>
          <w:szCs w:val="18"/>
        </w:rPr>
        <w:t xml:space="preserve"> (</w:t>
      </w:r>
      <w:r>
        <w:rPr>
          <w:sz w:val="22"/>
          <w:szCs w:val="18"/>
        </w:rPr>
        <w:t xml:space="preserve">десяти</w:t>
      </w:r>
      <w:r>
        <w:rPr>
          <w:sz w:val="22"/>
          <w:szCs w:val="18"/>
        </w:rPr>
        <w:t xml:space="preserve">) рабочих дней с даты подписания Заказчиком документа о приемке.</w:t>
      </w: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p>
      <w:pPr>
        <w:tabs>
          <w:tab w:val="left" w:pos="709" w:leader="none"/>
          <w:tab w:val="left" w:pos="993" w:leader="none"/>
        </w:tabs>
        <w:rPr>
          <w:sz w:val="22"/>
          <w:szCs w:val="18"/>
        </w:rPr>
      </w:pPr>
      <w:r>
        <w:rPr>
          <w:sz w:val="22"/>
          <w:szCs w:val="18"/>
        </w:rPr>
        <w:t xml:space="preserve">3.3. Оплата по </w:t>
      </w:r>
      <w:r>
        <w:rPr>
          <w:sz w:val="22"/>
          <w:szCs w:val="18"/>
        </w:rPr>
        <w:t xml:space="preserve">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</w:t>
      </w:r>
      <w:r>
        <w:rPr>
          <w:sz w:val="22"/>
          <w:szCs w:val="18"/>
        </w:rPr>
        <w:t xml:space="preserve">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 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tabs>
          <w:tab w:val="left" w:pos="709" w:leader="none"/>
          <w:tab w:val="left" w:pos="993" w:leader="none"/>
        </w:tabs>
        <w:rPr>
          <w:sz w:val="22"/>
          <w:szCs w:val="18"/>
        </w:rPr>
      </w:pPr>
      <w:r>
        <w:rPr>
          <w:sz w:val="22"/>
          <w:szCs w:val="18"/>
        </w:rPr>
        <w:t xml:space="preserve">3.4. Цена договора является твёрдой и не подлежит изменению в течение всего периода действия настоящего Договора.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tabs>
          <w:tab w:val="left" w:pos="709" w:leader="none"/>
          <w:tab w:val="left" w:pos="993" w:leader="none"/>
        </w:tabs>
        <w:rPr>
          <w:sz w:val="22"/>
          <w:szCs w:val="18"/>
        </w:rPr>
      </w:pPr>
      <w:r>
        <w:rPr>
          <w:sz w:val="22"/>
          <w:szCs w:val="18"/>
        </w:rPr>
        <w:t xml:space="preserve">3.5. Цена Договора включает в себя все расходы,</w:t>
      </w:r>
      <w:r>
        <w:rPr>
          <w:sz w:val="22"/>
          <w:szCs w:val="18"/>
        </w:rPr>
        <w:t xml:space="preserve"> связанные с исполнением Договора: стоимость товара по предмету Договора и иные расходы Поставщика, связанные с исполнением Договора, в том числе расходы на разгрузку, перевозку, доставку, страхование, уплату налогов, сборов и других обязательных платежей.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right="68"/>
        <w:rPr>
          <w:sz w:val="22"/>
          <w:szCs w:val="18"/>
        </w:rPr>
      </w:pPr>
      <w:r>
        <w:rPr>
          <w:sz w:val="22"/>
          <w:szCs w:val="18"/>
        </w:rPr>
        <w:t xml:space="preserve">3.</w:t>
      </w:r>
      <w:r>
        <w:rPr>
          <w:sz w:val="22"/>
          <w:szCs w:val="18"/>
        </w:rPr>
        <w:t xml:space="preserve">6</w:t>
      </w:r>
      <w:r>
        <w:rPr>
          <w:sz w:val="22"/>
          <w:szCs w:val="18"/>
        </w:rPr>
        <w:t xml:space="preserve">. Стоимость товара в счетах на оплату устанавливается в валюте РФ. Цена Товара включает: НДС 20 % и стоимость упаковки. 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right="68"/>
        <w:rPr>
          <w:sz w:val="22"/>
          <w:szCs w:val="18"/>
        </w:rPr>
      </w:pPr>
      <w:r>
        <w:rPr>
          <w:sz w:val="22"/>
          <w:szCs w:val="18"/>
        </w:rPr>
        <w:t xml:space="preserve">3.5. Расчеты по настоящему договору производятся в валюте Российской Федерации путем безналичного расчета. 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right="68"/>
        <w:spacing w:after="239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33"/>
        <w:ind w:left="180" w:right="79" w:hanging="180"/>
        <w:rPr>
          <w:sz w:val="24"/>
        </w:rPr>
      </w:pPr>
      <w:r>
        <w:rPr>
          <w:sz w:val="24"/>
        </w:rPr>
        <w:t xml:space="preserve">ОТВЕТСТВЕННОСТЬ СТОРОН</w:t>
      </w:r>
      <w:r>
        <w:rPr>
          <w:sz w:val="24"/>
        </w:rPr>
      </w:r>
      <w:r>
        <w:rPr>
          <w:sz w:val="24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4.1. Стороны несут ответственность за неисполнение условий настоящего договора в порядке, определенном данным договором и действующим законодательством Российской Федерации. При несоблюдении предусмотренных настоящим Договором сроков исполнения обяза</w:t>
      </w:r>
      <w:r>
        <w:rPr>
          <w:sz w:val="22"/>
        </w:rPr>
        <w:t xml:space="preserve">тельств одной из Сторон, указанная Сторона уплачивает другой Стороне по её требованию неустойку в размере 0,1 (ноль целых одна десятая) процента от стоимости неисполненных обязательств за каждый день просрочки, но не более суммы неисполненных обязательств.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4.2. Во всем остальном, что не определено настоящим договором, стороны руководствуются нормами действующего законодательства.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4.3. Стороны освобождаются от ответственности за неисполнение обяз</w:t>
      </w:r>
      <w:r>
        <w:rPr>
          <w:sz w:val="22"/>
        </w:rPr>
        <w:t xml:space="preserve">ательств по настоящему договору, если это неисполнение явилось следствием обстоятельств непреодолимой силы, возникших в результате  событий чрезвычайного характера (форс-мажорных обстоятельств), под которыми, в том числе, понимается объявленная  или фактич</w:t>
      </w:r>
      <w:r>
        <w:rPr>
          <w:sz w:val="22"/>
        </w:rPr>
        <w:t xml:space="preserve">еская война, террористические акции, гражданские волнения, эпидемии, блокады, землетрясения, наводнения, пожары, иные стихийные  бедствия, а так же  действия органов государственной власти и управлении, в том числе Акты государственных органов, принятые по</w:t>
      </w:r>
      <w:r>
        <w:rPr>
          <w:sz w:val="22"/>
        </w:rPr>
        <w:t xml:space="preserve">сле заключения настоящего Договора, содержащие запрет на исполнение Договора, если эти обстоятельства непосредственно  повлияли на действие настоящего договора. Сторона, не имеющая возможность исполнить свои обязательства, обязана не позднее 10 календарных</w:t>
      </w:r>
      <w:r>
        <w:rPr>
          <w:sz w:val="22"/>
        </w:rPr>
        <w:t xml:space="preserve"> дней с момента их возникновения уведомить об этом другую сторону в письменном виде, приложив документы, подтверждающие наступление форс-мажорных обстоятельств. На время действия форс-мажорных обстоятельств, действие настоящего договора приостанавливается.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4.4. Все споры или разногласия, возникающие между Сторонами по настоящему Договору или в связи с его исполнением, Стороны стремятся разрешить в претензионном порядке.</w:t>
      </w:r>
      <w:r>
        <w:rPr>
          <w:sz w:val="22"/>
        </w:rPr>
      </w:r>
      <w:r>
        <w:rPr>
          <w:sz w:val="22"/>
        </w:rPr>
      </w:r>
    </w:p>
    <w:p>
      <w:pPr>
        <w:ind w:left="0" w:right="68" w:firstLine="182"/>
        <w:rPr>
          <w:sz w:val="22"/>
        </w:rPr>
      </w:pPr>
      <w:r>
        <w:rPr>
          <w:sz w:val="22"/>
        </w:rPr>
        <w:t xml:space="preserve">В случае направления сторонами настоящего договора письменных претензий, срок ответа на претензию составляет 10 (десять) рабочих дней.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4.5. В случае невозможности разрешения споров и разногласий путем переговоров такие споры и разногласия подлежат рассмотрению в Арбитражном суде по месту нахождения Истца.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4.6. Стороны договорились, что ст. 317.1 ГК РФ в отношениях по настоящему договору применению не подлежит.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4.7. Поставщик, применяя общий режим налогообло</w:t>
      </w:r>
      <w:r>
        <w:rPr>
          <w:sz w:val="22"/>
        </w:rPr>
        <w:t xml:space="preserve">жения, гарантирует, что он является плательщиком НДС, своевременно предоставляет Покупателю УПД или счета-фактуры с подлинными подписями уполномоченных на то лиц и в сроки, установленные законодательством РФ, в полном объеме уплачивает в бюджет суммы НДС, </w:t>
      </w:r>
      <w:r>
        <w:rPr>
          <w:sz w:val="22"/>
        </w:rPr>
        <w:t xml:space="preserve">полученные от Покупателя; ведет книгу продаж и покупок; сдает отчетность по НДС; местонахождение Поставщика, указанное в Договоре и в учредительных документах, является действующим.</w:t>
      </w:r>
      <w:r>
        <w:rPr>
          <w:sz w:val="22"/>
        </w:rPr>
      </w:r>
      <w:r>
        <w:rPr>
          <w:sz w:val="22"/>
        </w:rPr>
      </w:r>
    </w:p>
    <w:p>
      <w:pPr>
        <w:ind w:left="0" w:right="68" w:firstLine="182"/>
        <w:rPr>
          <w:sz w:val="22"/>
        </w:rPr>
      </w:pPr>
      <w:r>
        <w:rPr>
          <w:sz w:val="22"/>
        </w:rPr>
        <w:t xml:space="preserve">В случае  если к Покупате</w:t>
      </w:r>
      <w:r>
        <w:rPr>
          <w:sz w:val="22"/>
        </w:rPr>
        <w:t xml:space="preserve">лю со стороны контролирующих органов будут предъявлены какие-либо претензии, связанные с правильностью и достоверностью оформления отчетности и первичной документации Поставщика, влекущие неблагоприятные последствия для Покупателя, в том числе в форме отка</w:t>
      </w:r>
      <w:r>
        <w:rPr>
          <w:sz w:val="22"/>
        </w:rPr>
        <w:t xml:space="preserve">за в зачете НДС, в доначислении налогов, требований уплаты штрафов и пеней, Поставщик, на основании судебного решения, вступившего в законную силу,   обязуется в течение 15 (пятнадцати) календарных дней с даты предъявления Покупателем соответствующего треб</w:t>
      </w:r>
      <w:r>
        <w:rPr>
          <w:sz w:val="22"/>
        </w:rPr>
        <w:t xml:space="preserve">ования (претензии) выплатить штраф в сумме невозмещенного НДС и доначисленных налогов, а также возместить все иные связанные с этим расходы (в том числе по уплате Покупателем  пени, штрафов и т.п.), определенные в решении суда, вступившего в законную силу.</w:t>
      </w:r>
      <w:r>
        <w:rPr>
          <w:sz w:val="22"/>
        </w:rPr>
      </w:r>
      <w:r>
        <w:rPr>
          <w:sz w:val="22"/>
        </w:rPr>
      </w:r>
    </w:p>
    <w:p>
      <w:pPr>
        <w:ind w:left="0" w:right="68" w:firstLine="182"/>
        <w:rPr>
          <w:sz w:val="22"/>
        </w:rPr>
      </w:pPr>
      <w:r>
        <w:rPr>
          <w:sz w:val="22"/>
        </w:rPr>
        <w:t xml:space="preserve">В случае получения Поставщиком  требования налогового органа о представлении документов, относящихся к настоящему договору, Поставщик  обязуется  </w:t>
      </w:r>
      <w:r>
        <w:rPr>
          <w:sz w:val="22"/>
        </w:rPr>
        <w:t xml:space="preserve">самостоятельно и за свой счет исполнить такое требование в течение 5 (пяти) рабочих дней со дня его получения. Поставщик будет соблюдать на протяжении всего срока действия договора и после его прекращения все требования законодательства о налогах и сборах.</w:t>
      </w:r>
      <w:r>
        <w:rPr>
          <w:sz w:val="22"/>
        </w:rPr>
      </w:r>
      <w:r>
        <w:rPr>
          <w:sz w:val="22"/>
        </w:rPr>
      </w:r>
    </w:p>
    <w:p>
      <w:pPr>
        <w:ind w:left="0" w:right="68" w:firstLine="182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33"/>
        <w:ind w:left="180" w:right="72" w:hanging="180"/>
        <w:rPr>
          <w:sz w:val="24"/>
        </w:rPr>
      </w:pPr>
      <w:r>
        <w:rPr>
          <w:sz w:val="24"/>
        </w:rPr>
        <w:t xml:space="preserve">КОНФИДЕНЦИАЛЬНОСТЬ</w:t>
      </w:r>
      <w:r>
        <w:rPr>
          <w:sz w:val="24"/>
        </w:rPr>
      </w:r>
      <w:r>
        <w:rPr>
          <w:sz w:val="24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5.1. Стороны в течение срока действия настоящего Договора, а также в течение пяти лет по окончан</w:t>
      </w:r>
      <w:r>
        <w:rPr>
          <w:sz w:val="22"/>
        </w:rPr>
        <w:t xml:space="preserve">ии его действия, обязуются обеспечить конфиденциальность условий Договора, а также любой иной информации и данных, получаемых друг от друга в связи с исполнением настоящего Договора (в том числе персональных данных), за исключением информации и данных, явл</w:t>
      </w:r>
      <w:r>
        <w:rPr>
          <w:sz w:val="22"/>
        </w:rPr>
        <w:t xml:space="preserve">яющихся общедоступными (далее – конфиденциальная информация).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5.2. 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 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— хранить конфиденциальную информацию исключительно в предназначенных для этого местах, исключающих доступ к ней третьих лиц;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— 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 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5.3. 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№ 152 ФЗ от 27.07.2006.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5.4. Стороны обязаны незамедлительно сообщить друг другу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5.5. Стороны не вправе в одностороннем порядке прекращать охрану конфиденциальной информации, предусмотренной настоящим Договором, в том числе в случае своей реорганизации или ликвидации в соответствии с гражданским законодательством.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5.6. Под разглашением конфиденциальной информации в рамках настоящего Договора понимается действие или бездействие одной из Сторон договора, в результате которого конфиденциальная информация</w:t>
      </w:r>
      <w:r>
        <w:rPr>
          <w:sz w:val="22"/>
        </w:rPr>
        <w:t xml:space="preserve"> становится известной третьим лицам в отсутствие согласия на это владельца конфиденциальной информации. При этом форма разглашения конфиденциальной информации третьим лицам (устная, письменная, с использованием технических средств и др.) не имеет значения.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5.7. Не я</w:t>
      </w:r>
      <w:r>
        <w:rPr>
          <w:sz w:val="22"/>
        </w:rPr>
        <w:t xml:space="preserve">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5.8. В случае раскрытия конфиденциальной информации указанным органам и/или лицам Сторона, раскрывшая конфиденциальную информацию, п</w:t>
      </w:r>
      <w:r>
        <w:rPr>
          <w:sz w:val="22"/>
        </w:rPr>
        <w:t xml:space="preserve">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2 (двух) рабочих дней с момента раскрытия конфиденциальной информации.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5.9. Стороны </w:t>
      </w:r>
      <w:r>
        <w:rPr>
          <w:sz w:val="22"/>
        </w:rPr>
        <w:t xml:space="preserve">вправе передавать информацию о факте заключения настоящего Договора и о его условиях, за исключением финансовых, а также о сделках и соглашениях, согласно которым заключен настоящий Договор, партнерам, клиентам и иных лицам при условии подписания с указанн</w:t>
      </w:r>
      <w:r>
        <w:rPr>
          <w:sz w:val="22"/>
        </w:rPr>
        <w:t xml:space="preserve">ыми лицами соглашения о конфиденциальности (в качестве отдельного документа или в составе иного договора), гарантирующего предоставление соответствующими лицами защиты конфиденциальной информации на условиях не худших, чем содержаться в настоящем Договоре.</w:t>
      </w:r>
      <w:r>
        <w:rPr>
          <w:sz w:val="22"/>
        </w:rPr>
      </w:r>
      <w:r>
        <w:rPr>
          <w:sz w:val="22"/>
        </w:rPr>
      </w:r>
    </w:p>
    <w:p>
      <w:pPr>
        <w:ind w:right="68"/>
        <w:spacing w:after="240"/>
        <w:rPr>
          <w:sz w:val="22"/>
        </w:rPr>
      </w:pPr>
      <w:r>
        <w:rPr>
          <w:sz w:val="22"/>
        </w:rPr>
        <w:t xml:space="preserve">5.10. В случае неисполнения Стор</w:t>
      </w:r>
      <w:r>
        <w:rPr>
          <w:sz w:val="22"/>
        </w:rPr>
        <w:t xml:space="preserve">онами обязательств, предусмотренных настоящим разделом, Сторона, допустившее такое нарушение, обязуется возместить причиненный этим реальный ущерб в течение 5 (пяти) рабочих дней после получения соответствующего письменного требования пострадавшей Стороны.</w:t>
      </w:r>
      <w:r>
        <w:rPr>
          <w:sz w:val="22"/>
        </w:rPr>
      </w:r>
      <w:r>
        <w:rPr>
          <w:sz w:val="22"/>
        </w:rPr>
      </w:r>
    </w:p>
    <w:p>
      <w:pPr>
        <w:pStyle w:val="833"/>
        <w:ind w:left="180" w:right="117" w:hanging="180"/>
        <w:rPr>
          <w:sz w:val="24"/>
        </w:rPr>
      </w:pPr>
      <w:r>
        <w:rPr>
          <w:sz w:val="24"/>
        </w:rPr>
        <w:t xml:space="preserve">АНТИКОРРУПЦИОННАЯ ОГОВОРКА</w:t>
      </w:r>
      <w:r>
        <w:rPr>
          <w:sz w:val="24"/>
        </w:rPr>
      </w:r>
      <w:r>
        <w:rPr>
          <w:sz w:val="24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6.1. При исполнении настоящего Договора Стороны, а также их работники и </w:t>
      </w:r>
      <w:r>
        <w:rPr>
          <w:sz w:val="22"/>
        </w:rPr>
        <w:t xml:space="preserve">аффилированные лица, не выплачивают, не предлагают выплатить и иным образом не способствуют выплате денежных средств или ценностей прямо или косвенно любым лицам с целью оказания влияния на их действия и/или решения и получения каких-либо неправомерных пре</w:t>
      </w:r>
      <w:r>
        <w:rPr>
          <w:sz w:val="22"/>
        </w:rPr>
        <w:t xml:space="preserve">имуществ или выгод (далее – Коррупционные правонарушения). К Коррупционным правонарушениям Стороны относят в частности, но не ограничиваясь, действия, квалифицируемые действующим законодательством Российской Федерации и международными нормами как дача, пол</w:t>
      </w:r>
      <w:r>
        <w:rPr>
          <w:sz w:val="22"/>
        </w:rPr>
        <w:t xml:space="preserve">учение, вымогательство или склонение к даче взятки, злоупотребление влиянием, коммерческий подкуп, легализация (отмывание) доходов, а также иные действия, нарушающие требования применимого законодательства и международных норм о противодействии коррупции. 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6.2. Каждая из Сторон настоящего Договора отказывается от любого стимулирования сотрудников и контрагентов другой Стороны, а также любых государственных служащих и других лиц, которые имеют прямое и/или косвенное отношение к исполнению настоящего Договора.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6.3. Стороны также стремятся не допускать возн</w:t>
      </w:r>
      <w:r>
        <w:rPr>
          <w:sz w:val="22"/>
        </w:rPr>
        <w:t xml:space="preserve">икновения обстоятельств, при которых личная заинтересованность работника Стороны, её аффилированного лица и/или контрагента может негативно повлиять на исполнение настоящего Договора и причинить ущерб интересам любой из Сторон (далее – Конфликт интересов).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6.4. Стороны строят свою деятельность и взаимоотношения с третьими лицами на основе принципов, описанных в настоящем разделе </w:t>
      </w:r>
      <w:r>
        <w:rPr>
          <w:sz w:val="22"/>
        </w:rPr>
      </w:r>
      <w:r>
        <w:rPr>
          <w:sz w:val="22"/>
        </w:rPr>
      </w:r>
    </w:p>
    <w:p>
      <w:pPr>
        <w:ind w:right="68"/>
        <w:spacing w:after="231"/>
        <w:rPr>
          <w:sz w:val="22"/>
        </w:rPr>
      </w:pPr>
      <w:r>
        <w:rPr>
          <w:sz w:val="22"/>
        </w:rPr>
        <w:t xml:space="preserve">Договора, и требуют их соб</w:t>
      </w:r>
      <w:r>
        <w:rPr>
          <w:sz w:val="22"/>
        </w:rPr>
        <w:t xml:space="preserve">людения от своих работников, аффилированных лиц, поставщиков, клиентов и прочих контрагентов. Каждая Сторона стремится своевременно информировать другую Сторону обо всех ставших известными Стороне фактах совершения Коррупционных правонарушений или возникно</w:t>
      </w:r>
      <w:r>
        <w:rPr>
          <w:sz w:val="22"/>
        </w:rPr>
        <w:t xml:space="preserve">вения Конфликта интересов, прямо или косвенно относящихся к настоящему Договору или его исполнению, а также обо всех обстоятельствах, свидетельствующих об угрозе совершения таких Коррупционных правонарушений или возникновения Конфликта интересов в будущем.</w:t>
      </w:r>
      <w:r>
        <w:rPr>
          <w:sz w:val="22"/>
        </w:rPr>
      </w:r>
      <w:r>
        <w:rPr>
          <w:sz w:val="22"/>
        </w:rPr>
      </w:r>
    </w:p>
    <w:p>
      <w:pPr>
        <w:pStyle w:val="833"/>
        <w:ind w:left="180" w:right="63" w:hanging="180"/>
        <w:rPr>
          <w:sz w:val="24"/>
        </w:rPr>
      </w:pPr>
      <w:r>
        <w:rPr>
          <w:sz w:val="24"/>
        </w:rPr>
        <w:t xml:space="preserve">ДОПОЛНИТЕЛЬНЫЕ УСЛОВИЯ</w:t>
      </w:r>
      <w:r>
        <w:rPr>
          <w:sz w:val="24"/>
        </w:rPr>
      </w:r>
      <w:r>
        <w:rPr>
          <w:sz w:val="24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7.1. Настоящий договор вступает в силу в день его подписания и действует до 31.12.2026 г.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7.2. Настоящий Договор может быть расторгнут любой из сторон. При этом инициировавшая расторжение сторона, обязана направить письменное у</w:t>
      </w:r>
      <w:r>
        <w:rPr>
          <w:sz w:val="22"/>
        </w:rPr>
        <w:t xml:space="preserve">ведомление о расторжении второй стороне договора за 30 календарных дней до расторжения. Датой начала исчисления 30-ти дневного срока считается дата почтового штемпеля отделения связи получателя корреспонденции либо дата принятия уведомления стороной лично.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7.3. В случае изменения юридического адреса и/или банковских реквизитов стороны обязаны в течение 10 (десяти) календарных дней уведомить об этом друг друга. Срок исчисляется в рабочих днях.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7.4. Условия настоящего договора могут быть изменены по взаимному согласию сторон с обязательным составлением письменного соглашения.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7.5. Ни одна из сторон не вправе передавать свои права по настоящему договору третьей стороне без письменного согласия другой стороны.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7.6. Покупатель несет риски </w:t>
      </w:r>
      <w:r>
        <w:rPr>
          <w:sz w:val="22"/>
        </w:rPr>
        <w:t xml:space="preserve">предъявления его представителями Поставщику поддельной или отозванной (отмененной) Покупателем доверенности. При отмене доверенности Покупатель должен письменно уведомить Поставщика об отмене ранее выданной доверенности на получение материальных ценностей.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7.7. Покупатель заверяет, что </w:t>
      </w:r>
      <w:r>
        <w:rPr>
          <w:sz w:val="22"/>
        </w:rPr>
        <w:t xml:space="preserve">Товар, приобретаемый у Поставщика не предназначается</w:t>
      </w:r>
      <w:r>
        <w:rPr>
          <w:sz w:val="22"/>
        </w:rPr>
        <w:t xml:space="preserve"> для исполнения гособоронзаказа с учетом требований Федерального закона от 29.12.2012 N 275-ФЗ "О государственном оборонном заказе".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7.8. Настоящий договор выражает все договорные </w:t>
      </w:r>
      <w:r>
        <w:rPr>
          <w:sz w:val="22"/>
        </w:rPr>
        <w:t xml:space="preserve">условия и понимание между сторонами в отношении всех упомянутых здесь вопросов, при этом все предыдущие обсуждения, обещания, представления между сторонами, если таковые имелись, кроме упомянутых в договоре, теряют силу и заменяются вышеизложенным текстом.</w:t>
      </w:r>
      <w:r>
        <w:rPr>
          <w:sz w:val="22"/>
        </w:rPr>
      </w:r>
      <w:r>
        <w:rPr>
          <w:sz w:val="22"/>
        </w:rPr>
      </w:r>
    </w:p>
    <w:p>
      <w:pPr>
        <w:ind w:right="68"/>
        <w:rPr>
          <w:sz w:val="22"/>
        </w:rPr>
      </w:pPr>
      <w:r>
        <w:rPr>
          <w:sz w:val="22"/>
        </w:rPr>
        <w:t xml:space="preserve">7.9. Настоящий договор составлен в двух экземплярах, на русском языке, по одному экземпляру каждой стороне.</w:t>
      </w:r>
      <w:r>
        <w:rPr>
          <w:sz w:val="22"/>
        </w:rPr>
      </w:r>
      <w:r>
        <w:rPr>
          <w:sz w:val="22"/>
        </w:rPr>
      </w:r>
    </w:p>
    <w:p>
      <w:pPr>
        <w:ind w:right="68"/>
        <w:spacing w:after="25"/>
        <w:rPr>
          <w:sz w:val="22"/>
        </w:rPr>
      </w:pPr>
      <w:r>
        <w:rPr>
          <w:sz w:val="22"/>
        </w:rPr>
        <w:t xml:space="preserve">7.10. Под рабочими днями в целях исполнения Сторонами обязательств по настоящему Договору понимаются рабочие дни исходя из пятидневной рабочей недели (все дни недели, кроме субботы и воскресенья), не </w:t>
      </w:r>
      <w:r>
        <w:rPr>
          <w:sz w:val="22"/>
        </w:rPr>
        <w:t xml:space="preserve">являющиеся праздничными нерабочими днями в соответствии с действующим законодательством Российской Федерации.</w:t>
      </w:r>
      <w:r>
        <w:rPr>
          <w:sz w:val="22"/>
        </w:rPr>
      </w:r>
      <w:r>
        <w:rPr>
          <w:sz w:val="22"/>
        </w:rPr>
      </w:r>
    </w:p>
    <w:p>
      <w:pPr>
        <w:ind w:right="68"/>
        <w:spacing w:after="28"/>
        <w:rPr>
          <w:sz w:val="22"/>
        </w:rPr>
      </w:pPr>
      <w:r>
        <w:rPr>
          <w:sz w:val="22"/>
        </w:rPr>
        <w:t xml:space="preserve">7.11. Если иное не определено настоящим Договором, обмен информацией (материалами) между Сторонами по настоящему Договору совершается ис</w:t>
      </w:r>
      <w:r>
        <w:rPr>
          <w:sz w:val="22"/>
        </w:rPr>
        <w:t xml:space="preserve">ключительно в письменной форме. Письменные сообщения Сторон (в том числе претензии, уведомления и др.) отправляются по почте, факсу, электронной почте, курьером, выдаются Стороне (её уполномоченному представителю) на руки или доставляются другими способами</w:t>
      </w:r>
      <w:r>
        <w:rPr>
          <w:sz w:val="22"/>
        </w:rPr>
        <w:t xml:space="preserve">, позволяющими зафиксировать факт (дату, время) его передачи и отправителя. Для определения аутентичности сообщения, составленного на бумажном носителе, достаточно визуального, без применения специальных знаний и технических средств, сличения образцов подп</w:t>
      </w:r>
      <w:r>
        <w:rPr>
          <w:sz w:val="22"/>
        </w:rPr>
        <w:t xml:space="preserve">исей ответственных лиц Сторон и оттисков печати на документе с образцами, имеющимися в распоряжении Сторон. Обмен сообщениями по электронной почте считается совершённым только после получения соответствующего подтверждения от Стороны, получившей сообщение.</w:t>
      </w:r>
      <w:r>
        <w:rPr>
          <w:sz w:val="22"/>
        </w:rPr>
      </w:r>
      <w:r>
        <w:rPr>
          <w:sz w:val="22"/>
        </w:rPr>
      </w:r>
    </w:p>
    <w:p>
      <w:pPr>
        <w:ind w:right="68"/>
        <w:spacing w:after="28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33"/>
        <w:ind w:left="180" w:right="78" w:hanging="180"/>
        <w:spacing w:after="51"/>
        <w:rPr>
          <w:sz w:val="24"/>
        </w:rPr>
      </w:pPr>
      <w:r>
        <w:rPr>
          <w:sz w:val="24"/>
        </w:rPr>
        <w:t xml:space="preserve">ЮРИДИЧЕСКИЕ АДРЕСА И БАНКОВСКИЕ РЕКВИЗИТЫ</w:t>
      </w:r>
      <w:r>
        <w:rPr>
          <w:sz w:val="24"/>
        </w:rPr>
      </w:r>
      <w:r>
        <w:rPr>
          <w:sz w:val="24"/>
        </w:rPr>
      </w:r>
    </w:p>
    <w:tbl>
      <w:tblPr>
        <w:tblStyle w:val="838"/>
        <w:tblW w:w="10187" w:type="dxa"/>
        <w:tblInd w:w="0" w:type="dxa"/>
        <w:tblLook w:val="04A0" w:firstRow="1" w:lastRow="0" w:firstColumn="1" w:lastColumn="0" w:noHBand="0" w:noVBand="1"/>
      </w:tblPr>
      <w:tblGrid>
        <w:gridCol w:w="4962"/>
        <w:gridCol w:w="5225"/>
      </w:tblGrid>
      <w:tr>
        <w:tblPrEx/>
        <w:trPr>
          <w:trHeight w:val="4191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962" w:type="dxa"/>
            <w:textDirection w:val="lrTb"/>
            <w:noWrap w:val="false"/>
          </w:tcPr>
          <w:p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Поставщик</w:t>
            </w:r>
            <w:r>
              <w:rPr>
                <w:b/>
                <w:sz w:val="22"/>
                <w:szCs w:val="18"/>
              </w:rPr>
            </w:r>
            <w:r>
              <w:rPr>
                <w:b/>
                <w:sz w:val="22"/>
                <w:szCs w:val="18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5225" w:type="dxa"/>
            <w:textDirection w:val="lrTb"/>
            <w:noWrap w:val="false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Покупатель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4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Дальневосточное межрегиональное управление Федеральной службы по надзору в сфере природопользования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4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Ю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р. адрес: 690091, г. Владивосток,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84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Океанский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пр-т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, 29.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84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Фактический (почтовый) адрес: 690091,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84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г. Владивосток, Океанский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пр-т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, 29.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84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ИНН 2540106044 КПП 254001001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84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р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/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сч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03211643000000012000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84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ОКЦ №1 ДГУ Банка России // УФК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84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по Приморскому краю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г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. Владивостока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84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л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/с 03201780980 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84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в УФК по Приморскому краю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84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к/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сч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40102810545370000012 БИК 010507002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pStyle w:val="845"/>
              <w:ind w:left="0"/>
              <w:jc w:val="left"/>
              <w:tabs>
                <w:tab w:val="num" w:pos="0" w:leader="none"/>
              </w:tabs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контактный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 тел. 8 (423) 240-78-08 (25204)</w:t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  <w:r>
              <w:rPr>
                <w:b w:val="0"/>
                <w:bCs w:val="0"/>
                <w:sz w:val="24"/>
                <w:szCs w:val="24"/>
                <w:lang w:val="ru-RU" w:eastAsia="ru-RU"/>
              </w:rPr>
            </w:r>
          </w:p>
          <w:p>
            <w:pPr>
              <w:ind w:left="0" w:firstLine="0"/>
              <w:jc w:val="left"/>
              <w:spacing w:after="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e</w:t>
            </w:r>
            <w:r>
              <w:rPr>
                <w:b/>
                <w:bCs/>
                <w:sz w:val="24"/>
                <w:szCs w:val="24"/>
              </w:rPr>
              <w:t xml:space="preserve">-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mail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hyperlink r:id="rId11" w:tooltip="mailto:rpn25@rpn.gov.ru" w:history="1">
              <w:r>
                <w:rPr>
                  <w:rStyle w:val="844"/>
                  <w:b/>
                  <w:bCs/>
                  <w:sz w:val="24"/>
                  <w:szCs w:val="24"/>
                  <w:lang w:val="en-US"/>
                </w:rPr>
                <w:t xml:space="preserve">rpn</w:t>
              </w:r>
              <w:r>
                <w:rPr>
                  <w:rStyle w:val="844"/>
                  <w:b/>
                  <w:bCs/>
                  <w:sz w:val="24"/>
                  <w:szCs w:val="24"/>
                </w:rPr>
                <w:t xml:space="preserve">25@</w:t>
              </w:r>
              <w:r>
                <w:rPr>
                  <w:rStyle w:val="844"/>
                  <w:b/>
                  <w:bCs/>
                  <w:sz w:val="24"/>
                  <w:szCs w:val="24"/>
                  <w:lang w:val="en-US"/>
                </w:rPr>
                <w:t xml:space="preserve">rpn</w:t>
              </w:r>
              <w:r>
                <w:rPr>
                  <w:rStyle w:val="844"/>
                  <w:b/>
                  <w:bCs/>
                  <w:sz w:val="24"/>
                  <w:szCs w:val="24"/>
                </w:rPr>
                <w:t xml:space="preserve">.</w:t>
              </w:r>
              <w:r>
                <w:rPr>
                  <w:rStyle w:val="844"/>
                  <w:b/>
                  <w:bCs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844"/>
                  <w:b/>
                  <w:bCs/>
                  <w:sz w:val="24"/>
                  <w:szCs w:val="24"/>
                </w:rPr>
                <w:t xml:space="preserve">.</w:t>
              </w:r>
              <w:r>
                <w:rPr>
                  <w:rStyle w:val="844"/>
                  <w:b/>
                  <w:bCs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left="0" w:firstLine="0"/>
              <w:jc w:val="left"/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2" w:type="dxa"/>
            <w:textDirection w:val="lrTb"/>
            <w:noWrap w:val="false"/>
          </w:tcPr>
          <w:p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  <w:p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____________________/</w:t>
            </w:r>
            <w:r>
              <w:rPr>
                <w:sz w:val="22"/>
                <w:szCs w:val="18"/>
              </w:rPr>
              <w:t xml:space="preserve">               </w:t>
            </w:r>
            <w:r>
              <w:rPr>
                <w:sz w:val="22"/>
                <w:szCs w:val="18"/>
              </w:rPr>
              <w:t xml:space="preserve">/</w: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25" w:type="dxa"/>
            <w:textDirection w:val="lrTb"/>
            <w:noWrap w:val="false"/>
          </w:tcPr>
          <w:p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Руководитель</w: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  <w:p>
            <w:pPr>
              <w:ind w:left="0" w:firstLine="0"/>
              <w:jc w:val="left"/>
              <w:spacing w:after="0" w:line="259" w:lineRule="auto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___________________/</w:t>
            </w:r>
            <w:r>
              <w:rPr>
                <w:sz w:val="22"/>
                <w:lang w:bidi="ru-RU"/>
              </w:rPr>
              <w:t xml:space="preserve">Савичев Д.А.</w:t>
            </w:r>
            <w:r>
              <w:rPr>
                <w:sz w:val="22"/>
                <w:lang w:bidi="ru-RU"/>
              </w:rPr>
              <w:t xml:space="preserve">.</w:t>
            </w:r>
            <w:r>
              <w:rPr>
                <w:sz w:val="22"/>
                <w:szCs w:val="18"/>
              </w:rPr>
              <w:t xml:space="preserve">/</w: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</w:tr>
    </w:tbl>
    <w:p>
      <w:pPr>
        <w:ind w:right="1452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right="1452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1452" w:firstLine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55"/>
        <w:jc w:val="right"/>
        <w:spacing w:after="0"/>
        <w:rPr>
          <w:sz w:val="22"/>
          <w:szCs w:val="18"/>
        </w:rPr>
      </w:pPr>
      <w:r>
        <w:rPr>
          <w:rFonts w:eastAsia="Tahoma"/>
          <w:sz w:val="22"/>
          <w:szCs w:val="18"/>
        </w:rPr>
        <w:t xml:space="preserve">Приложение № 1 от «</w:t>
      </w:r>
      <w:r>
        <w:rPr>
          <w:rFonts w:eastAsia="Tahoma"/>
          <w:sz w:val="22"/>
          <w:szCs w:val="18"/>
        </w:rPr>
        <w:t xml:space="preserve">______</w:t>
      </w:r>
      <w:r>
        <w:rPr>
          <w:rFonts w:eastAsia="Tahoma"/>
          <w:sz w:val="22"/>
          <w:szCs w:val="18"/>
        </w:rPr>
        <w:t xml:space="preserve">» </w:t>
      </w:r>
      <w:r>
        <w:rPr>
          <w:rFonts w:eastAsia="Tahoma"/>
          <w:sz w:val="22"/>
          <w:szCs w:val="18"/>
        </w:rPr>
        <w:t xml:space="preserve">______________</w:t>
      </w:r>
      <w:r>
        <w:rPr>
          <w:rFonts w:eastAsia="Tahoma"/>
          <w:sz w:val="22"/>
          <w:szCs w:val="18"/>
        </w:rPr>
        <w:t xml:space="preserve">г</w:t>
      </w:r>
      <w:r>
        <w:rPr>
          <w:rFonts w:eastAsia="Tahoma"/>
          <w:sz w:val="22"/>
          <w:szCs w:val="18"/>
        </w:rPr>
        <w:t xml:space="preserve">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jc w:val="right"/>
        <w:spacing w:after="30"/>
        <w:tabs>
          <w:tab w:val="center" w:pos="3124" w:leader="none"/>
          <w:tab w:val="center" w:pos="6230" w:leader="none"/>
        </w:tabs>
        <w:rPr>
          <w:sz w:val="22"/>
          <w:szCs w:val="18"/>
        </w:rPr>
      </w:pPr>
      <w:r>
        <w:rPr>
          <w:rFonts w:eastAsia="Arial"/>
          <w:sz w:val="22"/>
          <w:szCs w:val="18"/>
        </w:rPr>
        <w:t xml:space="preserve">к Договору № </w:t>
      </w:r>
      <w:r>
        <w:rPr>
          <w:rFonts w:eastAsia="Arial"/>
          <w:sz w:val="22"/>
          <w:szCs w:val="18"/>
        </w:rPr>
        <w:t xml:space="preserve">_____________________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ind w:left="57" w:firstLine="0"/>
        <w:jc w:val="center"/>
        <w:spacing w:after="0" w:line="240" w:lineRule="auto"/>
        <w:rPr>
          <w:rFonts w:eastAsia="Arial"/>
          <w:sz w:val="22"/>
          <w:szCs w:val="18"/>
        </w:rPr>
      </w:pPr>
      <w:r>
        <w:rPr>
          <w:rFonts w:eastAsia="Arial"/>
          <w:sz w:val="22"/>
          <w:szCs w:val="18"/>
        </w:rPr>
      </w:r>
      <w:r>
        <w:rPr>
          <w:rFonts w:eastAsia="Arial"/>
          <w:sz w:val="22"/>
          <w:szCs w:val="18"/>
        </w:rPr>
      </w:r>
      <w:r>
        <w:rPr>
          <w:rFonts w:eastAsia="Arial"/>
          <w:sz w:val="22"/>
          <w:szCs w:val="18"/>
        </w:rPr>
      </w:r>
    </w:p>
    <w:p>
      <w:pPr>
        <w:ind w:left="57" w:firstLine="0"/>
        <w:jc w:val="center"/>
        <w:spacing w:after="0" w:line="240" w:lineRule="auto"/>
        <w:rPr>
          <w:rFonts w:eastAsia="Arial"/>
          <w:b/>
          <w:sz w:val="24"/>
          <w:szCs w:val="20"/>
        </w:rPr>
      </w:pPr>
      <w:r>
        <w:rPr>
          <w:rFonts w:eastAsia="Arial"/>
          <w:b/>
          <w:sz w:val="24"/>
          <w:szCs w:val="20"/>
        </w:rPr>
        <w:t xml:space="preserve">Спецификация поставляемого товара</w:t>
      </w:r>
      <w:r>
        <w:rPr>
          <w:rFonts w:eastAsia="Arial"/>
          <w:b/>
          <w:sz w:val="24"/>
          <w:szCs w:val="20"/>
        </w:rPr>
      </w:r>
      <w:r>
        <w:rPr>
          <w:rFonts w:eastAsia="Arial"/>
          <w:b/>
          <w:sz w:val="24"/>
          <w:szCs w:val="20"/>
        </w:rPr>
      </w:r>
    </w:p>
    <w:p>
      <w:pPr>
        <w:ind w:left="57" w:firstLine="0"/>
        <w:jc w:val="center"/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(ОКПД </w:t>
      </w:r>
      <w:r>
        <w:rPr>
          <w:sz w:val="24"/>
          <w:szCs w:val="20"/>
        </w:rPr>
        <w:t xml:space="preserve">26.20.40.190</w:t>
      </w:r>
      <w:r>
        <w:rPr>
          <w:sz w:val="24"/>
          <w:szCs w:val="20"/>
        </w:rPr>
        <w:t xml:space="preserve">)</w:t>
      </w: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ind w:left="57" w:firstLine="0"/>
        <w:jc w:val="center"/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</w: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numPr>
          <w:ilvl w:val="0"/>
          <w:numId w:val="2"/>
        </w:numPr>
        <w:ind w:left="0" w:firstLine="567"/>
        <w:spacing w:after="0" w:line="240" w:lineRule="auto"/>
        <w:widowControl w:val="off"/>
        <w:rPr>
          <w:b/>
          <w:bCs/>
          <w:iCs/>
          <w:sz w:val="24"/>
          <w:szCs w:val="24"/>
        </w:rPr>
      </w:pPr>
      <w:r>
        <w:rPr>
          <w:b/>
          <w:bCs/>
          <w:iCs/>
          <w:sz w:val="22"/>
        </w:rPr>
        <w:t xml:space="preserve">Предмет закупки:</w:t>
      </w:r>
      <w:r>
        <w:rPr>
          <w:bCs/>
          <w:iCs/>
          <w:sz w:val="22"/>
        </w:rPr>
        <w:t xml:space="preserve"> </w:t>
      </w:r>
      <w:r>
        <w:rPr>
          <w:sz w:val="22"/>
        </w:rPr>
        <w:t xml:space="preserve">к</w:t>
      </w:r>
      <w:r>
        <w:rPr>
          <w:sz w:val="22"/>
        </w:rPr>
        <w:t xml:space="preserve">омплектующие и запасные части для вычислительных машин прочие, не включенные в другие группировки</w:t>
      </w:r>
      <w:r>
        <w:rPr>
          <w:b/>
          <w:bCs/>
          <w:iCs/>
          <w:sz w:val="24"/>
          <w:szCs w:val="24"/>
        </w:rPr>
        <w:t xml:space="preserve"> </w:t>
      </w:r>
      <w:r>
        <w:rPr>
          <w:bCs/>
          <w:iCs/>
          <w:sz w:val="22"/>
        </w:rPr>
        <w:t xml:space="preserve">(далее по тексту – </w:t>
      </w:r>
      <w:r>
        <w:rPr>
          <w:b/>
          <w:sz w:val="24"/>
          <w:szCs w:val="24"/>
        </w:rPr>
        <w:t xml:space="preserve">товар</w:t>
      </w:r>
      <w:r>
        <w:rPr>
          <w:bCs/>
          <w:iCs/>
          <w:sz w:val="22"/>
        </w:rPr>
        <w:t xml:space="preserve">).</w:t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spacing w:after="0" w:line="240" w:lineRule="auto"/>
        <w:rPr>
          <w:bCs/>
          <w:iCs/>
          <w:sz w:val="22"/>
        </w:rPr>
      </w:pPr>
      <w:r>
        <w:rPr>
          <w:b/>
          <w:bCs/>
          <w:iCs/>
          <w:sz w:val="22"/>
        </w:rPr>
        <w:t xml:space="preserve">Место поставки</w:t>
      </w:r>
      <w:r>
        <w:rPr>
          <w:sz w:val="22"/>
        </w:rPr>
        <w:t xml:space="preserve">: </w:t>
      </w:r>
      <w:r>
        <w:rPr>
          <w:bCs/>
          <w:iCs/>
          <w:sz w:val="22"/>
        </w:rPr>
        <w:t xml:space="preserve">Приморский край, </w:t>
      </w:r>
      <w:r>
        <w:rPr>
          <w:bCs/>
          <w:iCs/>
          <w:sz w:val="22"/>
        </w:rPr>
        <w:t xml:space="preserve">г</w:t>
      </w:r>
      <w:r>
        <w:rPr>
          <w:bCs/>
          <w:iCs/>
          <w:sz w:val="22"/>
        </w:rPr>
        <w:t xml:space="preserve">. Владивосток, Океанский проспект, 29</w:t>
      </w:r>
      <w:r>
        <w:rPr>
          <w:bCs/>
          <w:iCs/>
          <w:sz w:val="22"/>
        </w:rPr>
      </w:r>
      <w:r>
        <w:rPr>
          <w:bCs/>
          <w:iCs/>
          <w:sz w:val="22"/>
        </w:rPr>
      </w:r>
    </w:p>
    <w:p>
      <w:pPr>
        <w:numPr>
          <w:ilvl w:val="0"/>
          <w:numId w:val="2"/>
        </w:numPr>
        <w:ind w:left="0" w:firstLine="567"/>
        <w:spacing w:after="0" w:line="240" w:lineRule="auto"/>
        <w:rPr>
          <w:b/>
          <w:bCs/>
          <w:iCs/>
          <w:sz w:val="22"/>
        </w:rPr>
      </w:pPr>
      <w:r>
        <w:rPr>
          <w:b/>
          <w:bCs/>
          <w:iCs/>
          <w:sz w:val="22"/>
        </w:rPr>
        <w:t xml:space="preserve">Сроки поставки товара: </w:t>
      </w:r>
      <w:r>
        <w:rPr>
          <w:sz w:val="22"/>
        </w:rPr>
        <w:t xml:space="preserve">в течение 5 (пяти) рабочих дней </w:t>
      </w:r>
      <w:r>
        <w:rPr>
          <w:sz w:val="22"/>
        </w:rPr>
        <w:t xml:space="preserve">с даты заключения</w:t>
      </w:r>
      <w:r>
        <w:rPr>
          <w:sz w:val="22"/>
        </w:rPr>
        <w:t xml:space="preserve"> Договора.</w:t>
      </w:r>
      <w:r>
        <w:rPr>
          <w:b/>
          <w:bCs/>
          <w:iCs/>
          <w:sz w:val="22"/>
        </w:rPr>
      </w:r>
      <w:r>
        <w:rPr>
          <w:b/>
          <w:bCs/>
          <w:iCs/>
          <w:sz w:val="22"/>
        </w:rPr>
      </w:r>
    </w:p>
    <w:p>
      <w:pPr>
        <w:numPr>
          <w:ilvl w:val="0"/>
          <w:numId w:val="2"/>
        </w:numPr>
        <w:ind w:left="0" w:firstLine="567"/>
        <w:spacing w:after="0" w:line="240" w:lineRule="auto"/>
        <w:rPr>
          <w:b/>
          <w:bCs/>
          <w:iCs/>
          <w:sz w:val="22"/>
        </w:rPr>
      </w:pPr>
      <w:r>
        <w:rPr>
          <w:b/>
          <w:bCs/>
          <w:iCs/>
          <w:sz w:val="22"/>
        </w:rPr>
        <w:t xml:space="preserve">Наименование товара:</w:t>
      </w:r>
      <w:r>
        <w:rPr>
          <w:b/>
          <w:bCs/>
          <w:iCs/>
          <w:sz w:val="22"/>
        </w:rPr>
      </w:r>
      <w:r>
        <w:rPr>
          <w:b/>
          <w:bCs/>
          <w:iCs/>
          <w:sz w:val="22"/>
        </w:rPr>
      </w:r>
    </w:p>
    <w:p>
      <w:pPr>
        <w:ind w:left="55" w:firstLine="0"/>
        <w:jc w:val="center"/>
        <w:spacing w:after="273" w:line="259" w:lineRule="auto"/>
        <w:rPr>
          <w:sz w:val="24"/>
          <w:szCs w:val="20"/>
        </w:rPr>
      </w:pPr>
      <w:r>
        <w:rPr>
          <w:sz w:val="24"/>
          <w:szCs w:val="20"/>
        </w:rPr>
      </w:r>
      <w:r>
        <w:rPr>
          <w:sz w:val="24"/>
          <w:szCs w:val="20"/>
        </w:rPr>
      </w:r>
      <w:r>
        <w:rPr>
          <w:sz w:val="24"/>
          <w:szCs w:val="20"/>
        </w:rPr>
      </w:r>
    </w:p>
    <w:tbl>
      <w:tblPr>
        <w:tblStyle w:val="838"/>
        <w:tblW w:w="11672" w:type="dxa"/>
        <w:tblInd w:w="-479" w:type="dxa"/>
        <w:tblCellMar>
          <w:left w:w="26" w:type="dxa"/>
          <w:top w:w="10" w:type="dxa"/>
        </w:tblCellMar>
        <w:tblLook w:val="04A0" w:firstRow="1" w:lastRow="0" w:firstColumn="1" w:lastColumn="0" w:noHBand="0" w:noVBand="1"/>
      </w:tblPr>
      <w:tblGrid>
        <w:gridCol w:w="494"/>
        <w:gridCol w:w="3478"/>
        <w:gridCol w:w="695"/>
        <w:gridCol w:w="1225"/>
        <w:gridCol w:w="1062"/>
        <w:gridCol w:w="914"/>
        <w:gridCol w:w="1004"/>
        <w:gridCol w:w="1524"/>
        <w:gridCol w:w="1276"/>
      </w:tblGrid>
      <w:tr>
        <w:tblPrEx/>
        <w:trPr>
          <w:trHeight w:val="456"/>
        </w:trPr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94" w:type="dxa"/>
            <w:vAlign w:val="center"/>
            <w:textDirection w:val="lrTb"/>
            <w:noWrap w:val="false"/>
          </w:tcPr>
          <w:p>
            <w:pPr>
              <w:ind w:left="115"/>
              <w:jc w:val="left"/>
              <w:spacing w:after="0"/>
              <w:rPr>
                <w:sz w:val="22"/>
              </w:rPr>
            </w:pPr>
            <w:r>
              <w:rPr>
                <w:rFonts w:eastAsia="Arial"/>
                <w:b/>
                <w:sz w:val="22"/>
              </w:rPr>
              <w:t xml:space="preserve">№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78" w:type="dxa"/>
            <w:vAlign w:val="center"/>
            <w:textDirection w:val="lrTb"/>
            <w:noWrap w:val="false"/>
          </w:tcPr>
          <w:p>
            <w:pPr>
              <w:ind w:right="36"/>
              <w:jc w:val="left"/>
              <w:spacing w:after="0"/>
              <w:rPr>
                <w:sz w:val="22"/>
              </w:rPr>
            </w:pPr>
            <w:r>
              <w:rPr>
                <w:rFonts w:eastAsia="Arial"/>
                <w:b/>
                <w:sz w:val="22"/>
              </w:rPr>
              <w:t xml:space="preserve">Наименование товара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ind w:left="12"/>
              <w:jc w:val="left"/>
              <w:spacing w:after="0"/>
              <w:rPr>
                <w:sz w:val="22"/>
              </w:rPr>
            </w:pPr>
            <w:r>
              <w:rPr>
                <w:rFonts w:eastAsia="Arial"/>
                <w:b/>
                <w:sz w:val="22"/>
              </w:rPr>
              <w:t xml:space="preserve">Кол-во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ind w:left="276" w:hanging="91"/>
              <w:jc w:val="left"/>
              <w:spacing w:after="0"/>
              <w:rPr>
                <w:sz w:val="22"/>
              </w:rPr>
            </w:pPr>
            <w:r>
              <w:rPr>
                <w:rFonts w:eastAsia="Arial"/>
                <w:b/>
                <w:sz w:val="22"/>
              </w:rPr>
              <w:t xml:space="preserve">Цена, руб.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62" w:type="dxa"/>
            <w:vAlign w:val="center"/>
            <w:textDirection w:val="lrTb"/>
            <w:noWrap w:val="false"/>
          </w:tcPr>
          <w:p>
            <w:pPr>
              <w:ind w:left="319" w:hanging="161"/>
              <w:jc w:val="left"/>
              <w:spacing w:after="0"/>
              <w:rPr>
                <w:sz w:val="22"/>
              </w:rPr>
            </w:pPr>
            <w:r>
              <w:rPr>
                <w:rFonts w:eastAsia="Arial"/>
                <w:b/>
                <w:sz w:val="22"/>
              </w:rPr>
              <w:t xml:space="preserve">Сумма, руб.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ind w:left="247" w:hanging="65"/>
              <w:jc w:val="left"/>
              <w:spacing w:after="0"/>
              <w:rPr>
                <w:sz w:val="22"/>
              </w:rPr>
            </w:pPr>
            <w:r>
              <w:rPr>
                <w:rFonts w:eastAsia="Arial"/>
                <w:b/>
                <w:sz w:val="22"/>
              </w:rPr>
              <w:t xml:space="preserve">НДС, руб.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ind w:left="293" w:hanging="127"/>
              <w:jc w:val="left"/>
              <w:spacing w:after="0"/>
              <w:rPr>
                <w:sz w:val="22"/>
              </w:rPr>
            </w:pPr>
            <w:r>
              <w:rPr>
                <w:rFonts w:eastAsia="Arial"/>
                <w:b/>
                <w:sz w:val="22"/>
              </w:rPr>
              <w:t xml:space="preserve">Всего, руб.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24" w:type="dxa"/>
            <w:vAlign w:val="center"/>
            <w:textDirection w:val="lrTb"/>
            <w:noWrap w:val="false"/>
          </w:tcPr>
          <w:p>
            <w:pPr>
              <w:ind w:left="269" w:hanging="269"/>
              <w:jc w:val="left"/>
              <w:spacing w:after="0"/>
              <w:rPr>
                <w:sz w:val="22"/>
              </w:rPr>
            </w:pPr>
            <w:r>
              <w:rPr>
                <w:rFonts w:eastAsia="Arial"/>
                <w:b/>
                <w:sz w:val="22"/>
              </w:rPr>
              <w:t xml:space="preserve">Гарантия, мес.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34" w:firstLine="161"/>
              <w:jc w:val="left"/>
              <w:spacing w:after="0"/>
              <w:rPr>
                <w:sz w:val="22"/>
              </w:rPr>
            </w:pPr>
            <w:r>
              <w:rPr>
                <w:rFonts w:eastAsia="Arial"/>
                <w:b/>
                <w:sz w:val="22"/>
              </w:rPr>
              <w:t xml:space="preserve">Срок поставки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86"/>
        </w:trPr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9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7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Патч-корд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Cablexpert</w:t>
            </w:r>
            <w:r>
              <w:rPr>
                <w:sz w:val="22"/>
              </w:rPr>
              <w:t xml:space="preserve"> (RJ-45, UTP, кат.5e, 10м)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дней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86"/>
        </w:trPr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9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7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Патч-корд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Cablexpert</w:t>
            </w:r>
            <w:r>
              <w:rPr>
                <w:sz w:val="22"/>
              </w:rPr>
              <w:t xml:space="preserve"> (UTP, RJ-45, кат.5E, 5м)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2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 дней</w:t>
            </w:r>
            <w:r/>
          </w:p>
        </w:tc>
      </w:tr>
      <w:tr>
        <w:tblPrEx/>
        <w:trPr>
          <w:trHeight w:val="586"/>
        </w:trPr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9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7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Блок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 xml:space="preserve">питания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Exegate</w:t>
            </w:r>
            <w:r>
              <w:rPr>
                <w:sz w:val="22"/>
                <w:lang w:val="en-US"/>
              </w:rPr>
              <w:t xml:space="preserve"> (</w:t>
            </w:r>
            <w:r>
              <w:rPr>
                <w:sz w:val="22"/>
                <w:lang w:val="en-US"/>
              </w:rPr>
              <w:t xml:space="preserve">FlexATX</w:t>
            </w:r>
            <w:r>
              <w:rPr>
                <w:sz w:val="22"/>
                <w:lang w:val="en-US"/>
              </w:rPr>
              <w:t xml:space="preserve">, 300W)</w: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2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 дней</w:t>
            </w:r>
            <w:r/>
          </w:p>
        </w:tc>
      </w:tr>
      <w:tr>
        <w:tblPrEx/>
        <w:trPr>
          <w:trHeight w:val="586"/>
        </w:trPr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9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7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Мышь Оклик 147M</w: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2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 дней</w:t>
            </w:r>
            <w:r/>
          </w:p>
        </w:tc>
      </w:tr>
      <w:tr>
        <w:tblPrEx/>
        <w:trPr>
          <w:trHeight w:val="586"/>
        </w:trPr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9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7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Клавиатура </w:t>
            </w:r>
            <w:r>
              <w:rPr>
                <w:sz w:val="22"/>
              </w:rPr>
              <w:t xml:space="preserve">DeTech</w:t>
            </w:r>
            <w:r>
              <w:rPr>
                <w:sz w:val="22"/>
              </w:rPr>
              <w:t xml:space="preserve"> (черный, USB, кабель 1.6м)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2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 дней</w:t>
            </w:r>
            <w:r/>
          </w:p>
        </w:tc>
      </w:tr>
      <w:tr>
        <w:tblPrEx/>
        <w:trPr>
          <w:trHeight w:val="586"/>
        </w:trPr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9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7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Коммутатор </w:t>
            </w:r>
            <w:r>
              <w:rPr>
                <w:sz w:val="22"/>
              </w:rPr>
              <w:t xml:space="preserve">D-Link</w:t>
            </w:r>
            <w:r>
              <w:rPr>
                <w:sz w:val="22"/>
              </w:rPr>
              <w:t xml:space="preserve"> (8x1Гбит/с)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2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 дней</w:t>
            </w:r>
            <w:r/>
          </w:p>
        </w:tc>
      </w:tr>
      <w:tr>
        <w:tblPrEx/>
        <w:trPr>
          <w:trHeight w:val="586"/>
        </w:trPr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9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7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Флеш</w:t>
            </w:r>
            <w:r>
              <w:rPr>
                <w:sz w:val="22"/>
              </w:rPr>
              <w:t xml:space="preserve"> Диск </w:t>
            </w:r>
            <w:r>
              <w:rPr>
                <w:sz w:val="22"/>
              </w:rPr>
              <w:t xml:space="preserve">Netac</w:t>
            </w:r>
            <w:r>
              <w:rPr>
                <w:sz w:val="22"/>
              </w:rPr>
              <w:t xml:space="preserve"> (64Gb, USB2.0)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2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 дней</w:t>
            </w:r>
            <w:r/>
          </w:p>
        </w:tc>
      </w:tr>
      <w:tr>
        <w:tblPrEx/>
        <w:trPr>
          <w:trHeight w:val="586"/>
        </w:trPr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9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7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Диск</w:t>
            </w:r>
            <w:r>
              <w:rPr>
                <w:sz w:val="22"/>
                <w:lang w:val="en-US"/>
              </w:rPr>
              <w:t xml:space="preserve"> CD-R </w:t>
            </w:r>
            <w:r>
              <w:rPr>
                <w:sz w:val="22"/>
                <w:lang w:val="en-US"/>
              </w:rPr>
              <w:t xml:space="preserve">Cromex</w:t>
            </w:r>
            <w:r>
              <w:rPr>
                <w:sz w:val="22"/>
                <w:lang w:val="en-US"/>
              </w:rPr>
              <w:t xml:space="preserve"> (700Mb, 52x, 100</w:t>
            </w:r>
            <w:r>
              <w:rPr>
                <w:sz w:val="22"/>
              </w:rPr>
              <w:t xml:space="preserve">шт</w:t>
            </w:r>
            <w:r>
              <w:rPr>
                <w:sz w:val="22"/>
                <w:lang w:val="en-US"/>
              </w:rPr>
              <w:t xml:space="preserve">)</w: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2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 дней</w:t>
            </w:r>
            <w:r/>
          </w:p>
        </w:tc>
      </w:tr>
      <w:tr>
        <w:tblPrEx/>
        <w:trPr>
          <w:trHeight w:val="228"/>
        </w:trPr>
        <w:tc>
          <w:tcPr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5892" w:type="dxa"/>
            <w:vAlign w:val="center"/>
            <w:textDirection w:val="lrTb"/>
            <w:noWrap w:val="false"/>
          </w:tcPr>
          <w:p>
            <w:pPr>
              <w:ind w:right="42"/>
              <w:jc w:val="right"/>
              <w:spacing w:after="0"/>
              <w:rPr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62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333333" w:sz="6" w:space="0"/>
              <w:left w:val="single" w:color="333333" w:sz="6" w:space="0"/>
              <w:bottom w:val="none" w:color="000000" w:sz="4" w:space="0"/>
            </w:tcBorders>
            <w:tcW w:w="28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40"/>
        </w:trPr>
        <w:tc>
          <w:tcPr>
            <w:gridSpan w:val="6"/>
            <w:tcBorders>
              <w:top w:val="single" w:color="333333" w:sz="6" w:space="0"/>
              <w:left w:val="none" w:color="000000" w:sz="4" w:space="0"/>
              <w:bottom w:val="none" w:color="000000" w:sz="4" w:space="0"/>
              <w:right w:val="single" w:color="333333" w:sz="6" w:space="0"/>
            </w:tcBorders>
            <w:tcW w:w="7868" w:type="dxa"/>
            <w:vAlign w:val="center"/>
            <w:textDirection w:val="lrTb"/>
            <w:noWrap w:val="false"/>
          </w:tcPr>
          <w:p>
            <w:pPr>
              <w:ind w:right="46"/>
              <w:jc w:val="right"/>
              <w:spacing w:after="0"/>
              <w:rPr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 xml:space="preserve">Всего к оплате: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333333" w:sz="6" w:space="0"/>
              <w:bottom w:val="none" w:color="000000" w:sz="4" w:space="0"/>
            </w:tcBorders>
            <w:tcW w:w="28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127" w:right="2862"/>
        <w:spacing w:after="17"/>
        <w:rPr>
          <w:rFonts w:eastAsia="Arial"/>
          <w:i/>
          <w:sz w:val="24"/>
        </w:rPr>
      </w:pPr>
      <w:r>
        <w:rPr>
          <w:rFonts w:eastAsia="Arial"/>
          <w:i/>
          <w:sz w:val="24"/>
        </w:rPr>
      </w:r>
      <w:r>
        <w:rPr>
          <w:rFonts w:eastAsia="Arial"/>
          <w:i/>
          <w:sz w:val="24"/>
        </w:rPr>
      </w:r>
      <w:r>
        <w:rPr>
          <w:rFonts w:eastAsia="Arial"/>
          <w:i/>
          <w:sz w:val="24"/>
        </w:rPr>
      </w:r>
    </w:p>
    <w:p>
      <w:pPr>
        <w:ind w:left="127" w:right="2862"/>
        <w:spacing w:after="17"/>
        <w:rPr>
          <w:rFonts w:eastAsia="Arial"/>
          <w:i/>
          <w:sz w:val="24"/>
        </w:rPr>
      </w:pPr>
      <w:r>
        <w:rPr>
          <w:rFonts w:eastAsia="Arial"/>
          <w:i/>
          <w:sz w:val="24"/>
        </w:rPr>
      </w:r>
      <w:r>
        <w:rPr>
          <w:rFonts w:eastAsia="Arial"/>
          <w:i/>
          <w:sz w:val="24"/>
        </w:rPr>
      </w:r>
      <w:r>
        <w:rPr>
          <w:rFonts w:eastAsia="Arial"/>
          <w:i/>
          <w:sz w:val="24"/>
        </w:rPr>
      </w:r>
    </w:p>
    <w:p>
      <w:pPr>
        <w:ind w:left="127" w:right="2862"/>
        <w:spacing w:after="17"/>
        <w:rPr>
          <w:rFonts w:eastAsia="Arial"/>
          <w:i/>
          <w:sz w:val="24"/>
        </w:rPr>
      </w:pPr>
      <w:r>
        <w:rPr>
          <w:rFonts w:eastAsia="Arial"/>
          <w:i/>
          <w:sz w:val="24"/>
        </w:rPr>
      </w:r>
      <w:r>
        <w:rPr>
          <w:rFonts w:eastAsia="Arial"/>
          <w:i/>
          <w:sz w:val="24"/>
        </w:rPr>
      </w:r>
      <w:r>
        <w:rPr>
          <w:rFonts w:eastAsia="Arial"/>
          <w:i/>
          <w:sz w:val="24"/>
        </w:rPr>
      </w:r>
    </w:p>
    <w:p>
      <w:pPr>
        <w:ind w:left="127" w:right="2862"/>
        <w:spacing w:after="17"/>
        <w:rPr>
          <w:rFonts w:eastAsia="Arial"/>
          <w:i/>
          <w:sz w:val="24"/>
        </w:rPr>
      </w:pPr>
      <w:r>
        <w:rPr>
          <w:rFonts w:eastAsia="Arial"/>
          <w:i/>
          <w:sz w:val="24"/>
        </w:rPr>
      </w:r>
      <w:r>
        <w:rPr>
          <w:rFonts w:eastAsia="Arial"/>
          <w:i/>
          <w:sz w:val="24"/>
        </w:rPr>
      </w:r>
      <w:r>
        <w:rPr>
          <w:rFonts w:eastAsia="Arial"/>
          <w:i/>
          <w:sz w:val="24"/>
        </w:rPr>
      </w:r>
    </w:p>
    <w:p>
      <w:pPr>
        <w:ind w:left="127" w:right="2862"/>
        <w:spacing w:after="17"/>
        <w:rPr>
          <w:rFonts w:eastAsia="Arial"/>
          <w:i/>
          <w:sz w:val="24"/>
        </w:rPr>
      </w:pPr>
      <w:r>
        <w:rPr>
          <w:rFonts w:eastAsia="Arial"/>
          <w:i/>
          <w:sz w:val="24"/>
        </w:rPr>
      </w:r>
      <w:r>
        <w:rPr>
          <w:rFonts w:eastAsia="Arial"/>
          <w:i/>
          <w:sz w:val="24"/>
        </w:rPr>
      </w:r>
      <w:r>
        <w:rPr>
          <w:rFonts w:eastAsia="Arial"/>
          <w:i/>
          <w:sz w:val="24"/>
        </w:rPr>
      </w:r>
    </w:p>
    <w:p>
      <w:pPr>
        <w:ind w:left="0"/>
        <w:spacing w:after="0"/>
        <w:tabs>
          <w:tab w:val="left" w:pos="709" w:leader="none"/>
        </w:tabs>
        <w:rPr>
          <w:rFonts w:eastAsia="Arial"/>
          <w:sz w:val="22"/>
          <w:szCs w:val="18"/>
        </w:rPr>
      </w:pPr>
      <w:r>
        <w:rPr>
          <w:rFonts w:eastAsia="Arial"/>
          <w:sz w:val="22"/>
          <w:szCs w:val="18"/>
        </w:rPr>
        <w:t xml:space="preserve">К оплате: </w:t>
      </w:r>
      <w:r>
        <w:rPr>
          <w:rFonts w:eastAsia="Arial"/>
          <w:sz w:val="22"/>
          <w:szCs w:val="18"/>
        </w:rPr>
        <w:t xml:space="preserve">___________________________</w:t>
      </w:r>
      <w:r>
        <w:rPr>
          <w:rFonts w:eastAsia="Arial"/>
          <w:sz w:val="22"/>
          <w:szCs w:val="18"/>
        </w:rPr>
      </w:r>
      <w:r>
        <w:rPr>
          <w:rFonts w:eastAsia="Arial"/>
          <w:sz w:val="22"/>
          <w:szCs w:val="18"/>
        </w:rPr>
      </w:r>
    </w:p>
    <w:p>
      <w:pPr>
        <w:ind w:left="0"/>
        <w:spacing w:after="0"/>
        <w:tabs>
          <w:tab w:val="left" w:pos="709" w:leader="none"/>
        </w:tabs>
        <w:rPr>
          <w:rFonts w:eastAsia="Arial"/>
          <w:sz w:val="22"/>
          <w:szCs w:val="18"/>
        </w:rPr>
      </w:pPr>
      <w:r>
        <w:rPr>
          <w:rFonts w:eastAsia="Arial"/>
          <w:sz w:val="22"/>
          <w:szCs w:val="18"/>
        </w:rPr>
        <w:t xml:space="preserve">В том числе НДС: </w:t>
      </w:r>
      <w:r>
        <w:rPr>
          <w:rFonts w:eastAsia="Arial"/>
          <w:sz w:val="22"/>
          <w:szCs w:val="18"/>
        </w:rPr>
        <w:t xml:space="preserve">___________________________</w:t>
      </w:r>
      <w:r>
        <w:rPr>
          <w:rFonts w:eastAsia="Arial"/>
          <w:sz w:val="22"/>
          <w:szCs w:val="18"/>
        </w:rPr>
      </w:r>
      <w:r>
        <w:rPr>
          <w:rFonts w:eastAsia="Arial"/>
          <w:sz w:val="22"/>
          <w:szCs w:val="18"/>
        </w:rPr>
      </w:r>
    </w:p>
    <w:p>
      <w:pPr>
        <w:ind w:left="0"/>
        <w:spacing w:after="0"/>
        <w:tabs>
          <w:tab w:val="left" w:pos="709" w:leader="none"/>
        </w:tabs>
        <w:rPr>
          <w:b/>
          <w:sz w:val="22"/>
          <w:szCs w:val="18"/>
        </w:rPr>
      </w:pPr>
      <w:r>
        <w:rPr>
          <w:b/>
          <w:sz w:val="22"/>
          <w:szCs w:val="18"/>
        </w:rPr>
      </w:r>
      <w:r>
        <w:rPr>
          <w:b/>
          <w:sz w:val="22"/>
          <w:szCs w:val="18"/>
        </w:rPr>
      </w:r>
      <w:r>
        <w:rPr>
          <w:b/>
          <w:sz w:val="22"/>
          <w:szCs w:val="18"/>
        </w:rPr>
      </w:r>
    </w:p>
    <w:tbl>
      <w:tblPr>
        <w:tblStyle w:val="838"/>
        <w:tblW w:w="10073" w:type="dxa"/>
        <w:tblInd w:w="142" w:type="dxa"/>
        <w:tblLook w:val="04A0" w:firstRow="1" w:lastRow="0" w:firstColumn="1" w:lastColumn="0" w:noHBand="0" w:noVBand="1"/>
      </w:tblPr>
      <w:tblGrid>
        <w:gridCol w:w="4820"/>
        <w:gridCol w:w="5253"/>
      </w:tblGrid>
      <w:tr>
        <w:tblPrEx/>
        <w:trPr>
          <w:trHeight w:val="10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ind w:right="273"/>
              <w:jc w:val="left"/>
              <w:spacing w:after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Покупатель:</w:t>
            </w:r>
            <w:r>
              <w:rPr>
                <w:rFonts w:eastAsia="Arial"/>
                <w:sz w:val="22"/>
              </w:rPr>
            </w:r>
            <w:r>
              <w:rPr>
                <w:rFonts w:eastAsia="Arial"/>
                <w:sz w:val="22"/>
              </w:rPr>
            </w:r>
          </w:p>
          <w:p>
            <w:pPr>
              <w:ind w:right="273"/>
              <w:jc w:val="left"/>
              <w:spacing w:after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</w:r>
            <w:r>
              <w:rPr>
                <w:rFonts w:eastAsia="Arial"/>
                <w:sz w:val="22"/>
              </w:rPr>
            </w:r>
            <w:r>
              <w:rPr>
                <w:rFonts w:eastAsia="Arial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53" w:type="dxa"/>
            <w:textDirection w:val="lrTb"/>
            <w:noWrap w:val="false"/>
          </w:tcPr>
          <w:p>
            <w:pPr>
              <w:jc w:val="left"/>
              <w:spacing w:after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Поставщик:</w:t>
            </w:r>
            <w:r>
              <w:rPr>
                <w:rFonts w:eastAsia="Arial"/>
                <w:sz w:val="22"/>
              </w:rPr>
            </w:r>
            <w:r>
              <w:rPr>
                <w:rFonts w:eastAsia="Arial"/>
                <w:sz w:val="22"/>
              </w:rPr>
            </w:r>
          </w:p>
          <w:p>
            <w:pPr>
              <w:jc w:val="left"/>
              <w:spacing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8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ind w:left="0" w:firstLine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Руководитель</w: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  <w:p>
            <w:pPr>
              <w:ind w:left="0" w:firstLine="0"/>
              <w:jc w:val="left"/>
              <w:spacing w:after="0" w:line="259" w:lineRule="auto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__________________/</w:t>
            </w:r>
            <w:r>
              <w:rPr>
                <w:sz w:val="22"/>
                <w:lang w:bidi="ru-RU"/>
              </w:rPr>
              <w:t xml:space="preserve">Савичев Д</w:t>
            </w:r>
            <w:r>
              <w:rPr>
                <w:sz w:val="22"/>
                <w:lang w:bidi="ru-RU"/>
              </w:rPr>
              <w:t xml:space="preserve">,А</w:t>
            </w:r>
            <w:r>
              <w:rPr>
                <w:sz w:val="22"/>
                <w:lang w:bidi="ru-RU"/>
              </w:rPr>
              <w:t xml:space="preserve">.</w:t>
            </w:r>
            <w:r>
              <w:rPr>
                <w:sz w:val="22"/>
                <w:szCs w:val="18"/>
              </w:rPr>
              <w:t xml:space="preserve">/</w: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53" w:type="dxa"/>
            <w:textDirection w:val="lrTb"/>
            <w:noWrap w:val="false"/>
          </w:tcPr>
          <w:p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  <w:p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____________________/</w:t>
            </w:r>
            <w:r>
              <w:rPr>
                <w:sz w:val="22"/>
                <w:szCs w:val="18"/>
              </w:rPr>
              <w:t xml:space="preserve">                       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 xml:space="preserve">/</w: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</w:r>
          </w:p>
        </w:tc>
      </w:tr>
    </w:tbl>
    <w:p>
      <w:pPr>
        <w:ind w:right="1452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sectPr>
      <w:footnotePr/>
      <w:endnotePr/>
      <w:type w:val="continuous"/>
      <w:pgSz w:w="11906" w:h="16838" w:orient="portrait"/>
      <w:pgMar w:top="300" w:right="608" w:bottom="1274" w:left="60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pStyle w:val="833"/>
      <w:isLgl w:val="false"/>
      <w:suff w:val="tab"/>
      <w:lvlText w:val="%1."/>
      <w:lvlJc w:val="left"/>
      <w:pPr>
        <w:ind w:left="326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474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546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618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690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762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834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906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978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4"/>
    <w:link w:val="833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4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2"/>
    <w:uiPriority w:val="34"/>
    <w:qFormat/>
    <w:pPr>
      <w:contextualSpacing/>
      <w:ind w:left="720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4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4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ind w:left="10" w:hanging="10"/>
      <w:jc w:val="both"/>
      <w:spacing w:after="5" w:line="251" w:lineRule="auto"/>
    </w:pPr>
    <w:rPr>
      <w:rFonts w:ascii="Times New Roman" w:hAnsi="Times New Roman" w:eastAsia="Times New Roman" w:cs="Times New Roman"/>
      <w:color w:val="000000"/>
      <w:sz w:val="18"/>
    </w:rPr>
  </w:style>
  <w:style w:type="paragraph" w:styleId="833">
    <w:name w:val="Heading 1"/>
    <w:next w:val="832"/>
    <w:link w:val="837"/>
    <w:uiPriority w:val="9"/>
    <w:qFormat/>
    <w:pPr>
      <w:numPr>
        <w:ilvl w:val="0"/>
        <w:numId w:val="1"/>
      </w:numPr>
      <w:ind w:left="10" w:right="89" w:hanging="10"/>
      <w:jc w:val="center"/>
      <w:keepLines/>
      <w:keepNext/>
      <w:spacing w:after="5"/>
      <w:outlineLvl w:val="0"/>
    </w:pPr>
    <w:rPr>
      <w:rFonts w:ascii="Times New Roman" w:hAnsi="Times New Roman" w:eastAsia="Times New Roman" w:cs="Times New Roman"/>
      <w:b/>
      <w:color w:val="000000"/>
      <w:sz w:val="18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Заголовок 1 Знак"/>
    <w:link w:val="833"/>
    <w:rPr>
      <w:rFonts w:ascii="Times New Roman" w:hAnsi="Times New Roman" w:eastAsia="Times New Roman" w:cs="Times New Roman"/>
      <w:b/>
      <w:color w:val="000000"/>
      <w:sz w:val="18"/>
    </w:rPr>
  </w:style>
  <w:style w:type="table" w:styleId="838" w:customStyle="1">
    <w:name w:val="Table Grid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Table Grid"/>
    <w:basedOn w:val="835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>
    <w:name w:val="Balloon Text"/>
    <w:basedOn w:val="832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styleId="841" w:customStyle="1">
    <w:name w:val="Текст выноски Знак"/>
    <w:basedOn w:val="834"/>
    <w:link w:val="840"/>
    <w:uiPriority w:val="99"/>
    <w:semiHidden/>
    <w:rPr>
      <w:rFonts w:ascii="Segoe UI" w:hAnsi="Segoe UI" w:eastAsia="Times New Roman" w:cs="Segoe UI"/>
      <w:color w:val="000000"/>
      <w:sz w:val="18"/>
      <w:szCs w:val="18"/>
    </w:rPr>
  </w:style>
  <w:style w:type="paragraph" w:styleId="842">
    <w:name w:val="No Spacing"/>
    <w:link w:val="843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43" w:customStyle="1">
    <w:name w:val="Без интервала Знак"/>
    <w:link w:val="842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844">
    <w:name w:val="Hyperlink"/>
    <w:uiPriority w:val="99"/>
    <w:rPr>
      <w:color w:val="0000ff"/>
      <w:u w:val="single"/>
    </w:rPr>
  </w:style>
  <w:style w:type="paragraph" w:styleId="845">
    <w:name w:val="Body Text Indent"/>
    <w:basedOn w:val="832"/>
    <w:link w:val="846"/>
    <w:pPr>
      <w:ind w:left="880" w:firstLine="0"/>
      <w:jc w:val="center"/>
      <w:spacing w:after="0" w:line="240" w:lineRule="auto"/>
      <w:widowControl w:val="off"/>
    </w:pPr>
    <w:rPr>
      <w:b/>
      <w:bCs/>
      <w:color w:val="auto"/>
      <w:szCs w:val="18"/>
      <w:lang w:eastAsia="ar-SA"/>
    </w:rPr>
  </w:style>
  <w:style w:type="character" w:styleId="846" w:customStyle="1">
    <w:name w:val="Основной текст с отступом Знак"/>
    <w:basedOn w:val="834"/>
    <w:link w:val="845"/>
    <w:rPr>
      <w:rFonts w:ascii="Times New Roman" w:hAnsi="Times New Roman" w:eastAsia="Times New Roman" w:cs="Times New Roman"/>
      <w:b/>
      <w:bCs/>
      <w:sz w:val="18"/>
      <w:szCs w:val="18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rpn25@rpn.gov.ru" TargetMode="External"/><Relationship Id="rId11" Type="http://schemas.openxmlformats.org/officeDocument/2006/relationships/hyperlink" Target="mailto:rpn25@rpn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FF4B-8232-4811-8DEF-7D985452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Галайда Артем Владимирович</dc:creator>
  <cp:keywords/>
  <cp:lastModifiedBy>volkova.va</cp:lastModifiedBy>
  <cp:revision>5</cp:revision>
  <dcterms:created xsi:type="dcterms:W3CDTF">2024-12-05T02:21:00Z</dcterms:created>
  <dcterms:modified xsi:type="dcterms:W3CDTF">2026-06-17T05:55:12Z</dcterms:modified>
</cp:coreProperties>
</file>