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7"/>
        <w:ind w:firstLine="709"/>
        <w:jc w:val="center"/>
        <w:rPr>
          <w:rFonts w:ascii="PT Astra Serif" w:hAnsi="PT Astra Serif" w:cs="PT Astra Serif"/>
          <w:b/>
          <w:sz w:val="20"/>
          <w:szCs w:val="20"/>
        </w:rPr>
      </w:pPr>
      <w:r>
        <w:rPr>
          <w:rFonts w:ascii="PT Astra Serif" w:hAnsi="PT Astra Serif" w:eastAsia="PT Astra Serif" w:cs="PT Astra Serif"/>
          <w:b/>
          <w:sz w:val="20"/>
          <w:szCs w:val="20"/>
        </w:rPr>
        <w:t xml:space="preserve">Начальная (максимальная) цена государственного контракта,</w:t>
      </w:r>
      <w:r>
        <w:rPr>
          <w:rFonts w:ascii="PT Astra Serif" w:hAnsi="PT Astra Serif" w:cs="PT Astra Serif"/>
          <w:b/>
          <w:sz w:val="20"/>
          <w:szCs w:val="20"/>
        </w:rPr>
      </w:r>
      <w:r>
        <w:rPr>
          <w:rFonts w:ascii="PT Astra Serif" w:hAnsi="PT Astra Serif" w:cs="PT Astra Serif"/>
          <w:b/>
          <w:sz w:val="20"/>
          <w:szCs w:val="20"/>
        </w:rPr>
      </w:r>
    </w:p>
    <w:p>
      <w:pPr>
        <w:pStyle w:val="837"/>
        <w:ind w:firstLine="709"/>
        <w:jc w:val="center"/>
        <w:rPr>
          <w:rFonts w:ascii="PT Astra Serif" w:hAnsi="PT Astra Serif" w:cs="PT Astra Serif"/>
          <w:b/>
          <w:sz w:val="20"/>
          <w:szCs w:val="20"/>
        </w:rPr>
      </w:pPr>
      <w:r>
        <w:rPr>
          <w:rFonts w:ascii="PT Astra Serif" w:hAnsi="PT Astra Serif" w:eastAsia="PT Astra Serif" w:cs="PT Astra Serif"/>
          <w:b/>
          <w:sz w:val="20"/>
          <w:szCs w:val="20"/>
        </w:rPr>
        <w:t xml:space="preserve">обоснование начальной максимальной цены государственного контракта</w:t>
      </w:r>
      <w:r>
        <w:rPr>
          <w:rFonts w:ascii="PT Astra Serif" w:hAnsi="PT Astra Serif" w:cs="PT Astra Serif"/>
          <w:b/>
          <w:sz w:val="20"/>
          <w:szCs w:val="20"/>
        </w:rPr>
      </w:r>
      <w:r>
        <w:rPr>
          <w:rFonts w:ascii="PT Astra Serif" w:hAnsi="PT Astra Serif" w:cs="PT Astra Serif"/>
          <w:b/>
          <w:sz w:val="20"/>
          <w:szCs w:val="20"/>
        </w:rPr>
      </w:r>
    </w:p>
    <w:p>
      <w:pPr>
        <w:pStyle w:val="837"/>
        <w:ind w:firstLine="709"/>
        <w:jc w:val="center"/>
        <w:rPr>
          <w:rFonts w:ascii="PT Astra Serif" w:hAnsi="PT Astra Serif" w:cs="PT Astra Serif"/>
          <w:b/>
          <w:sz w:val="20"/>
          <w:szCs w:val="20"/>
        </w:rPr>
      </w:pPr>
      <w:r>
        <w:rPr>
          <w:rFonts w:ascii="PT Astra Serif" w:hAnsi="PT Astra Serif" w:eastAsia="PT Astra Serif" w:cs="PT Astra Serif"/>
          <w:b/>
          <w:sz w:val="20"/>
          <w:szCs w:val="20"/>
        </w:rPr>
      </w:r>
      <w:r>
        <w:rPr>
          <w:rFonts w:ascii="PT Astra Serif" w:hAnsi="PT Astra Serif" w:cs="PT Astra Serif"/>
          <w:b/>
          <w:sz w:val="20"/>
          <w:szCs w:val="20"/>
        </w:rPr>
      </w:r>
      <w:r>
        <w:rPr>
          <w:rFonts w:ascii="PT Astra Serif" w:hAnsi="PT Astra Serif" w:cs="PT Astra Serif"/>
          <w:b/>
          <w:sz w:val="20"/>
          <w:szCs w:val="20"/>
        </w:rPr>
      </w:r>
    </w:p>
    <w:tbl>
      <w:tblPr>
        <w:tblW w:w="5379" w:type="pct"/>
        <w:tblInd w:w="-68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2269"/>
        <w:gridCol w:w="13039"/>
      </w:tblGrid>
      <w:tr>
        <w:trPr>
          <w:trHeight w:val="55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33"/>
              <w:ind w:left="57" w:right="57" w:hanging="57"/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  <w:t xml:space="preserve">Наименование объекта закупки</w:t>
            </w:r>
            <w:r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r>
          </w:p>
        </w:tc>
        <w:tc>
          <w:tcPr>
            <w:tcW w:w="4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rPr>
                <w:rFonts w:ascii="PT Astra Serif" w:hAnsi="PT Astra Serif" w:cs="PT Astra Serif"/>
                <w:b w:val="0"/>
                <w:bCs w:val="0"/>
                <w:i w:val="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color w:val="000000"/>
                <w:sz w:val="20"/>
                <w:szCs w:val="20"/>
              </w:rPr>
              <w:t xml:space="preserve">Оказание услуг по техническому обслуживанию и ремонту транспортного средства</w:t>
            </w:r>
            <w:r>
              <w:rPr>
                <w:rFonts w:ascii="PT Astra Serif" w:hAnsi="PT Astra Serif" w:cs="PT Astra Serif"/>
                <w:b w:val="0"/>
                <w:bCs w:val="0"/>
                <w:i w:val="0"/>
                <w:sz w:val="20"/>
                <w:szCs w:val="20"/>
              </w:rPr>
            </w:r>
            <w:r>
              <w:rPr>
                <w:rFonts w:ascii="PT Astra Serif" w:hAnsi="PT Astra Serif" w:cs="PT Astra Serif"/>
                <w:b w:val="0"/>
                <w:bCs w:val="0"/>
                <w:i w:val="0"/>
                <w:sz w:val="20"/>
                <w:szCs w:val="20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33"/>
              <w:ind w:right="57"/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  <w:t xml:space="preserve">Используемый метод определения НМЦК с обоснованием:</w:t>
            </w:r>
            <w:r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r>
          </w:p>
        </w:tc>
        <w:tc>
          <w:tcPr>
            <w:tcW w:w="4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33"/>
              <w:ind w:left="57" w:firstLine="11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Метод сопоставимых рыночных цен (анализ рынка) на основании информации, содержащейся в коммерческих предложениях.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rPr>
          <w:trHeight w:val="2375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33"/>
              <w:ind w:left="57" w:right="57" w:hanging="57"/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  <w:t xml:space="preserve">Расчет НМЦК</w:t>
            </w:r>
            <w:r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r>
          </w:p>
        </w:tc>
        <w:tc>
          <w:tcPr>
            <w:tcW w:w="4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33"/>
              <w:ind w:left="87" w:right="180" w:firstLine="425"/>
              <w:jc w:val="both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Для определения НМЦК Заказчиком использован метод сопоставимых рыночных цен (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ст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. 22 Федерального закона от 05.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04.2013 № 44-ФЗ «О контрактной системе в сфере закупок товаров, работ, услуг для обеспечения государственных и муниципальных нужд»). Расчёт НМЦК произведён с учётом методических рекомендаций, утверждённых Приказом Министерства экономического развития РФ от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(далее – Методические рекомендации).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       В соответствии с п. 3.7.1 части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lang w:val="en-US"/>
              </w:rPr>
              <w:t xml:space="preserve">III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 Методических рекомендаций направлены запросы о предоставлении ценовой информации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восьми</w:t>
            </w:r>
            <w:r>
              <w:rPr>
                <w:rFonts w:ascii="PT Astra Serif" w:hAnsi="PT Astra Serif" w:eastAsia="PT Astra Serif" w:cs="PT Astra Serif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поставщикам, обладающих опытом оказания подобных услуг. В результате, получены ответы, содержащие запрашиваемую информацию, от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трех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поставщиков, которым были направлены запросы.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 НМЦК,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рассчитан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а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я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как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с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реднеарифметическ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ое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 на основании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имеющейся информации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 составила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 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37 666,67 </w:t>
            </w: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sz w:val="20"/>
                <w:szCs w:val="20"/>
              </w:rPr>
              <w:t xml:space="preserve">руб.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ind w:left="87" w:right="180" w:firstLine="425"/>
              <w:jc w:val="both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В резуль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тате проведенного анализа всей имеющейся информации принято решение: в целях экономии бюджетных средств 2026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 года объявить начальную (максимальную) цену контракта по минимально предлагаемой цене, то есть</w:t>
            </w: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  <w:t xml:space="preserve"> 35 000,00 руб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.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ind w:left="87" w:right="180" w:firstLine="425"/>
              <w:jc w:val="both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Информация о валюте, используемой для формирования цены контракта и расчётов с поставщиком (подрядчиком, исполнителем): рубль российский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pStyle w:val="833"/>
              <w:ind w:firstLine="108"/>
              <w:jc w:val="both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     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Расчёт представлен ниже.</w:t>
            </w:r>
            <w:r>
              <w:rPr>
                <w:rFonts w:ascii="PT Astra Serif" w:hAnsi="PT Astra Serif" w:cs="PT Astra Serif"/>
                <w:b/>
                <w:sz w:val="20"/>
                <w:szCs w:val="20"/>
              </w:rPr>
            </w:r>
            <w:r>
              <w:rPr>
                <w:rFonts w:ascii="PT Astra Serif" w:hAnsi="PT Astra Serif" w:cs="PT Astra Serif"/>
                <w:b/>
                <w:sz w:val="20"/>
                <w:szCs w:val="20"/>
              </w:rPr>
            </w:r>
          </w:p>
        </w:tc>
      </w:tr>
      <w:tr>
        <w:trPr>
          <w:trHeight w:val="38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33"/>
              <w:ind w:left="57" w:right="-28" w:firstLine="858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</w:rPr>
              <w:t xml:space="preserve">Дата подготовки обоснования:23.07.2026</w:t>
            </w:r>
            <w:r>
              <w:rPr>
                <w:rFonts w:ascii="PT Astra Serif" w:hAnsi="PT Astra Serif" w:cs="PT Astra Serif"/>
                <w:b/>
                <w:sz w:val="20"/>
                <w:szCs w:val="20"/>
              </w:rPr>
            </w:r>
            <w:r>
              <w:rPr>
                <w:rFonts w:ascii="PT Astra Serif" w:hAnsi="PT Astra Serif" w:cs="PT Astra Serif"/>
                <w:b/>
                <w:sz w:val="20"/>
                <w:szCs w:val="20"/>
              </w:rPr>
            </w:r>
          </w:p>
        </w:tc>
      </w:tr>
    </w:tbl>
    <w:p>
      <w:pPr>
        <w:pStyle w:val="833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cs="PT Astra Serif"/>
          <w:sz w:val="20"/>
          <w:szCs w:val="20"/>
        </w:rPr>
      </w:r>
      <w:r>
        <w:rPr>
          <w:rFonts w:ascii="PT Astra Serif" w:hAnsi="PT Astra Serif" w:cs="PT Astra Serif"/>
          <w:sz w:val="20"/>
          <w:szCs w:val="20"/>
        </w:rPr>
      </w:r>
    </w:p>
    <w:p>
      <w:pPr>
        <w:pStyle w:val="833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cs="PT Astra Serif"/>
          <w:sz w:val="20"/>
          <w:szCs w:val="20"/>
        </w:rPr>
      </w:r>
      <w:r>
        <w:rPr>
          <w:rFonts w:ascii="PT Astra Serif" w:hAnsi="PT Astra Serif" w:cs="PT Astra Serif"/>
          <w:sz w:val="20"/>
          <w:szCs w:val="20"/>
        </w:rPr>
      </w:r>
    </w:p>
    <w:tbl>
      <w:tblPr>
        <w:tblW w:w="14336" w:type="dxa"/>
        <w:jc w:val="center"/>
        <w:tblInd w:w="-18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87"/>
        <w:gridCol w:w="1478"/>
        <w:gridCol w:w="1372"/>
        <w:gridCol w:w="528"/>
        <w:gridCol w:w="1161"/>
        <w:gridCol w:w="1161"/>
        <w:gridCol w:w="1161"/>
        <w:gridCol w:w="1161"/>
        <w:gridCol w:w="1161"/>
        <w:gridCol w:w="1161"/>
        <w:gridCol w:w="1548"/>
        <w:gridCol w:w="1357"/>
      </w:tblGrid>
      <w:tr>
        <w:trPr>
          <w:trHeight w:val="88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087" w:type="dxa"/>
            <w:vMerge w:val="restart"/>
            <w:noWrap w:val="false"/>
            <w:textDirection w:val="lrTb"/>
            <w:vAlign w:val="center"/>
          </w:tcPr>
          <w:p>
            <w:pPr>
              <w:pStyle w:val="833"/>
              <w:jc w:val="center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jc w:val="center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ва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ние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pStyle w:val="833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услуги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W w:w="1478" w:type="dxa"/>
            <w:vMerge w:val="restart"/>
            <w:noWrap w:val="false"/>
            <w:textDirection w:val="lrTb"/>
            <w:vAlign w:val="center"/>
          </w:tcPr>
          <w:p>
            <w:pPr>
              <w:pStyle w:val="833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Основные характеристики услуги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W w:w="1900" w:type="dxa"/>
            <w:gridSpan w:val="2"/>
            <w:vMerge w:val="restart"/>
            <w:noWrap w:val="false"/>
            <w:textDirection w:val="lrTb"/>
            <w:vAlign w:val="center"/>
          </w:tcPr>
          <w:p>
            <w:pPr>
              <w:pStyle w:val="833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Кол-во/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pStyle w:val="833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усл. ед.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W w:w="3483" w:type="dxa"/>
            <w:gridSpan w:val="3"/>
            <w:noWrap w:val="false"/>
            <w:textDirection w:val="lrTb"/>
            <w:vAlign w:val="top"/>
          </w:tcPr>
          <w:p>
            <w:pPr>
              <w:pStyle w:val="833"/>
              <w:ind w:right="-107" w:firstLine="18"/>
              <w:jc w:val="center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 источника информации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</w:p>
        </w:tc>
        <w:tc>
          <w:tcPr>
            <w:tcW w:w="116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  <w:t xml:space="preserve">Средняя цена, руб.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</w:r>
          </w:p>
        </w:tc>
        <w:tc>
          <w:tcPr>
            <w:tcW w:w="116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  <w:t xml:space="preserve">Среднее квадратичное отклоне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  <w:t xml:space="preserve">ние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</w:r>
          </w:p>
        </w:tc>
        <w:tc>
          <w:tcPr>
            <w:tcW w:w="1161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  <w:t xml:space="preserve">Коэффе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  <w:t xml:space="preserve">циент вариации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</w:r>
          </w:p>
        </w:tc>
        <w:tc>
          <w:tcPr>
            <w:tcW w:w="1548" w:type="dxa"/>
            <w:vMerge w:val="restart"/>
            <w:noWrap w:val="false"/>
            <w:textDirection w:val="lrTb"/>
            <w:vAlign w:val="center"/>
          </w:tcPr>
          <w:p>
            <w:pPr>
              <w:pStyle w:val="833"/>
              <w:ind w:right="-107" w:firstLine="18"/>
              <w:jc w:val="center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Начальная расчётная (максимальная) цена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(руб.)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</w:p>
        </w:tc>
        <w:tc>
          <w:tcPr>
            <w:tcW w:w="1357" w:type="dxa"/>
            <w:vMerge w:val="restart"/>
            <w:noWrap w:val="false"/>
            <w:textDirection w:val="lrTb"/>
            <w:vAlign w:val="center"/>
          </w:tcPr>
          <w:p>
            <w:pPr>
              <w:pStyle w:val="833"/>
              <w:ind w:right="-107" w:firstLine="18"/>
              <w:jc w:val="center"/>
              <w:rPr>
                <w:rFonts w:ascii="PT Astra Serif" w:hAnsi="PT Astra Serif" w:eastAsia="PT Astra Serif" w:cs="PT Astra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000000"/>
                <w:sz w:val="20"/>
                <w:szCs w:val="20"/>
              </w:rPr>
              <w:t xml:space="preserve">Начальная (максималь</w:t>
            </w:r>
            <w:r>
              <w:rPr>
                <w:rFonts w:ascii="PT Astra Serif" w:hAnsi="PT Astra Serif" w:eastAsia="PT Astra Serif" w:cs="PT Astra Serif"/>
                <w:b/>
                <w:bCs/>
                <w:color w:val="000000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color w:val="000000"/>
                <w:sz w:val="20"/>
                <w:szCs w:val="20"/>
              </w:rPr>
            </w:r>
          </w:p>
          <w:p>
            <w:pPr>
              <w:ind w:right="-107" w:firstLine="18"/>
              <w:jc w:val="center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000000"/>
                <w:sz w:val="20"/>
                <w:szCs w:val="20"/>
              </w:rPr>
              <w:t xml:space="preserve">ная) цена</w:t>
            </w:r>
            <w:r>
              <w:rPr>
                <w:rFonts w:ascii="PT Astra Serif" w:hAnsi="PT Astra Serif" w:eastAsia="PT Astra Serif" w:cs="PT Astra Serif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  <w:t xml:space="preserve">(руб.)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</w:p>
          <w:p>
            <w:pPr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r>
          </w:p>
        </w:tc>
      </w:tr>
      <w:tr>
        <w:trPr>
          <w:trHeight w:val="46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087" w:type="dxa"/>
            <w:vMerge w:val="continue"/>
            <w:noWrap w:val="false"/>
            <w:textDirection w:val="lrTb"/>
            <w:vAlign w:val="center"/>
          </w:tcPr>
          <w:p>
            <w:pPr>
              <w:pStyle w:val="833"/>
              <w:jc w:val="center"/>
            </w:pPr>
          </w:p>
        </w:tc>
        <w:tc>
          <w:tcPr>
            <w:tcW w:w="1478" w:type="dxa"/>
            <w:vMerge w:val="continue"/>
            <w:noWrap w:val="false"/>
            <w:textDirection w:val="lrTb"/>
            <w:vAlign w:val="center"/>
          </w:tcPr>
          <w:p>
            <w:pPr>
              <w:pStyle w:val="8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1900" w:type="dxa"/>
            <w:gridSpan w:val="2"/>
            <w:vMerge w:val="continue"/>
            <w:noWrap w:val="false"/>
            <w:textDirection w:val="lrTb"/>
            <w:vAlign w:val="center"/>
          </w:tcPr>
          <w:p>
            <w:pPr>
              <w:pStyle w:val="833"/>
              <w:jc w:val="center"/>
            </w:pPr>
          </w:p>
        </w:tc>
        <w:tc>
          <w:tcPr>
            <w:tcW w:w="1161" w:type="dxa"/>
            <w:noWrap w:val="false"/>
            <w:textDirection w:val="lrTb"/>
            <w:vAlign w:val="center"/>
          </w:tcPr>
          <w:p>
            <w:pPr>
              <w:pStyle w:val="833"/>
              <w:jc w:val="center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Коммерческое предложе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pStyle w:val="833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 1, руб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W w:w="1161" w:type="dxa"/>
            <w:noWrap w:val="false"/>
            <w:textDirection w:val="lrTb"/>
            <w:vAlign w:val="top"/>
          </w:tcPr>
          <w:p>
            <w:pPr>
              <w:pStyle w:val="833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pStyle w:val="833"/>
              <w:jc w:val="center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Коммерческое предложе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pStyle w:val="833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 2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руб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W w:w="1161" w:type="dxa"/>
            <w:noWrap w:val="false"/>
            <w:textDirection w:val="lrTb"/>
            <w:vAlign w:val="top"/>
          </w:tcPr>
          <w:p>
            <w:pPr>
              <w:pStyle w:val="833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pStyle w:val="833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Коммерческое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pStyle w:val="833"/>
              <w:jc w:val="center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редложе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pStyle w:val="833"/>
              <w:jc w:val="center"/>
              <w:rPr>
                <w:rFonts w:ascii="PT Astra Serif" w:hAnsi="PT Astra Serif" w:cs="PT Astra Serif"/>
                <w:b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 руб</w:t>
            </w:r>
            <w:r>
              <w:rPr>
                <w:rFonts w:ascii="PT Astra Serif" w:hAnsi="PT Astra Serif" w:cs="PT Astra Serif"/>
                <w:b/>
                <w:sz w:val="20"/>
                <w:szCs w:val="20"/>
              </w:rPr>
            </w:r>
            <w:r>
              <w:rPr>
                <w:rFonts w:ascii="PT Astra Serif" w:hAnsi="PT Astra Serif" w:cs="PT Astra Serif"/>
                <w:b/>
                <w:sz w:val="20"/>
                <w:szCs w:val="20"/>
              </w:rPr>
            </w:r>
          </w:p>
        </w:tc>
        <w:tc>
          <w:tcPr>
            <w:tcW w:w="1161" w:type="dxa"/>
            <w:vMerge w:val="continue"/>
            <w:noWrap w:val="false"/>
            <w:textDirection w:val="lrTb"/>
            <w:vAlign w:val="center"/>
          </w:tcPr>
          <w:p/>
        </w:tc>
        <w:tc>
          <w:tcPr>
            <w:tcW w:w="1161" w:type="dxa"/>
            <w:vMerge w:val="continue"/>
            <w:noWrap w:val="false"/>
            <w:textDirection w:val="lrTb"/>
            <w:vAlign w:val="center"/>
          </w:tcPr>
          <w:p/>
        </w:tc>
        <w:tc>
          <w:tcPr>
            <w:tcW w:w="1161" w:type="dxa"/>
            <w:vMerge w:val="continue"/>
            <w:noWrap w:val="false"/>
            <w:textDirection w:val="lrTb"/>
            <w:vAlign w:val="center"/>
          </w:tcPr>
          <w:p/>
        </w:tc>
        <w:tc>
          <w:tcPr>
            <w:tcW w:w="1548" w:type="dxa"/>
            <w:vMerge w:val="continue"/>
            <w:noWrap w:val="false"/>
            <w:textDirection w:val="lrTb"/>
            <w:vAlign w:val="center"/>
          </w:tcPr>
          <w:p>
            <w:pPr>
              <w:pStyle w:val="83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1357" w:type="dxa"/>
            <w:vMerge w:val="continue"/>
            <w:noWrap w:val="false"/>
            <w:textDirection w:val="lrTb"/>
            <w:vAlign w:val="center"/>
          </w:tcPr>
          <w:p/>
        </w:tc>
      </w:tr>
      <w:tr>
        <w:trPr>
          <w:trHeight w:val="46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087" w:type="dxa"/>
            <w:vMerge w:val="continue"/>
            <w:noWrap w:val="false"/>
            <w:textDirection w:val="lrTb"/>
            <w:vAlign w:val="center"/>
          </w:tcPr>
          <w:p>
            <w:pPr>
              <w:pStyle w:val="833"/>
              <w:jc w:val="center"/>
            </w:pPr>
          </w:p>
        </w:tc>
        <w:tc>
          <w:tcPr>
            <w:tcW w:w="1478" w:type="dxa"/>
            <w:vMerge w:val="continue"/>
            <w:noWrap w:val="false"/>
            <w:textDirection w:val="lrTb"/>
            <w:vAlign w:val="center"/>
          </w:tcPr>
          <w:p>
            <w:pPr>
              <w:pStyle w:val="8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1900" w:type="dxa"/>
            <w:gridSpan w:val="2"/>
            <w:vMerge w:val="continue"/>
            <w:noWrap w:val="false"/>
            <w:textDirection w:val="lrTb"/>
            <w:vAlign w:val="center"/>
          </w:tcPr>
          <w:p>
            <w:pPr>
              <w:pStyle w:val="833"/>
              <w:jc w:val="center"/>
            </w:pPr>
          </w:p>
        </w:tc>
        <w:tc>
          <w:tcPr>
            <w:tcW w:w="1161" w:type="dxa"/>
            <w:noWrap w:val="false"/>
            <w:textDirection w:val="lrTb"/>
            <w:vAlign w:val="top"/>
          </w:tcPr>
          <w:p>
            <w:pPr>
              <w:pStyle w:val="833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pStyle w:val="833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стоимость, руб.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W w:w="1161" w:type="dxa"/>
            <w:noWrap w:val="false"/>
            <w:textDirection w:val="lrTb"/>
            <w:vAlign w:val="top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стоимость, руб.</w:t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</w:p>
        </w:tc>
        <w:tc>
          <w:tcPr>
            <w:tcW w:w="1161" w:type="dxa"/>
            <w:noWrap w:val="false"/>
            <w:textDirection w:val="lrTb"/>
            <w:vAlign w:val="top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стоимость, руб.</w:t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</w:p>
        </w:tc>
        <w:tc>
          <w:tcPr>
            <w:tcW w:w="1161" w:type="dxa"/>
            <w:vMerge w:val="continue"/>
            <w:noWrap w:val="false"/>
            <w:textDirection w:val="lrTb"/>
            <w:vAlign w:val="top"/>
          </w:tcPr>
          <w:p/>
        </w:tc>
        <w:tc>
          <w:tcPr>
            <w:tcW w:w="1161" w:type="dxa"/>
            <w:vMerge w:val="continue"/>
            <w:noWrap w:val="false"/>
            <w:textDirection w:val="lrTb"/>
            <w:vAlign w:val="top"/>
          </w:tcPr>
          <w:p/>
        </w:tc>
        <w:tc>
          <w:tcPr>
            <w:tcW w:w="1161" w:type="dxa"/>
            <w:vMerge w:val="continue"/>
            <w:noWrap w:val="false"/>
            <w:textDirection w:val="lrTb"/>
            <w:vAlign w:val="top"/>
          </w:tcPr>
          <w:p/>
        </w:tc>
        <w:tc>
          <w:tcPr>
            <w:tcW w:w="1548" w:type="dxa"/>
            <w:noWrap w:val="false"/>
            <w:textDirection w:val="lrTb"/>
            <w:vAlign w:val="top"/>
          </w:tcPr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center"/>
              <w:rPr>
                <w:rFonts w:ascii="PT Astra Serif" w:hAnsi="PT Astra Serif" w:cs="PT Astra Serif"/>
                <w:sz w:val="20"/>
                <w:szCs w:val="20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стоимость, руб.</w:t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sz w:val="20"/>
                <w:szCs w:val="20"/>
                <w:highlight w:val="none"/>
              </w:rPr>
            </w:r>
          </w:p>
        </w:tc>
        <w:tc>
          <w:tcPr>
            <w:tcW w:w="1357" w:type="dxa"/>
            <w:noWrap w:val="false"/>
            <w:textDirection w:val="lrTb"/>
            <w:vAlign w:val="top"/>
          </w:tcPr>
          <w:p>
            <w:pPr>
              <w:jc w:val="center"/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r>
          </w:p>
          <w:p>
            <w:pPr>
              <w:jc w:val="center"/>
              <w:rPr>
                <w:rFonts w:ascii="PT Astra Serif" w:hAnsi="PT Astra Serif" w:cs="PT Astra Serif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  <w:t xml:space="preserve">стоимость, руб.</w:t>
            </w:r>
            <w:r>
              <w:rPr>
                <w:rFonts w:ascii="PT Astra Serif" w:hAnsi="PT Astra Serif" w:cs="PT Astra Serif"/>
                <w:b/>
                <w:bCs/>
                <w:sz w:val="20"/>
                <w:szCs w:val="20"/>
                <w:highlight w:val="none"/>
              </w:rPr>
            </w:r>
            <w:r>
              <w:rPr>
                <w:rFonts w:ascii="PT Astra Serif" w:hAnsi="PT Astra Serif" w:cs="PT Astra Serif"/>
                <w:b/>
                <w:bCs/>
                <w:sz w:val="20"/>
                <w:szCs w:val="20"/>
                <w:highlight w:val="none"/>
              </w:rPr>
            </w:r>
          </w:p>
        </w:tc>
      </w:tr>
      <w:tr>
        <w:trPr>
          <w:trHeight w:val="1275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087" w:type="dxa"/>
            <w:vMerge w:val="restart"/>
            <w:noWrap w:val="false"/>
            <w:textDirection w:val="lrTb"/>
            <w:vAlign w:val="center"/>
          </w:tcPr>
          <w:p>
            <w:pPr>
              <w:rPr>
                <w:rFonts w:ascii="PT Astra Serif" w:hAnsi="PT Astra Serif" w:eastAsia="PT Astra Serif" w:cs="PT Astra Serif"/>
                <w:b w:val="0"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color w:val="000000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color w:val="000000"/>
                <w:sz w:val="20"/>
                <w:szCs w:val="20"/>
              </w:rPr>
            </w:r>
          </w:p>
          <w:p>
            <w:pPr>
              <w:rPr>
                <w:rFonts w:ascii="PT Astra Serif" w:hAnsi="PT Astra Serif" w:eastAsia="PT Astra Serif" w:cs="PT Astra Serif"/>
                <w:b w:val="0"/>
                <w:bCs w:val="0"/>
                <w:i w:val="0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color w:val="000000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color w:val="000000"/>
                <w:sz w:val="20"/>
                <w:szCs w:val="20"/>
                <w:highlight w:val="none"/>
              </w:rPr>
            </w:r>
          </w:p>
          <w:p>
            <w:pPr>
              <w:rPr>
                <w:rFonts w:ascii="PT Astra Serif" w:hAnsi="PT Astra Serif" w:eastAsia="PT Astra Serif" w:cs="PT Astra Serif"/>
                <w:b w:val="0"/>
                <w:bCs w:val="0"/>
                <w:i w:val="0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color w:val="000000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color w:val="000000"/>
                <w:sz w:val="20"/>
                <w:szCs w:val="20"/>
                <w:highlight w:val="none"/>
              </w:rPr>
            </w:r>
          </w:p>
          <w:p>
            <w:pPr>
              <w:rPr>
                <w:rFonts w:ascii="PT Astra Serif" w:hAnsi="PT Astra Serif" w:eastAsia="PT Astra Serif" w:cs="PT Astra Serif"/>
                <w:b w:val="0"/>
                <w:bCs w:val="0"/>
                <w:i w:val="0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color w:val="000000"/>
                <w:sz w:val="20"/>
                <w:szCs w:val="20"/>
              </w:rPr>
              <w:t xml:space="preserve">Оказание услуг по техническому обслужи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color w:val="000000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color w:val="000000"/>
                <w:sz w:val="20"/>
                <w:szCs w:val="20"/>
              </w:rPr>
            </w:r>
          </w:p>
          <w:p>
            <w:pPr>
              <w:rPr>
                <w:rFonts w:ascii="PT Astra Serif" w:hAnsi="PT Astra Serif" w:eastAsia="PT Astra Serif" w:cs="PT Astra Serif"/>
                <w:b w:val="0"/>
                <w:bCs w:val="0"/>
                <w:i w:val="0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color w:val="000000"/>
                <w:sz w:val="20"/>
                <w:szCs w:val="20"/>
              </w:rPr>
              <w:t xml:space="preserve">ва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color w:val="000000"/>
                <w:sz w:val="20"/>
                <w:szCs w:val="20"/>
              </w:rPr>
              <w:t xml:space="preserve">нию и ремонту транспортно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iCs w:val="0"/>
                <w:color w:val="000000"/>
                <w:sz w:val="20"/>
                <w:szCs w:val="20"/>
              </w:rPr>
              <w:t xml:space="preserve">го средства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color w:val="000000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color w:val="000000"/>
                <w:sz w:val="20"/>
                <w:szCs w:val="20"/>
                <w:highlight w:val="none"/>
              </w:rPr>
            </w:r>
          </w:p>
          <w:p>
            <w:pPr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W w:w="1478" w:type="dxa"/>
            <w:vMerge w:val="restart"/>
            <w:noWrap w:val="false"/>
            <w:textDirection w:val="lrTb"/>
            <w:vAlign w:val="center"/>
          </w:tcPr>
          <w:p>
            <w:pPr>
              <w:spacing w:line="256" w:lineRule="auto"/>
              <w:jc w:val="center"/>
              <w:rPr>
                <w:rFonts w:ascii="PT Astra Serif" w:hAnsi="PT Astra Serif" w:cs="PT Astra Serif"/>
                <w:color w:val="202124"/>
                <w:sz w:val="24"/>
                <w:szCs w:val="24"/>
                <w14:ligatures w14:val="none"/>
              </w:rPr>
            </w:pPr>
            <w:r>
              <w:rPr>
                <w:rFonts w:ascii="PT Astra Serif" w:hAnsi="PT Astra Serif" w:eastAsia="PT Astra Serif" w:cs="PT Astra Serif"/>
                <w:color w:val="202124"/>
                <w:sz w:val="20"/>
                <w:szCs w:val="20"/>
                <w:highlight w:val="none"/>
                <w:shd w:val="clear" w:color="auto" w:fill="ffffff"/>
                <w:lang w:val="en-US" w:eastAsia="ru-RU"/>
              </w:rPr>
            </w:r>
            <w:r>
              <w:rPr>
                <w:rFonts w:ascii="PT Astra Serif" w:hAnsi="PT Astra Serif" w:cs="PT Astra Serif"/>
                <w:color w:val="202124"/>
                <w:sz w:val="24"/>
                <w:szCs w:val="24"/>
                <w14:ligatures w14:val="none"/>
              </w:rPr>
            </w:r>
            <w:r>
              <w:rPr>
                <w:rFonts w:ascii="PT Astra Serif" w:hAnsi="PT Astra Serif" w:cs="PT Astra Serif"/>
                <w:color w:val="202124"/>
                <w:sz w:val="24"/>
                <w:szCs w:val="24"/>
                <w14:ligatures w14:val="none"/>
              </w:rPr>
            </w:r>
          </w:p>
          <w:p>
            <w:pPr>
              <w:spacing w:line="256" w:lineRule="auto"/>
              <w:jc w:val="center"/>
              <w:rPr>
                <w:rFonts w:ascii="PT Astra Serif" w:hAnsi="PT Astra Serif" w:eastAsia="PT Astra Serif" w:cs="PT Astra Serif"/>
                <w:color w:val="202124"/>
                <w:sz w:val="20"/>
                <w:szCs w:val="20"/>
                <w:highlight w:val="none"/>
                <w:lang w:val="en-US" w:eastAsia="ru-RU"/>
                <w14:ligatures w14:val="none"/>
              </w:rPr>
            </w:pPr>
            <w:r>
              <w:rPr>
                <w:rFonts w:ascii="PT Astra Serif" w:hAnsi="PT Astra Serif" w:eastAsia="PT Astra Serif" w:cs="PT Astra Serif"/>
                <w:color w:val="202124"/>
                <w:sz w:val="20"/>
                <w:szCs w:val="20"/>
                <w:highlight w:val="none"/>
                <w:shd w:val="clear" w:color="auto" w:fill="ffffff"/>
                <w:lang w:val="en-US" w:eastAsia="ru-RU"/>
              </w:rPr>
            </w:r>
            <w:r>
              <w:rPr>
                <w:rFonts w:ascii="PT Astra Serif" w:hAnsi="PT Astra Serif" w:eastAsia="PT Astra Serif" w:cs="PT Astra Serif"/>
                <w:color w:val="202124"/>
                <w:sz w:val="20"/>
                <w:szCs w:val="20"/>
                <w:highlight w:val="none"/>
                <w:lang w:val="en-US" w:eastAsia="ru-RU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color w:val="202124"/>
                <w:sz w:val="20"/>
                <w:szCs w:val="20"/>
                <w:highlight w:val="none"/>
                <w:lang w:val="en-US" w:eastAsia="ru-RU"/>
                <w14:ligatures w14:val="none"/>
              </w:rPr>
            </w:r>
          </w:p>
          <w:p>
            <w:pPr>
              <w:spacing w:line="256" w:lineRule="auto"/>
              <w:jc w:val="center"/>
              <w:rPr>
                <w:rFonts w:ascii="PT Astra Serif" w:hAnsi="PT Astra Serif" w:eastAsia="PT Astra Serif" w:cs="PT Astra Serif"/>
                <w:color w:val="202124"/>
                <w:sz w:val="20"/>
                <w:szCs w:val="20"/>
                <w:highlight w:val="none"/>
                <w:lang w:val="en-US" w:eastAsia="ru-RU"/>
                <w14:ligatures w14:val="none"/>
              </w:rPr>
            </w:pPr>
            <w:r>
              <w:rPr>
                <w:rFonts w:ascii="PT Astra Serif" w:hAnsi="PT Astra Serif" w:eastAsia="PT Astra Serif" w:cs="PT Astra Serif"/>
                <w:color w:val="202124"/>
                <w:sz w:val="20"/>
                <w:szCs w:val="20"/>
                <w:highlight w:val="none"/>
                <w:shd w:val="clear" w:color="auto" w:fill="ffffff"/>
                <w:lang w:val="en-US" w:eastAsia="ru-RU"/>
              </w:rPr>
            </w:r>
            <w:r>
              <w:rPr>
                <w:rFonts w:ascii="PT Astra Serif" w:hAnsi="PT Astra Serif" w:eastAsia="PT Astra Serif" w:cs="PT Astra Serif"/>
                <w:color w:val="202124"/>
                <w:sz w:val="20"/>
                <w:szCs w:val="20"/>
                <w:highlight w:val="none"/>
                <w:lang w:val="en-US" w:eastAsia="ru-RU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color w:val="202124"/>
                <w:sz w:val="20"/>
                <w:szCs w:val="20"/>
                <w:highlight w:val="none"/>
                <w:lang w:val="en-US" w:eastAsia="ru-RU"/>
                <w14:ligatures w14:val="none"/>
              </w:rPr>
            </w:r>
          </w:p>
          <w:p>
            <w:pPr>
              <w:spacing w:line="256" w:lineRule="auto"/>
              <w:jc w:val="center"/>
              <w:rPr>
                <w:rFonts w:ascii="PT Astra Serif" w:hAnsi="PT Astra Serif" w:eastAsia="PT Astra Serif" w:cs="PT Astra Serif"/>
                <w:color w:val="202124"/>
                <w:sz w:val="20"/>
                <w:szCs w:val="20"/>
                <w:highlight w:val="none"/>
                <w:lang w:val="en-US" w:eastAsia="ru-RU"/>
                <w14:ligatures w14:val="none"/>
              </w:rPr>
            </w:pPr>
            <w:r>
              <w:rPr>
                <w:rFonts w:ascii="PT Astra Serif" w:hAnsi="PT Astra Serif" w:eastAsia="PT Astra Serif" w:cs="PT Astra Serif"/>
                <w:color w:val="202124"/>
                <w:sz w:val="20"/>
                <w:szCs w:val="20"/>
                <w:highlight w:val="none"/>
                <w:shd w:val="clear" w:color="auto" w:fill="ffffff"/>
                <w:lang w:val="en-US" w:eastAsia="ru-RU"/>
              </w:rPr>
              <w:t xml:space="preserve">Замена генератора</w:t>
            </w:r>
            <w:r>
              <w:rPr>
                <w:rFonts w:ascii="PT Astra Serif" w:hAnsi="PT Astra Serif" w:eastAsia="PT Astra Serif" w:cs="PT Astra Serif"/>
                <w:color w:val="202124"/>
                <w:sz w:val="20"/>
                <w:szCs w:val="20"/>
                <w:highlight w:val="none"/>
                <w:lang w:val="en-US" w:eastAsia="ru-RU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color w:val="202124"/>
                <w:sz w:val="20"/>
                <w:szCs w:val="20"/>
                <w:highlight w:val="none"/>
                <w:lang w:val="en-US" w:eastAsia="ru-RU"/>
                <w14:ligatures w14:val="none"/>
              </w:rPr>
            </w:r>
          </w:p>
          <w:p>
            <w:pPr>
              <w:spacing w:line="256" w:lineRule="auto"/>
              <w:jc w:val="center"/>
              <w:rPr>
                <w:rFonts w:ascii="PT Astra Serif" w:hAnsi="PT Astra Serif" w:eastAsia="PT Astra Serif" w:cs="PT Astra Serif"/>
                <w:color w:val="202124"/>
                <w:sz w:val="20"/>
                <w:szCs w:val="20"/>
                <w:highlight w:val="none"/>
                <w:lang w:val="en-US" w:eastAsia="ru-RU"/>
                <w14:ligatures w14:val="none"/>
              </w:rPr>
            </w:pPr>
            <w:r>
              <w:rPr>
                <w:rFonts w:ascii="PT Astra Serif" w:hAnsi="PT Astra Serif" w:eastAsia="PT Astra Serif" w:cs="PT Astra Serif"/>
                <w:color w:val="202124"/>
                <w:sz w:val="20"/>
                <w:szCs w:val="20"/>
                <w:highlight w:val="none"/>
                <w:shd w:val="clear" w:color="auto" w:fill="ffffff"/>
                <w:lang w:val="en-US" w:eastAsia="ru-RU"/>
              </w:rPr>
            </w:r>
            <w:r>
              <w:rPr>
                <w:rFonts w:ascii="PT Astra Serif" w:hAnsi="PT Astra Serif" w:eastAsia="PT Astra Serif" w:cs="PT Astra Serif"/>
                <w:color w:val="202124"/>
                <w:sz w:val="20"/>
                <w:szCs w:val="20"/>
                <w:highlight w:val="none"/>
                <w:lang w:val="en-US" w:eastAsia="ru-RU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color w:val="202124"/>
                <w:sz w:val="20"/>
                <w:szCs w:val="20"/>
                <w:highlight w:val="none"/>
                <w:lang w:val="en-US" w:eastAsia="ru-RU"/>
                <w14:ligatures w14:val="none"/>
              </w:rPr>
            </w:r>
          </w:p>
          <w:p>
            <w:pPr>
              <w:spacing w:line="256" w:lineRule="auto"/>
              <w:jc w:val="center"/>
              <w:rPr>
                <w:rFonts w:ascii="PT Astra Serif" w:hAnsi="PT Astra Serif" w:eastAsia="PT Astra Serif" w:cs="PT Astra Serif"/>
                <w:color w:val="202124"/>
                <w:sz w:val="20"/>
                <w:szCs w:val="20"/>
                <w:highlight w:val="none"/>
                <w:shd w:val="clear" w:color="auto" w:fill="ffffff"/>
                <w:lang w:val="en-US" w:eastAsia="ru-RU"/>
                <w14:ligatures w14:val="none"/>
              </w:rPr>
            </w:pPr>
            <w:r>
              <w:rPr>
                <w:rFonts w:ascii="PT Astra Serif" w:hAnsi="PT Astra Serif" w:eastAsia="PT Astra Serif" w:cs="PT Astra Serif"/>
                <w:color w:val="202124"/>
                <w:sz w:val="20"/>
                <w:szCs w:val="20"/>
                <w:shd w:val="clear" w:color="auto" w:fill="ffffff"/>
                <w:lang w:val="en-US" w:eastAsia="ru-RU"/>
              </w:rPr>
              <w:t xml:space="preserve">Toyota Camry </w:t>
            </w:r>
            <w:r>
              <w:rPr>
                <w:rFonts w:ascii="PT Astra Serif" w:hAnsi="PT Astra Serif" w:eastAsia="PT Astra Serif" w:cs="PT Astra Serif"/>
                <w:color w:val="202124"/>
                <w:sz w:val="20"/>
                <w:szCs w:val="20"/>
                <w:shd w:val="clear" w:color="auto" w:fill="ffffff"/>
                <w:lang w:eastAsia="ru-RU"/>
              </w:rPr>
              <w:t xml:space="preserve">Р</w:t>
            </w:r>
            <w:r>
              <w:rPr>
                <w:rFonts w:ascii="PT Astra Serif" w:hAnsi="PT Astra Serif" w:eastAsia="PT Astra Serif" w:cs="PT Astra Serif"/>
                <w:color w:val="202124"/>
                <w:sz w:val="20"/>
                <w:szCs w:val="20"/>
                <w:shd w:val="clear" w:color="auto" w:fill="ffffff"/>
                <w:lang w:val="en-US" w:eastAsia="ru-RU"/>
              </w:rPr>
              <w:t xml:space="preserve">044</w:t>
            </w:r>
            <w:r>
              <w:rPr>
                <w:rFonts w:ascii="PT Astra Serif" w:hAnsi="PT Astra Serif" w:eastAsia="PT Astra Serif" w:cs="PT Astra Serif"/>
                <w:color w:val="202124"/>
                <w:sz w:val="20"/>
                <w:szCs w:val="20"/>
                <w:shd w:val="clear" w:color="auto" w:fill="ffffff"/>
                <w:lang w:eastAsia="ru-RU"/>
              </w:rPr>
              <w:t xml:space="preserve">РР</w:t>
            </w:r>
            <w:r>
              <w:rPr>
                <w:rFonts w:ascii="PT Astra Serif" w:hAnsi="PT Astra Serif" w:eastAsia="PT Astra Serif" w:cs="PT Astra Serif"/>
                <w:color w:val="202124"/>
                <w:sz w:val="20"/>
                <w:szCs w:val="20"/>
                <w:shd w:val="clear" w:color="auto" w:fill="ffffff"/>
                <w:lang w:val="en-US" w:eastAsia="ru-RU"/>
              </w:rPr>
              <w:t xml:space="preserve">53, </w:t>
            </w:r>
            <w:r>
              <w:rPr>
                <w:rFonts w:ascii="PT Astra Serif" w:hAnsi="PT Astra Serif" w:eastAsia="PT Astra Serif" w:cs="PT Astra Serif"/>
                <w:color w:val="202124"/>
                <w:sz w:val="20"/>
                <w:szCs w:val="20"/>
                <w:highlight w:val="none"/>
                <w:shd w:val="clear" w:color="auto" w:fill="ffffff"/>
                <w:lang w:val="en-US" w:eastAsia="ru-RU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color w:val="202124"/>
                <w:sz w:val="20"/>
                <w:szCs w:val="20"/>
                <w:highlight w:val="none"/>
                <w:shd w:val="clear" w:color="auto" w:fill="ffffff"/>
                <w:lang w:val="en-US" w:eastAsia="ru-RU"/>
                <w14:ligatures w14:val="none"/>
              </w:rPr>
            </w:r>
          </w:p>
          <w:p>
            <w:pPr>
              <w:spacing w:line="256" w:lineRule="auto"/>
              <w:jc w:val="center"/>
              <w:rPr>
                <w:rFonts w:ascii="PT Astra Serif" w:hAnsi="PT Astra Serif" w:cs="PT Astra Serif"/>
                <w:color w:val="202124"/>
                <w:sz w:val="20"/>
                <w:szCs w:val="20"/>
                <w14:ligatures w14:val="none"/>
              </w:rPr>
            </w:pPr>
            <w:r>
              <w:rPr>
                <w:rFonts w:ascii="PT Astra Serif" w:hAnsi="PT Astra Serif" w:eastAsia="PT Astra Serif" w:cs="PT Astra Serif"/>
                <w:color w:val="202124"/>
                <w:sz w:val="20"/>
                <w:szCs w:val="20"/>
                <w:shd w:val="clear" w:color="auto" w:fill="ffffff"/>
                <w:lang w:val="en-US" w:eastAsia="ru-RU"/>
              </w:rPr>
              <w:t xml:space="preserve">VIN XW7BE40K50S010717</w:t>
            </w:r>
            <w:r>
              <w:rPr>
                <w:rFonts w:ascii="PT Astra Serif" w:hAnsi="PT Astra Serif" w:cs="PT Astra Serif"/>
                <w:color w:val="202124"/>
                <w:sz w:val="20"/>
                <w:szCs w:val="20"/>
                <w14:ligatures w14:val="none"/>
              </w:rPr>
            </w:r>
            <w:r>
              <w:rPr>
                <w:rFonts w:ascii="PT Astra Serif" w:hAnsi="PT Astra Serif" w:cs="PT Astra Serif"/>
                <w:color w:val="202124"/>
                <w:sz w:val="20"/>
                <w:szCs w:val="20"/>
                <w14:ligatures w14:val="none"/>
              </w:rPr>
            </w:r>
          </w:p>
          <w:p>
            <w:pPr>
              <w:spacing w:line="256" w:lineRule="auto"/>
              <w:jc w:val="center"/>
              <w:rPr>
                <w:rFonts w:ascii="PT Astra Serif" w:hAnsi="PT Astra Serif" w:cs="PT Astra Serif"/>
                <w:color w:val="202124"/>
                <w:sz w:val="20"/>
                <w:szCs w:val="20"/>
                <w:highlight w:val="none"/>
                <w14:ligatures w14:val="none"/>
              </w:rPr>
            </w:pPr>
            <w:r>
              <w:rPr>
                <w:rFonts w:ascii="PT Astra Serif" w:hAnsi="PT Astra Serif" w:eastAsia="PT Astra Serif" w:cs="PT Astra Serif"/>
                <w:color w:val="202124"/>
                <w:sz w:val="20"/>
                <w:szCs w:val="20"/>
                <w:highlight w:val="none"/>
                <w:shd w:val="clear" w:color="auto" w:fill="ffffff"/>
                <w:lang w:val="en-US" w:eastAsia="ru-RU"/>
              </w:rPr>
            </w:r>
            <w:r>
              <w:rPr>
                <w:rFonts w:ascii="PT Astra Serif" w:hAnsi="PT Astra Serif" w:cs="PT Astra Serif"/>
                <w:color w:val="202124"/>
                <w:sz w:val="20"/>
                <w:szCs w:val="20"/>
                <w:highlight w:val="none"/>
                <w14:ligatures w14:val="none"/>
              </w:rPr>
            </w:r>
            <w:r>
              <w:rPr>
                <w:rFonts w:ascii="PT Astra Serif" w:hAnsi="PT Astra Serif" w:cs="PT Astra Serif"/>
                <w:color w:val="202124"/>
                <w:sz w:val="20"/>
                <w:szCs w:val="20"/>
                <w:highlight w:val="none"/>
                <w14:ligatures w14:val="none"/>
              </w:rPr>
            </w:r>
          </w:p>
          <w:p>
            <w:pPr>
              <w:pStyle w:val="833"/>
              <w:jc w:val="both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</w:p>
          <w:p>
            <w:pPr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W w:w="1900" w:type="dxa"/>
            <w:gridSpan w:val="2"/>
            <w:vMerge w:val="restart"/>
            <w:noWrap w:val="false"/>
            <w:textDirection w:val="lrTb"/>
            <w:vAlign w:val="center"/>
          </w:tcPr>
          <w:p/>
          <w:p/>
          <w:p/>
          <w:p/>
          <w:p/>
          <w:p/>
          <w:p/>
          <w:p>
            <w:pPr>
              <w:jc w:val="center"/>
            </w:pPr>
            <w:r>
              <w:t xml:space="preserve">1</w:t>
            </w:r>
          </w:p>
        </w:tc>
        <w:tc>
          <w:tcPr>
            <w:tcW w:w="1161" w:type="dxa"/>
            <w:vMerge w:val="restart"/>
            <w:noWrap w:val="false"/>
            <w:textDirection w:val="lrTb"/>
            <w:vAlign w:val="center"/>
          </w:tcPr>
          <w:p/>
          <w:p/>
          <w:p/>
          <w:p/>
          <w:p/>
          <w:p/>
          <w:p/>
          <w:p>
            <w:r>
              <w:t xml:space="preserve">35 000,00</w:t>
            </w:r>
          </w:p>
        </w:tc>
        <w:tc>
          <w:tcPr>
            <w:tcW w:w="1161" w:type="dxa"/>
            <w:vMerge w:val="restart"/>
            <w:noWrap w:val="false"/>
            <w:textDirection w:val="lrTb"/>
            <w:vAlign w:val="center"/>
          </w:tcPr>
          <w:p/>
          <w:p/>
          <w:p/>
          <w:p/>
          <w:p/>
          <w:p/>
          <w:p/>
          <w:p>
            <w:r>
              <w:t xml:space="preserve">38 000,00</w:t>
            </w:r>
          </w:p>
        </w:tc>
        <w:tc>
          <w:tcPr>
            <w:tcW w:w="1161" w:type="dxa"/>
            <w:vMerge w:val="restart"/>
            <w:noWrap w:val="false"/>
            <w:textDirection w:val="lrTb"/>
            <w:vAlign w:val="center"/>
          </w:tcPr>
          <w:p/>
          <w:p/>
          <w:p/>
          <w:p/>
          <w:p/>
          <w:p/>
          <w:p/>
          <w:p>
            <w:r>
              <w:t xml:space="preserve">40 000,00</w:t>
            </w:r>
          </w:p>
        </w:tc>
        <w:tc>
          <w:tcPr>
            <w:tcW w:w="1161" w:type="dxa"/>
            <w:vMerge w:val="restart"/>
            <w:noWrap w:val="false"/>
            <w:textDirection w:val="lrTb"/>
            <w:vAlign w:val="center"/>
          </w:tcPr>
          <w:p/>
          <w:p/>
          <w:p/>
          <w:p/>
          <w:p/>
          <w:p/>
          <w:p/>
          <w:p>
            <w:r>
              <w:t xml:space="preserve">37 666,67</w:t>
            </w:r>
          </w:p>
        </w:tc>
        <w:tc>
          <w:tcPr>
            <w:tcW w:w="1161" w:type="dxa"/>
            <w:vMerge w:val="restart"/>
            <w:noWrap w:val="false"/>
            <w:textDirection w:val="lrTb"/>
            <w:vAlign w:val="center"/>
          </w:tcPr>
          <w:p/>
          <w:p/>
          <w:p/>
          <w:p/>
          <w:p/>
          <w:p/>
          <w:p/>
          <w:p>
            <w:r>
              <w:t xml:space="preserve">2516,61</w:t>
            </w:r>
          </w:p>
        </w:tc>
        <w:tc>
          <w:tcPr>
            <w:tcW w:w="1161" w:type="dxa"/>
            <w:vMerge w:val="restart"/>
            <w:noWrap w:val="false"/>
            <w:textDirection w:val="lrTb"/>
            <w:vAlign w:val="center"/>
          </w:tcPr>
          <w:p/>
          <w:p/>
          <w:p/>
          <w:p/>
          <w:p/>
          <w:p/>
          <w:p/>
          <w:p>
            <w:r>
              <w:t xml:space="preserve">6,68</w:t>
            </w:r>
          </w:p>
        </w:tc>
        <w:tc>
          <w:tcPr>
            <w:tcW w:w="1548" w:type="dxa"/>
            <w:vMerge w:val="restart"/>
            <w:noWrap w:val="false"/>
            <w:textDirection w:val="lrTb"/>
            <w:vAlign w:val="center"/>
          </w:tcPr>
          <w:p/>
          <w:p/>
          <w:p/>
          <w:p/>
          <w:p/>
          <w:p/>
          <w:p/>
          <w:p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37 666,67</w:t>
            </w:r>
          </w:p>
        </w:tc>
        <w:tc>
          <w:tcPr>
            <w:tcW w:w="1357" w:type="dxa"/>
            <w:vMerge w:val="restart"/>
            <w:noWrap w:val="false"/>
            <w:textDirection w:val="lrTb"/>
            <w:vAlign w:val="center"/>
          </w:tcPr>
          <w:p/>
          <w:p/>
          <w:p/>
          <w:p/>
          <w:p/>
          <w:p/>
          <w:p/>
          <w:p>
            <w:r>
              <w:rPr>
                <w:b/>
                <w:bCs/>
              </w:rPr>
              <w:t xml:space="preserve">35 000,00</w:t>
            </w:r>
          </w:p>
        </w:tc>
      </w:tr>
    </w:tbl>
    <w:p>
      <w:pPr>
        <w:pStyle w:val="833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W w:w="0" w:type="auto"/>
        <w:tblInd w:w="694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4649"/>
      </w:tblGrid>
      <w:tr>
        <w:trPr/>
        <w:tblPrEx/>
        <w:tc>
          <w:tcPr>
            <w:tcW w:w="4649" w:type="dxa"/>
            <w:tcBorders>
              <w:bottom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833"/>
              <w:spacing w:after="120"/>
              <w:ind w:hanging="28"/>
            </w:pPr>
            <w:r>
              <w:rPr>
                <w:b/>
              </w:rPr>
              <w:t xml:space="preserve">Работник контрактной службы</w:t>
            </w:r>
          </w:p>
          <w:p>
            <w:pPr>
              <w:pStyle w:val="833"/>
              <w:jc w:val="center"/>
            </w:pPr>
            <w:r>
              <w:t xml:space="preserve">Зам начальника ФЭО</w:t>
            </w:r>
          </w:p>
        </w:tc>
      </w:tr>
      <w:tr>
        <w:trPr/>
        <w:tblPrEx/>
        <w:tc>
          <w:tcPr>
            <w:tcW w:w="4649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833"/>
              <w:jc w:val="center"/>
            </w:pPr>
            <w:r>
              <w:t xml:space="preserve">(должность)</w:t>
            </w:r>
          </w:p>
        </w:tc>
      </w:tr>
    </w:tbl>
    <w:p>
      <w:pPr>
        <w:pStyle w:val="833"/>
      </w:pPr>
    </w:p>
    <w:tbl>
      <w:tblPr>
        <w:tblW w:w="0" w:type="auto"/>
        <w:tblInd w:w="606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170"/>
        <w:gridCol w:w="397"/>
        <w:gridCol w:w="255"/>
        <w:gridCol w:w="198"/>
        <w:gridCol w:w="170"/>
        <w:gridCol w:w="1617"/>
        <w:gridCol w:w="397"/>
        <w:gridCol w:w="369"/>
        <w:gridCol w:w="225"/>
        <w:gridCol w:w="172"/>
        <w:gridCol w:w="681"/>
      </w:tblGrid>
      <w:tr>
        <w:trPr/>
        <w:tblPrEx/>
        <w:tc>
          <w:tcPr>
            <w:tcW w:w="1020" w:type="dxa"/>
            <w:gridSpan w:val="4"/>
            <w:tcBorders>
              <w:bottom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833"/>
              <w:jc w:val="center"/>
            </w:pPr>
          </w:p>
        </w:tc>
        <w:tc>
          <w:tcPr>
            <w:tcW w:w="170" w:type="dxa"/>
            <w:noWrap w:val="false"/>
            <w:textDirection w:val="lrTb"/>
            <w:vAlign w:val="bottom"/>
          </w:tcPr>
          <w:p>
            <w:pPr>
              <w:pStyle w:val="833"/>
              <w:jc w:val="right"/>
            </w:pPr>
            <w:r>
              <w:t xml:space="preserve">/</w:t>
            </w:r>
          </w:p>
        </w:tc>
        <w:tc>
          <w:tcPr>
            <w:tcW w:w="2608" w:type="dxa"/>
            <w:gridSpan w:val="4"/>
            <w:tcBorders>
              <w:bottom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833"/>
              <w:jc w:val="center"/>
            </w:pPr>
            <w:r>
              <w:t xml:space="preserve">Н.А.Максимова</w:t>
            </w:r>
          </w:p>
        </w:tc>
        <w:tc>
          <w:tcPr>
            <w:tcW w:w="172" w:type="dxa"/>
            <w:noWrap w:val="false"/>
            <w:textDirection w:val="lrTb"/>
            <w:vAlign w:val="bottom"/>
          </w:tcPr>
          <w:p>
            <w:pPr>
              <w:pStyle w:val="833"/>
            </w:pPr>
            <w:r>
              <w:t xml:space="preserve">/</w:t>
            </w:r>
          </w:p>
        </w:tc>
        <w:tc>
          <w:tcPr>
            <w:tcW w:w="681" w:type="dxa"/>
            <w:noWrap w:val="false"/>
            <w:textDirection w:val="lrTb"/>
            <w:vAlign w:val="top"/>
          </w:tcPr>
          <w:p>
            <w:pPr>
              <w:pStyle w:val="833"/>
            </w:pPr>
          </w:p>
        </w:tc>
      </w:tr>
      <w:tr>
        <w:trPr/>
        <w:tblPrEx/>
        <w:tc>
          <w:tcPr>
            <w:tcW w:w="4651" w:type="dxa"/>
            <w:gridSpan w:val="11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833"/>
              <w:jc w:val="center"/>
            </w:pPr>
            <w:r>
              <w:t xml:space="preserve">(подпись/расшифровка подписи)</w:t>
            </w:r>
          </w:p>
        </w:tc>
      </w:tr>
      <w:tr>
        <w:trPr/>
        <w:tblPrEx/>
        <w:tc>
          <w:tcPr>
            <w:tcW w:w="170" w:type="dxa"/>
            <w:noWrap w:val="false"/>
            <w:textDirection w:val="lrTb"/>
            <w:vAlign w:val="bottom"/>
          </w:tcPr>
          <w:p>
            <w:pPr>
              <w:pStyle w:val="833"/>
              <w:jc w:val="center"/>
            </w:pPr>
          </w:p>
        </w:tc>
        <w:tc>
          <w:tcPr>
            <w:tcW w:w="397" w:type="dxa"/>
            <w:tcBorders>
              <w:bottom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833"/>
              <w:jc w:val="center"/>
            </w:pPr>
          </w:p>
        </w:tc>
        <w:tc>
          <w:tcPr>
            <w:tcW w:w="255" w:type="dxa"/>
            <w:noWrap w:val="false"/>
            <w:textDirection w:val="lrTb"/>
            <w:vAlign w:val="bottom"/>
          </w:tcPr>
          <w:p>
            <w:pPr>
              <w:pStyle w:val="833"/>
            </w:pPr>
          </w:p>
        </w:tc>
        <w:tc>
          <w:tcPr>
            <w:tcW w:w="1985" w:type="dxa"/>
            <w:gridSpan w:val="3"/>
            <w:tcBorders>
              <w:bottom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833"/>
              <w:jc w:val="center"/>
            </w:pPr>
            <w:r>
              <w:t xml:space="preserve">943-061</w:t>
            </w:r>
          </w:p>
        </w:tc>
        <w:tc>
          <w:tcPr>
            <w:tcW w:w="397" w:type="dxa"/>
            <w:noWrap w:val="false"/>
            <w:textDirection w:val="lrTb"/>
            <w:vAlign w:val="bottom"/>
          </w:tcPr>
          <w:p>
            <w:pPr>
              <w:pStyle w:val="833"/>
              <w:jc w:val="right"/>
            </w:pPr>
          </w:p>
        </w:tc>
        <w:tc>
          <w:tcPr>
            <w:tcW w:w="369" w:type="dxa"/>
            <w:tcBorders>
              <w:bottom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833"/>
            </w:pPr>
          </w:p>
        </w:tc>
        <w:tc>
          <w:tcPr>
            <w:tcW w:w="397" w:type="dxa"/>
            <w:gridSpan w:val="2"/>
            <w:noWrap w:val="false"/>
            <w:textDirection w:val="lrTb"/>
            <w:vAlign w:val="bottom"/>
          </w:tcPr>
          <w:p>
            <w:pPr>
              <w:pStyle w:val="833"/>
              <w:ind w:left="57"/>
            </w:pPr>
          </w:p>
        </w:tc>
        <w:tc>
          <w:tcPr>
            <w:tcW w:w="681" w:type="dxa"/>
            <w:noWrap w:val="false"/>
            <w:textDirection w:val="lrTb"/>
            <w:vAlign w:val="top"/>
          </w:tcPr>
          <w:p>
            <w:pPr>
              <w:pStyle w:val="833"/>
            </w:pPr>
          </w:p>
        </w:tc>
      </w:tr>
    </w:tbl>
    <w:p>
      <w:pPr>
        <w:pStyle w:val="833"/>
        <w:sectPr>
          <w:footnotePr/>
          <w:endnotePr/>
          <w:type w:val="nextPage"/>
          <w:pgSz w:w="16838" w:h="11906" w:orient="landscape"/>
          <w:pgMar w:top="1134" w:right="1106" w:bottom="567" w:left="1559" w:header="709" w:footer="709" w:gutter="0"/>
          <w:cols w:num="1" w:sep="0" w:space="708" w:equalWidth="1"/>
          <w:docGrid w:linePitch="360"/>
        </w:sectPr>
      </w:pPr>
    </w:p>
    <w:p/>
    <w:sectPr>
      <w:footnotePr/>
      <w:endnotePr/>
      <w:type w:val="nextPage"/>
      <w:pgSz w:w="11906" w:h="16838" w:orient="portrait"/>
      <w:pgMar w:top="539" w:right="1259" w:bottom="204" w:left="1259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Segoe UI">
    <w:panose1 w:val="020B0502040504020204"/>
  </w:font>
  <w:font w:name="Times New Roman">
    <w:panose1 w:val="02020603050405020304"/>
  </w:font>
  <w:font w:name="Calibri">
    <w:panose1 w:val="020F0502020204030204"/>
  </w:font>
  <w:font w:name="Verdana">
    <w:panose1 w:val="020B060403050404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1440" w:leader="none"/>
        </w:tabs>
        <w:ind w:left="1440" w:hanging="360"/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tabs>
          <w:tab w:val="num" w:pos="2160" w:leader="none"/>
        </w:tabs>
        <w:ind w:left="2160" w:hanging="36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2880" w:leader="none"/>
        </w:tabs>
        <w:ind w:left="2880" w:hanging="360"/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tabs>
          <w:tab w:val="num" w:pos="3600" w:leader="none"/>
        </w:tabs>
        <w:ind w:left="3600" w:hanging="360"/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tabs>
          <w:tab w:val="num" w:pos="4320" w:leader="none"/>
        </w:tabs>
        <w:ind w:left="4320" w:hanging="36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5040" w:leader="none"/>
        </w:tabs>
        <w:ind w:left="5040" w:hanging="360"/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tabs>
          <w:tab w:val="num" w:pos="5760" w:leader="none"/>
        </w:tabs>
        <w:ind w:left="5760" w:hanging="360"/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tabs>
          <w:tab w:val="num" w:pos="6480" w:leader="none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3"/>
    <w:next w:val="833"/>
    <w:link w:val="657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3"/>
    <w:next w:val="833"/>
    <w:link w:val="659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3"/>
    <w:next w:val="833"/>
    <w:link w:val="661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3"/>
    <w:next w:val="833"/>
    <w:link w:val="663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3"/>
    <w:next w:val="833"/>
    <w:link w:val="665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3"/>
    <w:next w:val="833"/>
    <w:link w:val="667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3"/>
    <w:next w:val="833"/>
    <w:link w:val="669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3"/>
    <w:next w:val="833"/>
    <w:link w:val="671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3"/>
    <w:next w:val="833"/>
    <w:link w:val="673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8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687"/>
    <w:link w:val="685"/>
    <w:uiPriority w:val="99"/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spacing w:after="57"/>
      <w:ind w:left="0" w:right="0" w:firstLine="0"/>
    </w:pPr>
  </w:style>
  <w:style w:type="paragraph" w:styleId="823">
    <w:name w:val="toc 2"/>
    <w:basedOn w:val="833"/>
    <w:next w:val="833"/>
    <w:uiPriority w:val="39"/>
    <w:unhideWhenUsed/>
    <w:pPr>
      <w:spacing w:after="57"/>
      <w:ind w:left="283" w:right="0" w:firstLine="0"/>
    </w:pPr>
  </w:style>
  <w:style w:type="paragraph" w:styleId="824">
    <w:name w:val="toc 3"/>
    <w:basedOn w:val="833"/>
    <w:next w:val="833"/>
    <w:uiPriority w:val="39"/>
    <w:unhideWhenUsed/>
    <w:pPr>
      <w:spacing w:after="57"/>
      <w:ind w:left="567" w:right="0" w:firstLine="0"/>
    </w:pPr>
  </w:style>
  <w:style w:type="paragraph" w:styleId="825">
    <w:name w:val="toc 4"/>
    <w:basedOn w:val="833"/>
    <w:next w:val="833"/>
    <w:uiPriority w:val="39"/>
    <w:unhideWhenUsed/>
    <w:pPr>
      <w:spacing w:after="57"/>
      <w:ind w:left="850" w:right="0" w:firstLine="0"/>
    </w:pPr>
  </w:style>
  <w:style w:type="paragraph" w:styleId="826">
    <w:name w:val="toc 5"/>
    <w:basedOn w:val="833"/>
    <w:next w:val="833"/>
    <w:uiPriority w:val="39"/>
    <w:unhideWhenUsed/>
    <w:pPr>
      <w:spacing w:after="57"/>
      <w:ind w:left="1134" w:right="0" w:firstLine="0"/>
    </w:pPr>
  </w:style>
  <w:style w:type="paragraph" w:styleId="827">
    <w:name w:val="toc 6"/>
    <w:basedOn w:val="833"/>
    <w:next w:val="833"/>
    <w:uiPriority w:val="39"/>
    <w:unhideWhenUsed/>
    <w:pPr>
      <w:spacing w:after="57"/>
      <w:ind w:left="1417" w:right="0" w:firstLine="0"/>
    </w:pPr>
  </w:style>
  <w:style w:type="paragraph" w:styleId="828">
    <w:name w:val="toc 7"/>
    <w:basedOn w:val="833"/>
    <w:next w:val="833"/>
    <w:uiPriority w:val="39"/>
    <w:unhideWhenUsed/>
    <w:pPr>
      <w:spacing w:after="57"/>
      <w:ind w:left="1701" w:right="0" w:firstLine="0"/>
    </w:pPr>
  </w:style>
  <w:style w:type="paragraph" w:styleId="829">
    <w:name w:val="toc 8"/>
    <w:basedOn w:val="833"/>
    <w:next w:val="833"/>
    <w:uiPriority w:val="39"/>
    <w:unhideWhenUsed/>
    <w:pPr>
      <w:spacing w:after="57"/>
      <w:ind w:left="1984" w:right="0" w:firstLine="0"/>
    </w:pPr>
  </w:style>
  <w:style w:type="paragraph" w:styleId="830">
    <w:name w:val="toc 9"/>
    <w:basedOn w:val="833"/>
    <w:next w:val="833"/>
    <w:uiPriority w:val="39"/>
    <w:unhideWhenUsed/>
    <w:pPr>
      <w:spacing w:after="57"/>
      <w:ind w:left="2268" w:right="0" w:firstLine="0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next w:val="833"/>
    <w:link w:val="833"/>
    <w:qFormat/>
    <w:rPr>
      <w:lang w:val="ru-RU" w:eastAsia="ar-SA" w:bidi="ar-SA"/>
    </w:rPr>
  </w:style>
  <w:style w:type="character" w:styleId="834">
    <w:name w:val="Основной шрифт абзаца"/>
    <w:next w:val="834"/>
    <w:link w:val="833"/>
    <w:semiHidden/>
  </w:style>
  <w:style w:type="table" w:styleId="835">
    <w:name w:val="Обычная таблица"/>
    <w:next w:val="835"/>
    <w:link w:val="833"/>
    <w:semiHidden/>
    <w:tblPr/>
  </w:style>
  <w:style w:type="numbering" w:styleId="836">
    <w:name w:val="Нет списка"/>
    <w:next w:val="836"/>
    <w:link w:val="833"/>
    <w:semiHidden/>
  </w:style>
  <w:style w:type="paragraph" w:styleId="837">
    <w:name w:val="Normal1"/>
    <w:next w:val="837"/>
    <w:link w:val="833"/>
    <w:rPr>
      <w:sz w:val="24"/>
      <w:lang w:val="ru-RU" w:eastAsia="ar-SA" w:bidi="ar-SA"/>
    </w:rPr>
  </w:style>
  <w:style w:type="paragraph" w:styleId="838">
    <w:name w:val="Основной текст"/>
    <w:basedOn w:val="833"/>
    <w:next w:val="838"/>
    <w:link w:val="839"/>
    <w:pPr>
      <w:jc w:val="both"/>
    </w:pPr>
    <w:rPr>
      <w:sz w:val="24"/>
      <w:szCs w:val="24"/>
    </w:rPr>
  </w:style>
  <w:style w:type="character" w:styleId="839">
    <w:name w:val="Основной текст Знак"/>
    <w:next w:val="839"/>
    <w:link w:val="838"/>
    <w:rPr>
      <w:sz w:val="24"/>
      <w:szCs w:val="24"/>
      <w:lang w:val="ru-RU" w:eastAsia="ar-SA" w:bidi="ar-SA"/>
    </w:rPr>
  </w:style>
  <w:style w:type="paragraph" w:styleId="840">
    <w:name w:val="Основной текст с отступом 3"/>
    <w:basedOn w:val="833"/>
    <w:next w:val="840"/>
    <w:link w:val="841"/>
    <w:uiPriority w:val="99"/>
    <w:semiHidden/>
    <w:pPr>
      <w:spacing w:after="120"/>
      <w:ind w:left="283"/>
    </w:pPr>
    <w:rPr>
      <w:sz w:val="16"/>
      <w:szCs w:val="16"/>
    </w:rPr>
  </w:style>
  <w:style w:type="character" w:styleId="841">
    <w:name w:val="Основной текст с отступом 3 Знак"/>
    <w:next w:val="841"/>
    <w:link w:val="840"/>
    <w:uiPriority w:val="99"/>
    <w:semiHidden/>
    <w:rPr>
      <w:sz w:val="16"/>
      <w:szCs w:val="16"/>
      <w:lang w:val="ru-RU" w:eastAsia="ar-SA" w:bidi="ar-SA"/>
    </w:rPr>
  </w:style>
  <w:style w:type="paragraph" w:styleId="842">
    <w:name w:val="List Paragraph"/>
    <w:basedOn w:val="833"/>
    <w:next w:val="842"/>
    <w:link w:val="833"/>
    <w:pPr>
      <w:ind w:left="720"/>
    </w:pPr>
  </w:style>
  <w:style w:type="character" w:styleId="843">
    <w:name w:val="ConsPlusNormal Знак"/>
    <w:next w:val="843"/>
    <w:link w:val="844"/>
    <w:rPr>
      <w:rFonts w:ascii="Arial" w:hAnsi="Arial" w:cs="Arial"/>
      <w:sz w:val="22"/>
      <w:szCs w:val="22"/>
      <w:lang w:val="ru-RU" w:eastAsia="ar-SA" w:bidi="ar-SA"/>
    </w:rPr>
  </w:style>
  <w:style w:type="paragraph" w:styleId="844">
    <w:name w:val="ConsPlusNormal"/>
    <w:next w:val="844"/>
    <w:link w:val="843"/>
    <w:qFormat/>
    <w:pPr>
      <w:widowControl w:val="off"/>
      <w:ind w:firstLine="720"/>
    </w:pPr>
    <w:rPr>
      <w:rFonts w:ascii="Arial" w:hAnsi="Arial" w:cs="Arial"/>
      <w:sz w:val="22"/>
      <w:szCs w:val="22"/>
      <w:lang w:val="ru-RU" w:eastAsia="ar-SA" w:bidi="ar-SA"/>
    </w:rPr>
  </w:style>
  <w:style w:type="paragraph" w:styleId="845">
    <w:name w:val=" Знак Знак Знак Знак"/>
    <w:basedOn w:val="833"/>
    <w:next w:val="845"/>
    <w:link w:val="833"/>
    <w:rPr>
      <w:rFonts w:ascii="Verdana" w:hAnsi="Verdana" w:cs="Verdana"/>
      <w:lang w:val="en-US" w:eastAsia="en-US"/>
    </w:rPr>
  </w:style>
  <w:style w:type="paragraph" w:styleId="846">
    <w:name w:val="Абзац списка"/>
    <w:basedOn w:val="833"/>
    <w:next w:val="846"/>
    <w:link w:val="833"/>
    <w:uiPriority w:val="34"/>
    <w:qFormat/>
    <w:pPr>
      <w:spacing w:after="200" w:line="276" w:lineRule="auto"/>
      <w:ind w:left="720"/>
      <w:contextualSpacing/>
    </w:pPr>
    <w:rPr>
      <w:rFonts w:ascii="Calibri" w:hAnsi="Calibri" w:eastAsia="Calibri" w:cs="Times New Roman"/>
      <w:sz w:val="22"/>
      <w:szCs w:val="22"/>
      <w:lang w:eastAsia="en-US"/>
    </w:rPr>
  </w:style>
  <w:style w:type="character" w:styleId="847">
    <w:name w:val="Гиперссылка"/>
    <w:next w:val="847"/>
    <w:link w:val="833"/>
    <w:uiPriority w:val="99"/>
    <w:unhideWhenUsed/>
    <w:rPr>
      <w:color w:val="0000ff"/>
      <w:u w:val="single"/>
    </w:rPr>
  </w:style>
  <w:style w:type="paragraph" w:styleId="848">
    <w:name w:val="Текст выноски"/>
    <w:basedOn w:val="833"/>
    <w:next w:val="848"/>
    <w:link w:val="849"/>
    <w:rPr>
      <w:rFonts w:ascii="Segoe UI" w:hAnsi="Segoe UI" w:cs="Segoe UI"/>
      <w:sz w:val="18"/>
      <w:szCs w:val="18"/>
    </w:rPr>
  </w:style>
  <w:style w:type="character" w:styleId="849">
    <w:name w:val="Текст выноски Знак"/>
    <w:next w:val="849"/>
    <w:link w:val="848"/>
    <w:rPr>
      <w:rFonts w:ascii="Segoe UI" w:hAnsi="Segoe UI" w:cs="Segoe UI"/>
      <w:sz w:val="18"/>
      <w:szCs w:val="18"/>
      <w:lang w:eastAsia="ar-SA"/>
    </w:rPr>
  </w:style>
  <w:style w:type="paragraph" w:styleId="850">
    <w:name w:val="Обычный (веб)"/>
    <w:basedOn w:val="833"/>
    <w:next w:val="850"/>
    <w:link w:val="833"/>
    <w:rPr>
      <w:rFonts w:ascii="Arial" w:hAnsi="Arial" w:eastAsia="Calibri" w:cs="Arial"/>
      <w:color w:val="696969"/>
    </w:rPr>
  </w:style>
  <w:style w:type="character" w:styleId="851">
    <w:name w:val="Строгий"/>
    <w:next w:val="851"/>
    <w:link w:val="833"/>
    <w:qFormat/>
    <w:rPr>
      <w:rFonts w:cs="Times New Roman"/>
      <w:b/>
      <w:bCs/>
    </w:rPr>
  </w:style>
  <w:style w:type="character" w:styleId="852" w:default="1">
    <w:name w:val="Default Paragraph Font"/>
    <w:uiPriority w:val="1"/>
    <w:semiHidden/>
    <w:unhideWhenUsed/>
  </w:style>
  <w:style w:type="numbering" w:styleId="853" w:default="1">
    <w:name w:val="No List"/>
    <w:uiPriority w:val="99"/>
    <w:semiHidden/>
    <w:unhideWhenUsed/>
  </w:style>
  <w:style w:type="table" w:styleId="85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Начальная (максимальная) цена государственного контракта,</dc:title>
  <dc:creator>Гришкова</dc:creator>
  <cp:revision>78</cp:revision>
  <dcterms:created xsi:type="dcterms:W3CDTF">2021-11-16T06:27:00Z</dcterms:created>
  <dcterms:modified xsi:type="dcterms:W3CDTF">2026-07-27T11:38:48Z</dcterms:modified>
  <cp:version>983040</cp:version>
</cp:coreProperties>
</file>