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43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3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32104125440190019244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обязуется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оказать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услуги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по техническому обслуживанию и ремонту транспортного средства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услуга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оказанную услугу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оказания услуг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течении 5 (пяти) календарных дней со дня заключения государственного контракта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производится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 счет средств федерального бюджета, безналичным путем, путем перечисления денежных средств на расчетный счет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течение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семи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дней после пред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ставления платёжных документов и подписания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Бюджетного кодекса Российской Федерации,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платежные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и Заказчиком контрактом, считаются непредставленными.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оказанием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Исполнителем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оказанной услуги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Исполнитель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Оказать услуги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Оказать услуги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оказанные услуги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Исполнителя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оказываемых услуг и в случае обнаружения существенных отступлений, предъявить Исполнителю письменную претензию. В случае ее признания Исполнитель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По завершении оказания услуг Исполнитель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2 (двух)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оказанных услуг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пяти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) рабочих дней после передачи ему акта оказанных услуг подписывает его со своей стороны и передает Исполнителю или заявляет в письменном виде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оказываемых услуг условиям контракта составляется акт устранения недостатков, при этом, Исполнитель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 поступления требования от Заказчика либо составления акта. Некачественно оказанные услуги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оказания услуг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торонами (или их представителями) акта оказанных услуг. При этом, если услуги приняты Заказчиком без замечаний, то срок с даты оказания услуг Исполнителем до даты подписания Заказчиком акта приемки оказанных услуг не входит в срок просрочки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Исполнителем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Исполнителем.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Исполнитель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Исполнитель,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Исполнителю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Исполнитель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оказанных услуг требованиям технического задания Исполнитель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оказанных услуг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71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1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1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771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40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услуг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услуги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усл.ед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услуги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Услуги по техническому обслуживанию и ремонту автотранспортн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ого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а</w:t>
            </w:r>
            <w:r/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ind w:firstLine="708"/>
        <w:jc w:val="left"/>
        <w:spacing w:after="20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                                          2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8"/>
        <w:jc w:val="left"/>
        <w:spacing w:after="20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b/>
          <w:color w:val="000000"/>
          <w:sz w:val="24"/>
          <w:szCs w:val="24"/>
          <w:highlight w:val="white"/>
        </w:rPr>
        <w:t xml:space="preserve">Оказание услуг по техническому обслуживанию и ремонту транспортного средства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left"/>
        <w:rPr>
          <w:rFonts w:ascii="Tinos" w:hAnsi="Tinos" w:cs="Tinos"/>
          <w:b/>
          <w:bCs/>
          <w:sz w:val="20"/>
          <w:szCs w:val="20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        Объект закупки: </w:t>
      </w:r>
      <w:r>
        <w:rPr>
          <w:rFonts w:ascii="Tinos" w:hAnsi="Tinos" w:eastAsia="Tinos" w:cs="Tinos"/>
          <w:b/>
          <w:color w:val="000000"/>
          <w:sz w:val="24"/>
          <w:szCs w:val="24"/>
          <w:highlight w:val="white"/>
        </w:rPr>
        <w:t xml:space="preserve">Оказание услуг по техническому обслуживанию и ремонту транспортного средства</w:t>
      </w:r>
      <w:r>
        <w:rPr>
          <w:rFonts w:ascii="Tinos" w:hAnsi="Tinos" w:eastAsia="Tinos" w:cs="Tinos"/>
          <w:b/>
          <w:bCs/>
          <w:sz w:val="20"/>
          <w:szCs w:val="20"/>
          <w:highlight w:val="none"/>
        </w:rPr>
      </w:r>
      <w:r>
        <w:rPr>
          <w:rFonts w:ascii="Tinos" w:hAnsi="Tinos" w:eastAsia="Tinos" w:cs="Tinos"/>
          <w:b/>
          <w:bCs/>
          <w:sz w:val="20"/>
          <w:szCs w:val="20"/>
          <w:highlight w:val="none"/>
        </w:rPr>
      </w:r>
    </w:p>
    <w:p>
      <w:pPr>
        <w:contextualSpacing/>
        <w:ind w:right="-1" w:firstLine="567"/>
        <w:jc w:val="both"/>
        <w:tabs>
          <w:tab w:val="left" w:pos="426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Перечень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работ по ремонту и техническому обслуживанию проводимых на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транспортных средств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ах Заказчика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: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right="-1" w:firstLine="567"/>
        <w:jc w:val="both"/>
        <w:tabs>
          <w:tab w:val="left" w:pos="426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</w:p>
    <w:tbl>
      <w:tblPr>
        <w:tblW w:w="93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60"/>
        <w:gridCol w:w="3121"/>
        <w:gridCol w:w="2500"/>
        <w:gridCol w:w="1499"/>
        <w:gridCol w:w="1665"/>
      </w:tblGrid>
      <w:tr>
        <w:tblPrEx/>
        <w:trPr>
          <w:jc w:val="center"/>
          <w:trHeight w:val="3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both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1" w:type="dxa"/>
            <w:vAlign w:val="center"/>
            <w:textDirection w:val="lrTb"/>
            <w:noWrap w:val="false"/>
          </w:tcPr>
          <w:p>
            <w:pPr>
              <w:jc w:val="both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Модель, марка автомобиля, гос. рег. номер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Наименование оказываемых услуг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Количество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услуг,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усл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. ед.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5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Код ОКПД 2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8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</w:rPr>
              <w:t xml:space="preserve">1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  <w:t xml:space="preserve">Toyota Camry 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Р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  <w:t xml:space="preserve">044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eastAsia="ru-RU"/>
              </w:rPr>
              <w:t xml:space="preserve">РР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  <w:t xml:space="preserve">53, 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  <w:t xml:space="preserve">VIN XW7BE40K50S010717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</w:rPr>
              <w:t xml:space="preserve">Замена генератора  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</w:rPr>
              <w:t xml:space="preserve">1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65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lang w:val="en-US" w:eastAsia="ru-RU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lang w:val="en-US" w:eastAsia="ru-RU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  <w:t xml:space="preserve">45.20.21.211 </w:t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highlight w:val="none"/>
                <w:lang w:val="en-US" w:eastAsia="ru-RU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highlight w:val="none"/>
                <w:lang w:val="en-US" w:eastAsia="ru-RU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rFonts w:ascii="Tinos" w:hAnsi="Tinos" w:cs="Tinos"/>
                <w:color w:val="202124"/>
                <w:sz w:val="24"/>
                <w:szCs w:val="24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</w:r>
            <w:r>
              <w:rPr>
                <w:rFonts w:ascii="Tinos" w:hAnsi="Tinos" w:eastAsia="Tinos" w:cs="Tinos"/>
                <w:color w:val="202124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</w:r>
          </w:p>
        </w:tc>
      </w:tr>
    </w:tbl>
    <w:p>
      <w:pPr>
        <w:jc w:val="center"/>
        <w:spacing w:line="256" w:lineRule="auto"/>
        <w:rPr>
          <w:rFonts w:ascii="Tinos" w:hAnsi="Tinos" w:cs="Tinos"/>
          <w:color w:val="202124"/>
          <w:sz w:val="24"/>
          <w:szCs w:val="24"/>
          <w:shd w:val="clear" w:color="auto" w:fill="ffffff"/>
          <w14:ligatures w14:val="none"/>
        </w:rPr>
      </w:pPr>
      <w:r>
        <w:rPr>
          <w:rFonts w:ascii="Tinos" w:hAnsi="Tinos" w:eastAsia="Tinos" w:cs="Tinos"/>
          <w:color w:val="202124"/>
          <w:sz w:val="24"/>
          <w:szCs w:val="24"/>
          <w:shd w:val="clear" w:color="auto" w:fill="ffffff"/>
        </w:rPr>
      </w:r>
      <w:r>
        <w:rPr>
          <w:rFonts w:ascii="Tinos" w:hAnsi="Tinos" w:eastAsia="Tinos" w:cs="Tinos"/>
          <w:color w:val="202124"/>
          <w:sz w:val="24"/>
          <w:szCs w:val="24"/>
          <w:shd w:val="clear" w:color="auto" w:fill="ffffff"/>
          <w14:ligatures w14:val="none"/>
        </w:rPr>
      </w:r>
      <w:r>
        <w:rPr>
          <w:rFonts w:ascii="Tinos" w:hAnsi="Tinos" w:eastAsia="Tinos" w:cs="Tinos"/>
          <w:color w:val="202124"/>
          <w:sz w:val="24"/>
          <w:szCs w:val="24"/>
          <w:shd w:val="clear" w:color="auto" w:fill="ffffff"/>
          <w14:ligatures w14:val="none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Место оказания услуг: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 территории Исполнителя в черте г. Великий Новгород (Новгородская область).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right="-143" w:firstLine="709"/>
        <w:jc w:val="both"/>
        <w:tabs>
          <w:tab w:val="left" w:pos="42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Общие требования к оказанию услуг: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Обеспечить производство и качество всех работ в соответствии с требованиями законодательства РФ, с соблюдение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м нормативно-технической документации, правил техники безопасности, противопожарной безопасности и охране окружающей среды. Обеспечить надлежащую охрану транспортных средств, материалов, оборудования и другого имущества Заказчика в период выполнения работ.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Условия оказания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: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 по заявке Заказчика, в течение одного рабочего дня, обеспечивает постановку транспортного средства на станцию технического обслуживания для оказания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исключительных случаях услуги могут оказываться в течение двух рабочих дней.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С момента сдачи Заказчиком автомобиля на ремонт (по акту приема-передачи) до момента приёма автомобиля Заказчиком после ремо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нта (по акту приема-передачи) ответственность за сохранность транспортного средства несёт Исполнитель. Риск случайного повреждения или случайной гибели вышеуказанного автомобиля переходит на Исполнителя с момента передачи транспортного средства Заказчиком.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Стоимость хранения автомобиля с момента приема в ремонт и до момента передачи Заказчику входит в стоимость контракта.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Оказание услуг производится Исполнителем, своими средствами и своими материалами, в том числе Исполнитель приобретает детали, узлы, механизмы, подлежащие замене в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транспортном средстве (а также технические жидкости, в случае снижения их уровня ниже нормативного при проведении работ.). Демонтаж и последующий монтаж узлов автотранспорта, необходимых при проведении работ, включен в стоимость государственного контракта.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 самостоятельно определяет способы оказания услуг.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 завершении оказания услуг Исполнитель уведомляет Заказчика об оказании услуг по ремонту в полном объеме. Уведомление Заказчика допускается телефонограммой и (или) по телефону.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После оказания услуг Исполнитель предоставляет Заказчику перечень рекомендаций по дальнейшему ремонту автомобил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Приемка оказанных услуг осуществляется ответственными представителями Исполнителя и Заказчика. В ходе приемки Заказчик проверяет комплектность 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техническое состояние транспортного средства, а также объем и качество оказанных услуг, исправность узлов и агрегатов, подвергшихся ремонту либо замене.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Требования к гарантиям: </w:t>
      </w: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eastAsia="Tinos" w:cs="Tinos"/>
          <w:b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Срок гарантии качества на услуги по ремонту и техническому обслуживанию транспортных средств, принадлежащих Заказч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ику, должен быть равен 6 (шести) месяцам или 10 000 км пробега в зависимости от того, что наступит раньше, при условии соблюдения Заказчиком правил эксплуатации транспортного средства, а на установленные запчасти - в соответствии с паспортом производителя.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Все выявленные в течение гарантийного срока эксплуатации дефекты должны быть устранены за счет Исполнителя.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widowControl w:val="off"/>
        <w:tabs>
          <w:tab w:val="left" w:pos="426" w:leader="none"/>
        </w:tabs>
        <w:rPr>
          <w:rFonts w:ascii="Tinos" w:hAnsi="Tinos" w:cs="Tinos"/>
          <w:i/>
          <w:iCs/>
          <w:sz w:val="24"/>
          <w:szCs w:val="24"/>
        </w:rPr>
        <w:outlineLvl w:val="1"/>
      </w:pPr>
      <w:r>
        <w:rPr>
          <w:rFonts w:ascii="Tinos" w:hAnsi="Tinos" w:eastAsia="Tinos" w:cs="Tinos"/>
          <w:b/>
          <w:bCs/>
          <w:sz w:val="24"/>
          <w:szCs w:val="24"/>
        </w:rPr>
        <w:t xml:space="preserve">Требования к качеству оказываемых услуг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eastAsia="Tinos" w:cs="Tinos"/>
          <w:i/>
          <w:iCs/>
          <w:sz w:val="24"/>
          <w:szCs w:val="24"/>
        </w:rPr>
      </w:r>
      <w:r>
        <w:rPr>
          <w:rFonts w:ascii="Tinos" w:hAnsi="Tinos" w:eastAsia="Tinos" w:cs="Tinos"/>
          <w:i/>
          <w:iCs/>
          <w:sz w:val="24"/>
          <w:szCs w:val="24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По завершению оказания услуг автомобиль должен соответствовать требованиям, технического регламента Таможенного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союза «О безопасности колесных транспортных средств» (ТР ТС 018/2011), вступивший в силу с 1 января 2015 года. При выполнении работ по текущему ремонту автотранспорта используемые запасные части должны быть новыми, оригинальными, не бывшими в употреблении.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Заказчик после оказания услуг и до оплаты услуг по контракту имеет право привлечь независимых экспертов для оценки качества и объема выполненных работ, в том числе определения качества запасных частей (новые, оригинальные, не бывшие в употреблении).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rPr>
          <w:rFonts w:ascii="Tinos" w:hAnsi="Tinos" w:cs="Tinos"/>
          <w:sz w:val="24"/>
          <w:szCs w:val="24"/>
          <w:highlight w:val="yellow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Требования к безопасности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  <w:highlight w:val="yellow"/>
          <w:lang w:eastAsia="ru-RU"/>
        </w:rPr>
      </w:r>
      <w:r>
        <w:rPr>
          <w:rFonts w:ascii="Tinos" w:hAnsi="Tinos" w:eastAsia="Tinos" w:cs="Tinos"/>
          <w:sz w:val="24"/>
          <w:szCs w:val="24"/>
          <w:highlight w:val="yellow"/>
          <w:lang w:eastAsia="ru-RU"/>
        </w:rPr>
      </w:r>
    </w:p>
    <w:p>
      <w:pPr>
        <w:ind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Оказываемые услуги не должны наносить вред имуществу Заказчика. При оказании услуг должны соблюдаться нормы </w:t>
      </w:r>
      <w:hyperlink r:id="rId13" w:tooltip="Техника безопасности" w:history="1">
        <w:r>
          <w:rPr>
            <w:rStyle w:val="939"/>
            <w:rFonts w:ascii="Tinos" w:hAnsi="Tinos" w:eastAsia="Tinos" w:cs="Tinos"/>
            <w:color w:val="auto"/>
            <w:sz w:val="24"/>
            <w:szCs w:val="24"/>
            <w:u w:val="none"/>
            <w:lang w:eastAsia="ru-RU"/>
          </w:rPr>
          <w:t xml:space="preserve">техники безопасности</w:t>
        </w:r>
      </w:hyperlink>
      <w:r>
        <w:rPr>
          <w:rFonts w:ascii="Tinos" w:hAnsi="Tinos" w:eastAsia="Tinos" w:cs="Tinos"/>
          <w:sz w:val="24"/>
          <w:szCs w:val="24"/>
          <w:lang w:eastAsia="ru-RU"/>
        </w:rPr>
        <w:t xml:space="preserve">, нормы </w:t>
      </w:r>
      <w:hyperlink r:id="rId14" w:tooltip="Пожарная безопасность" w:history="1">
        <w:r>
          <w:rPr>
            <w:rStyle w:val="939"/>
            <w:rFonts w:ascii="Tinos" w:hAnsi="Tinos" w:eastAsia="Tinos" w:cs="Tinos"/>
            <w:color w:val="auto"/>
            <w:sz w:val="24"/>
            <w:szCs w:val="24"/>
            <w:u w:val="none"/>
            <w:lang w:eastAsia="ru-RU"/>
          </w:rPr>
          <w:t xml:space="preserve">пожарной безопасности</w:t>
        </w:r>
      </w:hyperlink>
      <w:r>
        <w:rPr>
          <w:rFonts w:ascii="Tinos" w:hAnsi="Tinos" w:eastAsia="Tinos" w:cs="Tinos"/>
          <w:sz w:val="24"/>
          <w:szCs w:val="24"/>
          <w:lang w:eastAsia="ru-RU"/>
        </w:rPr>
        <w:t xml:space="preserve">. Ремонт транспортного средства должен проводиться с соблюдением технологических процессов, обеспечивающих безопасность пос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ледующей эксплуатации транспортного средства после проведенного ремонта в соответствии с «ГОСТ 33997-2016. Межгосударственный стандарт. Колесные транспортные средства. Требования к безопасности в эксплуатации и методы проверки» (введен в действие Приказом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Росстандарта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от 18.07.2017 N 708-ст).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709"/>
        <w:jc w:val="both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Срок выполнения работ (оказания услуг)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: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течении 5 (пят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и) календарных дней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со дня заключения государственного контракта;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left="709" w:right="0" w:firstLine="0"/>
        <w:jc w:val="both"/>
        <w:spacing w:after="0" w:afterAutospacing="0" w:line="240" w:lineRule="auto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3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№43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оказанных услуг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Исполнитель: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Исполнителя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Исполнителем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оказаны следующие услуги: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услуг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Услуги по техническому обслуживанию и ремонту автотранспортн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ого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а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  <w:t xml:space="preserve">1</w:t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услуги оказаны полностью и в срок. Заказчик претензий по объему, качеству и срокам оказания услуг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3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«Исполнителя»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  <w:jc w:val="center"/>
    </w:pPr>
    <w:fldSimple w:instr="PAGE \* MERGEFORMAT">
      <w:r>
        <w:t xml:space="preserve">1</w:t>
      </w:r>
    </w:fldSimple>
    <w:r/>
    <w:r/>
  </w:p>
  <w:p>
    <w:pPr>
      <w:pStyle w:val="7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0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 w:val="false"/>
      <w:suff w:val="tab"/>
      <w:lvlText w:val="%2."/>
      <w:lvlJc w:val="left"/>
      <w:pPr>
        <w:ind w:left="1211" w:hanging="360"/>
        <w:tabs>
          <w:tab w:val="num" w:pos="1211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200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3">
    <w:name w:val="Heading 1"/>
    <w:basedOn w:val="928"/>
    <w:next w:val="928"/>
    <w:link w:val="7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4">
    <w:name w:val="Heading 1 Char"/>
    <w:basedOn w:val="929"/>
    <w:link w:val="753"/>
    <w:uiPriority w:val="9"/>
    <w:rPr>
      <w:rFonts w:ascii="Arial" w:hAnsi="Arial" w:eastAsia="Arial" w:cs="Arial"/>
      <w:sz w:val="40"/>
      <w:szCs w:val="40"/>
    </w:rPr>
  </w:style>
  <w:style w:type="paragraph" w:styleId="755">
    <w:name w:val="Heading 2"/>
    <w:basedOn w:val="928"/>
    <w:next w:val="928"/>
    <w:link w:val="7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6">
    <w:name w:val="Heading 2 Char"/>
    <w:basedOn w:val="929"/>
    <w:link w:val="755"/>
    <w:uiPriority w:val="9"/>
    <w:rPr>
      <w:rFonts w:ascii="Arial" w:hAnsi="Arial" w:eastAsia="Arial" w:cs="Arial"/>
      <w:sz w:val="34"/>
    </w:rPr>
  </w:style>
  <w:style w:type="paragraph" w:styleId="757">
    <w:name w:val="Heading 3"/>
    <w:basedOn w:val="928"/>
    <w:next w:val="928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8">
    <w:name w:val="Heading 3 Char"/>
    <w:basedOn w:val="929"/>
    <w:link w:val="757"/>
    <w:uiPriority w:val="9"/>
    <w:rPr>
      <w:rFonts w:ascii="Arial" w:hAnsi="Arial" w:eastAsia="Arial" w:cs="Arial"/>
      <w:sz w:val="30"/>
      <w:szCs w:val="30"/>
    </w:rPr>
  </w:style>
  <w:style w:type="paragraph" w:styleId="759">
    <w:name w:val="Heading 4"/>
    <w:basedOn w:val="928"/>
    <w:next w:val="928"/>
    <w:link w:val="7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0">
    <w:name w:val="Heading 4 Char"/>
    <w:basedOn w:val="929"/>
    <w:link w:val="759"/>
    <w:uiPriority w:val="9"/>
    <w:rPr>
      <w:rFonts w:ascii="Arial" w:hAnsi="Arial" w:eastAsia="Arial" w:cs="Arial"/>
      <w:b/>
      <w:bCs/>
      <w:sz w:val="26"/>
      <w:szCs w:val="26"/>
    </w:rPr>
  </w:style>
  <w:style w:type="paragraph" w:styleId="761">
    <w:name w:val="Heading 5"/>
    <w:basedOn w:val="928"/>
    <w:next w:val="928"/>
    <w:link w:val="7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2">
    <w:name w:val="Heading 5 Char"/>
    <w:basedOn w:val="929"/>
    <w:link w:val="761"/>
    <w:uiPriority w:val="9"/>
    <w:rPr>
      <w:rFonts w:ascii="Arial" w:hAnsi="Arial" w:eastAsia="Arial" w:cs="Arial"/>
      <w:b/>
      <w:bCs/>
      <w:sz w:val="24"/>
      <w:szCs w:val="24"/>
    </w:rPr>
  </w:style>
  <w:style w:type="paragraph" w:styleId="763">
    <w:name w:val="Heading 6"/>
    <w:basedOn w:val="928"/>
    <w:next w:val="928"/>
    <w:link w:val="7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4">
    <w:name w:val="Heading 6 Char"/>
    <w:basedOn w:val="929"/>
    <w:link w:val="763"/>
    <w:uiPriority w:val="9"/>
    <w:rPr>
      <w:rFonts w:ascii="Arial" w:hAnsi="Arial" w:eastAsia="Arial" w:cs="Arial"/>
      <w:b/>
      <w:bCs/>
      <w:sz w:val="22"/>
      <w:szCs w:val="22"/>
    </w:rPr>
  </w:style>
  <w:style w:type="paragraph" w:styleId="765">
    <w:name w:val="Heading 7"/>
    <w:basedOn w:val="928"/>
    <w:next w:val="928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6">
    <w:name w:val="Heading 7 Char"/>
    <w:basedOn w:val="929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7">
    <w:name w:val="Heading 8"/>
    <w:basedOn w:val="928"/>
    <w:next w:val="928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8">
    <w:name w:val="Heading 8 Char"/>
    <w:basedOn w:val="929"/>
    <w:link w:val="767"/>
    <w:uiPriority w:val="9"/>
    <w:rPr>
      <w:rFonts w:ascii="Arial" w:hAnsi="Arial" w:eastAsia="Arial" w:cs="Arial"/>
      <w:i/>
      <w:iCs/>
      <w:sz w:val="22"/>
      <w:szCs w:val="22"/>
    </w:rPr>
  </w:style>
  <w:style w:type="paragraph" w:styleId="769">
    <w:name w:val="Heading 9"/>
    <w:basedOn w:val="928"/>
    <w:next w:val="928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>
    <w:name w:val="Heading 9 Char"/>
    <w:basedOn w:val="929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71">
    <w:name w:val="No Spacing"/>
    <w:uiPriority w:val="1"/>
    <w:qFormat/>
    <w:pPr>
      <w:spacing w:before="0" w:after="0" w:line="240" w:lineRule="auto"/>
    </w:pPr>
  </w:style>
  <w:style w:type="paragraph" w:styleId="772">
    <w:name w:val="Title"/>
    <w:basedOn w:val="928"/>
    <w:next w:val="928"/>
    <w:link w:val="7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3">
    <w:name w:val="Title Char"/>
    <w:basedOn w:val="929"/>
    <w:link w:val="772"/>
    <w:uiPriority w:val="10"/>
    <w:rPr>
      <w:sz w:val="48"/>
      <w:szCs w:val="48"/>
    </w:rPr>
  </w:style>
  <w:style w:type="paragraph" w:styleId="774">
    <w:name w:val="Subtitle"/>
    <w:basedOn w:val="928"/>
    <w:next w:val="928"/>
    <w:link w:val="775"/>
    <w:uiPriority w:val="11"/>
    <w:qFormat/>
    <w:pPr>
      <w:spacing w:before="200" w:after="200"/>
    </w:pPr>
    <w:rPr>
      <w:sz w:val="24"/>
      <w:szCs w:val="24"/>
    </w:rPr>
  </w:style>
  <w:style w:type="character" w:styleId="775">
    <w:name w:val="Subtitle Char"/>
    <w:basedOn w:val="929"/>
    <w:link w:val="774"/>
    <w:uiPriority w:val="11"/>
    <w:rPr>
      <w:sz w:val="24"/>
      <w:szCs w:val="24"/>
    </w:rPr>
  </w:style>
  <w:style w:type="paragraph" w:styleId="776">
    <w:name w:val="Quote"/>
    <w:basedOn w:val="928"/>
    <w:next w:val="928"/>
    <w:link w:val="777"/>
    <w:uiPriority w:val="29"/>
    <w:qFormat/>
    <w:pPr>
      <w:ind w:left="720" w:right="720"/>
    </w:pPr>
    <w:rPr>
      <w:i/>
    </w:rPr>
  </w:style>
  <w:style w:type="character" w:styleId="777">
    <w:name w:val="Quote Char"/>
    <w:link w:val="776"/>
    <w:uiPriority w:val="29"/>
    <w:rPr>
      <w:i/>
    </w:rPr>
  </w:style>
  <w:style w:type="paragraph" w:styleId="778">
    <w:name w:val="Intense Quote"/>
    <w:basedOn w:val="928"/>
    <w:next w:val="928"/>
    <w:link w:val="7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9">
    <w:name w:val="Intense Quote Char"/>
    <w:link w:val="778"/>
    <w:uiPriority w:val="30"/>
    <w:rPr>
      <w:i/>
    </w:rPr>
  </w:style>
  <w:style w:type="paragraph" w:styleId="780">
    <w:name w:val="Header"/>
    <w:basedOn w:val="928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>
    <w:name w:val="Header Char"/>
    <w:basedOn w:val="929"/>
    <w:link w:val="780"/>
    <w:uiPriority w:val="99"/>
  </w:style>
  <w:style w:type="paragraph" w:styleId="782">
    <w:name w:val="Footer"/>
    <w:basedOn w:val="928"/>
    <w:link w:val="7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3">
    <w:name w:val="Footer Char"/>
    <w:basedOn w:val="929"/>
    <w:link w:val="782"/>
    <w:uiPriority w:val="99"/>
  </w:style>
  <w:style w:type="paragraph" w:styleId="784">
    <w:name w:val="Caption"/>
    <w:basedOn w:val="928"/>
    <w:next w:val="9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5">
    <w:name w:val="Caption Char"/>
    <w:basedOn w:val="784"/>
    <w:link w:val="782"/>
    <w:uiPriority w:val="99"/>
  </w:style>
  <w:style w:type="table" w:styleId="786">
    <w:name w:val="Table Grid Light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5">
    <w:name w:val="List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6">
    <w:name w:val="List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7">
    <w:name w:val="List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8">
    <w:name w:val="List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9">
    <w:name w:val="List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0">
    <w:name w:val="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2">
    <w:name w:val="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3">
    <w:name w:val="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4">
    <w:name w:val="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5">
    <w:name w:val="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6">
    <w:name w:val="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7">
    <w:name w:val="Bordered &amp; 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9">
    <w:name w:val="Bordered &amp; 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0">
    <w:name w:val="Bordered &amp; 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1">
    <w:name w:val="Bordered &amp; 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2">
    <w:name w:val="Bordered &amp; 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3">
    <w:name w:val="Bordered &amp; 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4">
    <w:name w:val="Bordered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1">
    <w:name w:val="footnote text"/>
    <w:basedOn w:val="928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>
    <w:name w:val="Footnote Text Char"/>
    <w:link w:val="911"/>
    <w:uiPriority w:val="99"/>
    <w:rPr>
      <w:sz w:val="18"/>
    </w:rPr>
  </w:style>
  <w:style w:type="character" w:styleId="913">
    <w:name w:val="footnote reference"/>
    <w:basedOn w:val="929"/>
    <w:uiPriority w:val="99"/>
    <w:unhideWhenUsed/>
    <w:rPr>
      <w:vertAlign w:val="superscript"/>
    </w:rPr>
  </w:style>
  <w:style w:type="paragraph" w:styleId="914">
    <w:name w:val="endnote text"/>
    <w:basedOn w:val="928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>
    <w:name w:val="Endnote Text Char"/>
    <w:link w:val="914"/>
    <w:uiPriority w:val="99"/>
    <w:rPr>
      <w:sz w:val="20"/>
    </w:rPr>
  </w:style>
  <w:style w:type="character" w:styleId="916">
    <w:name w:val="endnote reference"/>
    <w:basedOn w:val="929"/>
    <w:uiPriority w:val="99"/>
    <w:semiHidden/>
    <w:unhideWhenUsed/>
    <w:rPr>
      <w:vertAlign w:val="superscript"/>
    </w:rPr>
  </w:style>
  <w:style w:type="paragraph" w:styleId="917">
    <w:name w:val="toc 1"/>
    <w:basedOn w:val="928"/>
    <w:next w:val="928"/>
    <w:uiPriority w:val="39"/>
    <w:unhideWhenUsed/>
    <w:pPr>
      <w:ind w:left="0" w:right="0" w:firstLine="0"/>
      <w:spacing w:after="57"/>
    </w:pPr>
  </w:style>
  <w:style w:type="paragraph" w:styleId="918">
    <w:name w:val="toc 2"/>
    <w:basedOn w:val="928"/>
    <w:next w:val="928"/>
    <w:uiPriority w:val="39"/>
    <w:unhideWhenUsed/>
    <w:pPr>
      <w:ind w:left="283" w:right="0" w:firstLine="0"/>
      <w:spacing w:after="57"/>
    </w:pPr>
  </w:style>
  <w:style w:type="paragraph" w:styleId="919">
    <w:name w:val="toc 3"/>
    <w:basedOn w:val="928"/>
    <w:next w:val="928"/>
    <w:uiPriority w:val="39"/>
    <w:unhideWhenUsed/>
    <w:pPr>
      <w:ind w:left="567" w:right="0" w:firstLine="0"/>
      <w:spacing w:after="57"/>
    </w:pPr>
  </w:style>
  <w:style w:type="paragraph" w:styleId="920">
    <w:name w:val="toc 4"/>
    <w:basedOn w:val="928"/>
    <w:next w:val="928"/>
    <w:uiPriority w:val="39"/>
    <w:unhideWhenUsed/>
    <w:pPr>
      <w:ind w:left="850" w:right="0" w:firstLine="0"/>
      <w:spacing w:after="57"/>
    </w:pPr>
  </w:style>
  <w:style w:type="paragraph" w:styleId="921">
    <w:name w:val="toc 5"/>
    <w:basedOn w:val="928"/>
    <w:next w:val="928"/>
    <w:uiPriority w:val="39"/>
    <w:unhideWhenUsed/>
    <w:pPr>
      <w:ind w:left="1134" w:right="0" w:firstLine="0"/>
      <w:spacing w:after="57"/>
    </w:pPr>
  </w:style>
  <w:style w:type="paragraph" w:styleId="922">
    <w:name w:val="toc 6"/>
    <w:basedOn w:val="928"/>
    <w:next w:val="928"/>
    <w:uiPriority w:val="39"/>
    <w:unhideWhenUsed/>
    <w:pPr>
      <w:ind w:left="1417" w:right="0" w:firstLine="0"/>
      <w:spacing w:after="57"/>
    </w:pPr>
  </w:style>
  <w:style w:type="paragraph" w:styleId="923">
    <w:name w:val="toc 7"/>
    <w:basedOn w:val="928"/>
    <w:next w:val="928"/>
    <w:uiPriority w:val="39"/>
    <w:unhideWhenUsed/>
    <w:pPr>
      <w:ind w:left="1701" w:right="0" w:firstLine="0"/>
      <w:spacing w:after="57"/>
    </w:pPr>
  </w:style>
  <w:style w:type="paragraph" w:styleId="924">
    <w:name w:val="toc 8"/>
    <w:basedOn w:val="928"/>
    <w:next w:val="928"/>
    <w:uiPriority w:val="39"/>
    <w:unhideWhenUsed/>
    <w:pPr>
      <w:ind w:left="1984" w:right="0" w:firstLine="0"/>
      <w:spacing w:after="57"/>
    </w:pPr>
  </w:style>
  <w:style w:type="paragraph" w:styleId="925">
    <w:name w:val="toc 9"/>
    <w:basedOn w:val="928"/>
    <w:next w:val="928"/>
    <w:uiPriority w:val="39"/>
    <w:unhideWhenUsed/>
    <w:pPr>
      <w:ind w:left="2268" w:right="0" w:firstLine="0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928"/>
    <w:next w:val="928"/>
    <w:uiPriority w:val="99"/>
    <w:unhideWhenUsed/>
    <w:pPr>
      <w:spacing w:after="0" w:afterAutospacing="0"/>
    </w:pPr>
  </w:style>
  <w:style w:type="paragraph" w:styleId="928" w:default="1">
    <w:name w:val="Normal"/>
    <w:qFormat/>
  </w:style>
  <w:style w:type="character" w:styleId="929" w:default="1">
    <w:name w:val="Default Paragraph Font"/>
    <w:uiPriority w:val="1"/>
    <w:semiHidden/>
    <w:unhideWhenUsed/>
  </w:style>
  <w:style w:type="table" w:styleId="9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1" w:default="1">
    <w:name w:val="No List"/>
    <w:uiPriority w:val="99"/>
    <w:semiHidden/>
    <w:unhideWhenUsed/>
  </w:style>
  <w:style w:type="table" w:styleId="932" w:customStyle="1">
    <w:name w:val="Сетка таблицы1"/>
    <w:basedOn w:val="930"/>
    <w:next w:val="93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3">
    <w:name w:val="Table Grid"/>
    <w:basedOn w:val="9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>
    <w:name w:val="Balloon Text"/>
    <w:basedOn w:val="928"/>
    <w:link w:val="93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5" w:customStyle="1">
    <w:name w:val="Текст выноски Знак"/>
    <w:basedOn w:val="929"/>
    <w:link w:val="934"/>
    <w:uiPriority w:val="99"/>
    <w:semiHidden/>
    <w:rPr>
      <w:rFonts w:ascii="Segoe UI" w:hAnsi="Segoe UI" w:cs="Segoe UI"/>
      <w:sz w:val="18"/>
      <w:szCs w:val="18"/>
    </w:rPr>
  </w:style>
  <w:style w:type="table" w:styleId="936" w:customStyle="1">
    <w:name w:val="Сетка таблицы2"/>
    <w:basedOn w:val="930"/>
    <w:next w:val="93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7" w:customStyle="1">
    <w:name w:val="Сетка таблицы3"/>
    <w:basedOn w:val="930"/>
    <w:next w:val="93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>
    <w:name w:val="List Paragraph"/>
    <w:basedOn w:val="928"/>
    <w:uiPriority w:val="34"/>
    <w:qFormat/>
    <w:pPr>
      <w:contextualSpacing/>
      <w:ind w:left="720"/>
    </w:pPr>
  </w:style>
  <w:style w:type="character" w:styleId="939">
    <w:name w:val="Hyperlink"/>
    <w:basedOn w:val="929"/>
    <w:uiPriority w:val="99"/>
    <w:unhideWhenUsed/>
    <w:rPr>
      <w:color w:val="0563c1" w:themeColor="hyperlink"/>
      <w:u w:val="single"/>
    </w:rPr>
  </w:style>
  <w:style w:type="paragraph" w:styleId="940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41" w:customStyle="1">
    <w:name w:val="ConsPlusNormal"/>
    <w:link w:val="84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://pandia.ru/text/category/tehnika_bezopasnosti/" TargetMode="External"/><Relationship Id="rId14" Type="http://schemas.openxmlformats.org/officeDocument/2006/relationships/hyperlink" Target="http://pandia.ru/text/category/pozharnaya_bezopasnostmz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19</cp:revision>
  <dcterms:created xsi:type="dcterms:W3CDTF">2023-10-13T09:26:00Z</dcterms:created>
  <dcterms:modified xsi:type="dcterms:W3CDTF">2026-07-27T12:49:01Z</dcterms:modified>
</cp:coreProperties>
</file>