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B6839">
      <w:pPr>
        <w:jc w:val="center"/>
        <w:rPr>
          <w:b/>
          <w:bCs/>
          <w:color w:val="000000"/>
          <w:spacing w:val="3"/>
          <w:lang w:val="en-US"/>
        </w:rPr>
      </w:pPr>
    </w:p>
    <w:p w14:paraId="47542CD3">
      <w:pPr>
        <w:jc w:val="center"/>
        <w:rPr>
          <w:b/>
          <w:bCs/>
          <w:color w:val="000000"/>
          <w:spacing w:val="3"/>
          <w:sz w:val="26"/>
          <w:szCs w:val="26"/>
        </w:rPr>
      </w:pPr>
      <w:r>
        <w:rPr>
          <w:b/>
          <w:bCs/>
          <w:color w:val="000000"/>
          <w:spacing w:val="3"/>
          <w:sz w:val="26"/>
          <w:szCs w:val="26"/>
        </w:rPr>
        <w:t>ОПИСАНИЕ ОБЪЕКТА ЗАКУПКИ</w:t>
      </w:r>
    </w:p>
    <w:p w14:paraId="01D5B603">
      <w:pPr>
        <w:jc w:val="center"/>
        <w:rPr>
          <w:b/>
          <w:bCs/>
          <w:color w:val="000000"/>
          <w:spacing w:val="3"/>
          <w:sz w:val="26"/>
          <w:szCs w:val="26"/>
        </w:rPr>
      </w:pPr>
    </w:p>
    <w:p w14:paraId="4A12F0B2">
      <w:pPr>
        <w:jc w:val="center"/>
        <w:rPr>
          <w:b/>
        </w:rPr>
      </w:pPr>
      <w:r>
        <w:rPr>
          <w:b/>
        </w:rPr>
        <w:t>ТЕХНИЧЕСКОЕ ЗАДАНИЕ</w:t>
      </w:r>
    </w:p>
    <w:p w14:paraId="38155B65">
      <w:pPr>
        <w:jc w:val="center"/>
        <w:rPr>
          <w:b/>
          <w:bCs/>
          <w:color w:val="000000"/>
          <w:spacing w:val="3"/>
          <w:sz w:val="26"/>
          <w:szCs w:val="26"/>
        </w:rPr>
      </w:pPr>
      <w:r>
        <w:rPr>
          <w:b/>
          <w:bCs/>
          <w:color w:val="000000"/>
          <w:spacing w:val="3"/>
          <w:sz w:val="26"/>
          <w:szCs w:val="26"/>
        </w:rPr>
        <w:t>Поставка кондиционера бытового</w:t>
      </w:r>
    </w:p>
    <w:p w14:paraId="4F5CFE0C">
      <w:pPr>
        <w:rPr>
          <w:b/>
        </w:rPr>
      </w:pPr>
      <w:r>
        <w:rPr>
          <w:b/>
        </w:rPr>
        <w:t>1.  Описание объекта закупки:</w:t>
      </w: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405"/>
        <w:gridCol w:w="3261"/>
        <w:gridCol w:w="2126"/>
        <w:gridCol w:w="1134"/>
        <w:gridCol w:w="992"/>
      </w:tblGrid>
      <w:tr w14:paraId="3E70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27F2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D99A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Товара/ КТРУ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FC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A1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F72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11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Кол-во, шт.</w:t>
            </w:r>
          </w:p>
        </w:tc>
      </w:tr>
      <w:tr w14:paraId="40DE1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EE7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4D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Кондиционер бытовой (Сплит-система)</w:t>
            </w:r>
          </w:p>
          <w:p w14:paraId="63B271AE">
            <w:pPr>
              <w:jc w:val="center"/>
              <w:rPr>
                <w:sz w:val="22"/>
                <w:szCs w:val="22"/>
              </w:rPr>
            </w:pPr>
          </w:p>
          <w:p w14:paraId="41C472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Kentatsu KSGA53HFRN1-KSRA53HFRN1 или эквивалент</w:t>
            </w:r>
          </w:p>
          <w:p w14:paraId="6E56DF70">
            <w:pPr>
              <w:jc w:val="center"/>
              <w:rPr>
                <w:sz w:val="22"/>
                <w:szCs w:val="22"/>
              </w:rPr>
            </w:pPr>
          </w:p>
          <w:p w14:paraId="2FE16A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КТРУ 28.25.12.130-00000010</w:t>
            </w:r>
          </w:p>
          <w:p w14:paraId="64479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55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Вид кондиционера: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6CD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Сплит-система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D2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D37D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33463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3C95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B517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color="auto" w:sz="4" w:space="0"/>
            </w:tcBorders>
          </w:tcPr>
          <w:p w14:paraId="64B41FE1">
            <w:pPr>
              <w:pStyle w:val="2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Дополнительные функции:</w:t>
            </w:r>
          </w:p>
        </w:tc>
        <w:tc>
          <w:tcPr>
            <w:tcW w:w="2126" w:type="dxa"/>
            <w:shd w:val="clear" w:color="auto" w:fill="auto"/>
          </w:tcPr>
          <w:p w14:paraId="23EEC1B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Режим автоматической поддержки температуры.</w:t>
            </w: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7BA70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AD32A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14:paraId="1F6C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534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D1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color="auto" w:sz="4" w:space="0"/>
            </w:tcBorders>
          </w:tcPr>
          <w:p w14:paraId="49E191AD">
            <w:pPr>
              <w:pStyle w:val="2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Класс энергоэффективности не ниже (в режиме нагрева)</w:t>
            </w:r>
          </w:p>
        </w:tc>
        <w:tc>
          <w:tcPr>
            <w:tcW w:w="2126" w:type="dxa"/>
            <w:shd w:val="clear" w:color="auto" w:fill="auto"/>
          </w:tcPr>
          <w:p w14:paraId="49852D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ниже А</w:t>
            </w: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2AD198D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98D55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14:paraId="6FBD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F6BED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C37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color="auto" w:sz="4" w:space="0"/>
            </w:tcBorders>
          </w:tcPr>
          <w:p w14:paraId="698D2904">
            <w:pPr>
              <w:pStyle w:val="2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Мощность в режиме охлаждения</w:t>
            </w:r>
          </w:p>
        </w:tc>
        <w:tc>
          <w:tcPr>
            <w:tcW w:w="2126" w:type="dxa"/>
            <w:shd w:val="clear" w:color="auto" w:fill="auto"/>
          </w:tcPr>
          <w:p w14:paraId="626BC989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≥ 5</w:t>
            </w: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3B3358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Киловатт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70A2C2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14:paraId="6589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4014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8F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color="auto" w:sz="4" w:space="0"/>
            </w:tcBorders>
          </w:tcPr>
          <w:p w14:paraId="561FF377">
            <w:pPr>
              <w:pStyle w:val="2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Мощность в режиме нагрева                     </w:t>
            </w:r>
          </w:p>
        </w:tc>
        <w:tc>
          <w:tcPr>
            <w:tcW w:w="2126" w:type="dxa"/>
            <w:shd w:val="clear" w:color="auto" w:fill="auto"/>
          </w:tcPr>
          <w:p w14:paraId="0BED5D3F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≥ 5</w:t>
            </w: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550CCE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Киловатт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82708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14:paraId="1ADB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D1B1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D227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left w:val="single" w:color="auto" w:sz="4" w:space="0"/>
            </w:tcBorders>
          </w:tcPr>
          <w:p w14:paraId="42132ED6">
            <w:pPr>
              <w:pStyle w:val="2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Наличие пульта дистанционного управления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EC6D995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Да</w:t>
            </w: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00718370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4CDFD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14:paraId="09FC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EC206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DC4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continue"/>
            <w:tcBorders>
              <w:left w:val="single" w:color="auto" w:sz="4" w:space="0"/>
            </w:tcBorders>
          </w:tcPr>
          <w:p w14:paraId="20D93F58">
            <w:pPr>
              <w:pStyle w:val="24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vMerge w:val="continue"/>
            <w:shd w:val="clear" w:color="auto" w:fill="auto"/>
          </w:tcPr>
          <w:p w14:paraId="4C1D89FB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</w:tcPr>
          <w:p w14:paraId="6C443E1F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55482C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14:paraId="1657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E897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760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color="auto" w:sz="4" w:space="0"/>
            </w:tcBorders>
          </w:tcPr>
          <w:p w14:paraId="604C4DCF">
            <w:pPr>
              <w:pStyle w:val="2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Режим работы кондиционера</w:t>
            </w:r>
          </w:p>
        </w:tc>
        <w:tc>
          <w:tcPr>
            <w:tcW w:w="2126" w:type="dxa"/>
            <w:shd w:val="clear" w:color="auto" w:fill="auto"/>
          </w:tcPr>
          <w:p w14:paraId="659A44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Обогрев/ охлаждение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</w:tcPr>
          <w:p w14:paraId="528105E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FC88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14:paraId="34927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C9F5D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99D3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color="auto" w:sz="4" w:space="0"/>
            </w:tcBorders>
          </w:tcPr>
          <w:p w14:paraId="2EB27048">
            <w:pPr>
              <w:pStyle w:val="2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Тип внутреннего блока: </w:t>
            </w:r>
          </w:p>
        </w:tc>
        <w:tc>
          <w:tcPr>
            <w:tcW w:w="2126" w:type="dxa"/>
            <w:shd w:val="clear" w:color="auto" w:fill="auto"/>
          </w:tcPr>
          <w:p w14:paraId="7D97833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Настенный</w:t>
            </w: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62BCEBE7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361DD2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2C12B682">
      <w:pPr>
        <w:rPr>
          <w:sz w:val="22"/>
          <w:szCs w:val="22"/>
          <w:shd w:val="clear" w:color="auto" w:fill="FFFFFF"/>
        </w:rPr>
      </w:pPr>
    </w:p>
    <w:p w14:paraId="0BE237BB">
      <w:pPr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Длина дренажной трассы до 3 метров</w:t>
      </w:r>
    </w:p>
    <w:p w14:paraId="12C7EC4B">
      <w:pPr>
        <w:rPr>
          <w:sz w:val="22"/>
          <w:szCs w:val="22"/>
          <w:shd w:val="clear" w:color="auto" w:fill="FFFFFF"/>
        </w:rPr>
      </w:pPr>
    </w:p>
    <w:p w14:paraId="5F5B2635">
      <w:pPr>
        <w:ind w:left="-851" w:firstLine="851"/>
        <w:rPr>
          <w:b/>
          <w:lang w:eastAsia="ar-SA"/>
        </w:rPr>
      </w:pPr>
      <w:r>
        <w:rPr>
          <w:b/>
          <w:lang w:eastAsia="ar-SA"/>
        </w:rPr>
        <w:t>2. Место поставки и установки Товара:</w:t>
      </w:r>
    </w:p>
    <w:p w14:paraId="57E9D948">
      <w:pPr>
        <w:ind w:firstLine="567"/>
        <w:jc w:val="both"/>
      </w:pPr>
      <w:r>
        <w:rPr>
          <w:lang w:eastAsia="ar-SA"/>
        </w:rPr>
        <w:t>2.1. Демонтаж старого кондиционера, поставка нового, разгрузка, поднятие на этаж и установка Товара производятся за счет Поставщика по адресу: г. Хабаровск, ул. Ким Ю Чена, 65</w:t>
      </w:r>
      <w:r>
        <w:t xml:space="preserve">: </w:t>
      </w:r>
    </w:p>
    <w:tbl>
      <w:tblPr>
        <w:tblStyle w:val="4"/>
        <w:tblW w:w="955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148"/>
        <w:gridCol w:w="2409"/>
        <w:gridCol w:w="1701"/>
        <w:gridCol w:w="1588"/>
      </w:tblGrid>
      <w:tr w14:paraId="3489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</w:tcPr>
          <w:p w14:paraId="1A30FA75">
            <w:pPr>
              <w:spacing w:line="240" w:lineRule="exact"/>
              <w:ind w:right="-1"/>
              <w:jc w:val="center"/>
              <w:rPr>
                <w:smallCaps/>
              </w:rPr>
            </w:pPr>
            <w:r>
              <w:rPr>
                <w:b/>
              </w:rPr>
              <w:t>№ п/п</w:t>
            </w:r>
          </w:p>
        </w:tc>
        <w:tc>
          <w:tcPr>
            <w:tcW w:w="3148" w:type="dxa"/>
          </w:tcPr>
          <w:p w14:paraId="3FD78C52">
            <w:pPr>
              <w:spacing w:line="240" w:lineRule="exact"/>
              <w:ind w:right="-1"/>
              <w:jc w:val="center"/>
              <w:rPr>
                <w:smallCaps/>
              </w:rPr>
            </w:pPr>
            <w:r>
              <w:rPr>
                <w:b/>
              </w:rPr>
              <w:t>Место (адрес) доставки, монтажа Товара</w:t>
            </w:r>
          </w:p>
        </w:tc>
        <w:tc>
          <w:tcPr>
            <w:tcW w:w="2409" w:type="dxa"/>
          </w:tcPr>
          <w:p w14:paraId="171A64E2">
            <w:pPr>
              <w:spacing w:line="240" w:lineRule="exact"/>
              <w:ind w:right="-1"/>
              <w:jc w:val="center"/>
              <w:rPr>
                <w:b/>
                <w:smallCaps/>
              </w:rPr>
            </w:pPr>
            <w:r>
              <w:rPr>
                <w:b/>
              </w:rPr>
              <w:t>Помещения, №</w:t>
            </w:r>
          </w:p>
        </w:tc>
        <w:tc>
          <w:tcPr>
            <w:tcW w:w="1701" w:type="dxa"/>
          </w:tcPr>
          <w:p w14:paraId="57269666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Кол-во </w:t>
            </w:r>
          </w:p>
          <w:p w14:paraId="2979AB6A">
            <w:pPr>
              <w:spacing w:line="240" w:lineRule="exact"/>
              <w:jc w:val="center"/>
              <w:rPr>
                <w:smallCaps/>
              </w:rPr>
            </w:pPr>
            <w:r>
              <w:rPr>
                <w:b/>
              </w:rPr>
              <w:t>Товара, шт</w:t>
            </w:r>
          </w:p>
        </w:tc>
        <w:tc>
          <w:tcPr>
            <w:tcW w:w="1588" w:type="dxa"/>
          </w:tcPr>
          <w:p w14:paraId="15022C62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Этаж монтажа</w:t>
            </w:r>
          </w:p>
        </w:tc>
      </w:tr>
      <w:tr w14:paraId="1937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</w:tcPr>
          <w:p w14:paraId="2BFAA01C">
            <w:pPr>
              <w:tabs>
                <w:tab w:val="left" w:pos="540"/>
              </w:tabs>
              <w:spacing w:line="24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148" w:type="dxa"/>
            <w:vAlign w:val="center"/>
          </w:tcPr>
          <w:p w14:paraId="61DC8903">
            <w:pPr>
              <w:spacing w:line="240" w:lineRule="exact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г. Хабаровск, </w:t>
            </w:r>
          </w:p>
          <w:p w14:paraId="4441E061">
            <w:pPr>
              <w:spacing w:line="240" w:lineRule="exact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 Ким Ю Чена, д. 65, </w:t>
            </w:r>
          </w:p>
        </w:tc>
        <w:tc>
          <w:tcPr>
            <w:tcW w:w="2409" w:type="dxa"/>
            <w:vAlign w:val="center"/>
          </w:tcPr>
          <w:p w14:paraId="29462711">
            <w:pPr>
              <w:spacing w:line="240" w:lineRule="exact"/>
              <w:jc w:val="center"/>
              <w:rPr>
                <w:rFonts w:eastAsia="Calibri"/>
                <w:bCs/>
                <w:lang w:eastAsia="en-US"/>
              </w:rPr>
            </w:pPr>
          </w:p>
          <w:p w14:paraId="14B7120F">
            <w:pPr>
              <w:spacing w:line="240" w:lineRule="exact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Кабинет 105</w:t>
            </w:r>
          </w:p>
          <w:p w14:paraId="2F73F61B">
            <w:pPr>
              <w:spacing w:line="240" w:lineRule="exact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39A97A0">
            <w:pPr>
              <w:tabs>
                <w:tab w:val="left" w:pos="540"/>
              </w:tabs>
              <w:spacing w:line="240" w:lineRule="exact"/>
              <w:jc w:val="center"/>
            </w:pPr>
            <w:r>
              <w:t>1</w:t>
            </w:r>
          </w:p>
        </w:tc>
        <w:tc>
          <w:tcPr>
            <w:tcW w:w="1588" w:type="dxa"/>
            <w:vAlign w:val="center"/>
          </w:tcPr>
          <w:p w14:paraId="1EBF4ABE">
            <w:pPr>
              <w:tabs>
                <w:tab w:val="left" w:pos="540"/>
              </w:tabs>
              <w:spacing w:line="240" w:lineRule="exact"/>
              <w:jc w:val="center"/>
            </w:pPr>
            <w:r>
              <w:t xml:space="preserve">1 этаж, высота размещения наружного блока 5,5 метров </w:t>
            </w:r>
          </w:p>
        </w:tc>
      </w:tr>
    </w:tbl>
    <w:p w14:paraId="0B28F087">
      <w:pPr>
        <w:ind w:left="-851" w:firstLine="851"/>
        <w:rPr>
          <w:b/>
          <w:lang w:eastAsia="ar-SA"/>
        </w:rPr>
      </w:pPr>
    </w:p>
    <w:p w14:paraId="2CF0B7A1">
      <w:pPr>
        <w:suppressAutoHyphens/>
        <w:rPr>
          <w:lang w:eastAsia="ar-SA"/>
        </w:rPr>
      </w:pPr>
      <w:r>
        <w:rPr>
          <w:b/>
          <w:lang w:eastAsia="ar-SA"/>
        </w:rPr>
        <w:t>4. Срок поставки и установки Товара:</w:t>
      </w:r>
      <w:r>
        <w:rPr>
          <w:lang w:eastAsia="ar-SA"/>
        </w:rPr>
        <w:t xml:space="preserve"> </w:t>
      </w:r>
    </w:p>
    <w:p w14:paraId="1F55881E">
      <w:pPr>
        <w:jc w:val="both"/>
      </w:pPr>
      <w:r>
        <w:t xml:space="preserve">        3.1. Поставщик самостоятельно доставляет Товар Заказчику по адресу, указанному в п. 2.1 </w:t>
      </w:r>
      <w:r>
        <w:rPr>
          <w:rFonts w:eastAsiaTheme="minorHAnsi"/>
          <w:color w:val="000000"/>
          <w:lang w:eastAsia="en-US"/>
        </w:rPr>
        <w:t>настоящего технического задания</w:t>
      </w:r>
      <w:r>
        <w:t xml:space="preserve"> (далее – место доставки), в течении 14 календарного дня с момента заключения Контакта. </w:t>
      </w:r>
    </w:p>
    <w:p w14:paraId="610F157A">
      <w:pPr>
        <w:jc w:val="both"/>
      </w:pPr>
      <w:r>
        <w:rPr>
          <w:bCs/>
        </w:rPr>
        <w:t xml:space="preserve">       </w:t>
      </w:r>
      <w:r>
        <w:t xml:space="preserve"> 3.2. Поставщик не менее чем за 3 (три) дня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4AE2DE85">
      <w:pPr>
        <w:jc w:val="both"/>
      </w:pPr>
      <w:r>
        <w:t xml:space="preserve">        3.3. </w:t>
      </w:r>
      <w:bookmarkStart w:id="0" w:name="_GoBack"/>
      <w:r>
        <w:t>Поставка Товара включает в себя его установку, в том числе все необходимые материалы, необходимые для установки, подготовку мест для установки и осуществляется за счет средств Поставщика.</w:t>
      </w:r>
      <w:r>
        <w:rPr>
          <w:rFonts w:eastAsia="Calibri"/>
          <w:color w:val="000000"/>
        </w:rPr>
        <w:t xml:space="preserve"> Поставщик должен осуществить установку Товара (кондиционера) в установленные для поставки Товара сроки. </w:t>
      </w:r>
    </w:p>
    <w:bookmarkEnd w:id="0"/>
    <w:p w14:paraId="09C0EB26">
      <w:pPr>
        <w:jc w:val="both"/>
      </w:pPr>
      <w:r>
        <w:t xml:space="preserve">        3.4. Поставщик должен производить работы по установке Товара с учетом требований Приказ Минтруда России от 16.11.2020 № 782н «Об утверждении Правил по охране труда при работе на высоте».</w:t>
      </w:r>
    </w:p>
    <w:p w14:paraId="7AF31DE7">
      <w:pPr>
        <w:autoSpaceDE w:val="0"/>
        <w:autoSpaceDN w:val="0"/>
        <w:adjustRightInd w:val="0"/>
        <w:spacing w:line="240" w:lineRule="atLeast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3.5. Места, этажи установки внешних и внутренних блоков, удаленность оборудования до точки подключения к электрической сети и другая информация необходимая для монтажа оборудования в помещениях Заказчика согласовывается с уполномоченным представителем Заказчика</w:t>
      </w:r>
      <w:r>
        <w:t xml:space="preserve">. </w:t>
      </w:r>
    </w:p>
    <w:p w14:paraId="3903A6AC">
      <w:pPr>
        <w:jc w:val="both"/>
      </w:pPr>
      <w:r>
        <w:t xml:space="preserve">        3.6. Доставка Товара должна осуществляется транспортом Поставщика.</w:t>
      </w:r>
    </w:p>
    <w:p w14:paraId="4B591E67">
      <w:pPr>
        <w:jc w:val="both"/>
      </w:pPr>
      <w:r>
        <w:t xml:space="preserve">        3.7. Разгрузка Товара в месте установки должна осуществляться силами Поставщика.</w:t>
      </w:r>
    </w:p>
    <w:p w14:paraId="0C5CCB27">
      <w:pPr>
        <w:jc w:val="both"/>
        <w:rPr>
          <w:rFonts w:eastAsia="Calibri"/>
        </w:rPr>
      </w:pPr>
      <w:r>
        <w:rPr>
          <w:rFonts w:eastAsia="Calibri"/>
        </w:rPr>
        <w:t xml:space="preserve">        3.8. Работоспособность Товара должна быть проверена в присутствии Заказчика.</w:t>
      </w:r>
    </w:p>
    <w:p w14:paraId="0FB9C06A">
      <w:pPr>
        <w:jc w:val="both"/>
      </w:pPr>
      <w:r>
        <w:t xml:space="preserve">        3.9. Поставщик за свой счет и своими силами должен произвести уборку упаковки и прочего мусора, образовавшегося в ходе приемки и установки Товара.</w:t>
      </w:r>
    </w:p>
    <w:p w14:paraId="62151D14">
      <w:pPr>
        <w:jc w:val="both"/>
      </w:pPr>
      <w:r>
        <w:t xml:space="preserve">        3.10. Для сборки Товара Поставщик должен использовать собственный инструмент.</w:t>
      </w:r>
    </w:p>
    <w:p w14:paraId="4AD21E53">
      <w:pPr>
        <w:jc w:val="both"/>
      </w:pPr>
      <w:r>
        <w:t xml:space="preserve">        3.11. Установка Товара в помещениях Заказчика должна проводиться в течение рабочего дня и рабочего времени Заказчика (понедельник - пятница с 10:00 до 17:00).</w:t>
      </w:r>
    </w:p>
    <w:p w14:paraId="05EBE2A2">
      <w:pPr>
        <w:jc w:val="both"/>
      </w:pPr>
    </w:p>
    <w:p w14:paraId="6D4299D2">
      <w:pPr>
        <w:suppressAutoHyphens/>
        <w:jc w:val="both"/>
        <w:rPr>
          <w:b/>
        </w:rPr>
      </w:pPr>
      <w:r>
        <w:rPr>
          <w:b/>
        </w:rPr>
        <w:t>4. Общие требования к Т</w:t>
      </w:r>
      <w:r>
        <w:rPr>
          <w:b/>
          <w:lang w:eastAsia="ar-SA"/>
        </w:rPr>
        <w:t>овару и расходным материалам:</w:t>
      </w:r>
    </w:p>
    <w:p w14:paraId="60AAFA83">
      <w:pPr>
        <w:suppressAutoHyphens/>
        <w:ind w:firstLine="567"/>
        <w:jc w:val="both"/>
        <w:rPr>
          <w:lang w:eastAsia="ar-SA"/>
        </w:rPr>
      </w:pPr>
      <w:r>
        <w:t>4.1. Поставляемый Т</w:t>
      </w:r>
      <w:r>
        <w:rPr>
          <w:lang w:eastAsia="ar-SA"/>
        </w:rPr>
        <w:t>овар должен быть новым, произведенным не ранее 2022 года, ранее не испол</w:t>
      </w:r>
      <w:r>
        <w:t>ьзованным (все составные части Т</w:t>
      </w:r>
      <w:r>
        <w:rPr>
          <w:lang w:eastAsia="ar-SA"/>
        </w:rPr>
        <w:t>овара должны быть новыми), не восстановленным и не содержать восстановленных элементов, не должен иметь дефектов, связанных с конструкцией, материалами или функционированием при штатном их использовании</w:t>
      </w:r>
      <w:r>
        <w:t>, иметь средства идентификации, используемые производителем для защиты от подделки.</w:t>
      </w:r>
      <w:r>
        <w:rPr>
          <w:lang w:eastAsia="ar-SA"/>
        </w:rPr>
        <w:t xml:space="preserve"> </w:t>
      </w:r>
    </w:p>
    <w:p w14:paraId="5DC27278">
      <w:pPr>
        <w:jc w:val="both"/>
      </w:pPr>
      <w:r>
        <w:t xml:space="preserve">          4</w:t>
      </w:r>
      <w:r>
        <w:rPr>
          <w:lang w:eastAsia="ar-SA"/>
        </w:rPr>
        <w:t>.2.</w:t>
      </w:r>
      <w:r>
        <w:t xml:space="preserve">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58C9FE92">
      <w:pPr>
        <w:suppressAutoHyphens/>
        <w:ind w:firstLine="567"/>
        <w:jc w:val="both"/>
        <w:rPr>
          <w:lang w:eastAsia="ar-SA"/>
        </w:rPr>
      </w:pPr>
      <w:r>
        <w:t xml:space="preserve">4.3. </w:t>
      </w:r>
      <w:r>
        <w:rPr>
          <w:lang w:eastAsia="ar-SA"/>
        </w:rPr>
        <w:t>Товар должен быть в свободном использовании на территории Российской Федерации.</w:t>
      </w:r>
    </w:p>
    <w:p w14:paraId="4E548289">
      <w:pPr>
        <w:suppressAutoHyphens/>
        <w:ind w:firstLine="567"/>
        <w:jc w:val="both"/>
        <w:rPr>
          <w:lang w:eastAsia="ar-SA"/>
        </w:rPr>
      </w:pPr>
      <w:r>
        <w:t>4</w:t>
      </w:r>
      <w:r>
        <w:rPr>
          <w:lang w:eastAsia="ar-SA"/>
        </w:rPr>
        <w:t>.4. Товар должен быть свободен от прав и притязаний третьих лиц, не находиться под запретом (арестом), в залоге.</w:t>
      </w:r>
    </w:p>
    <w:p w14:paraId="05899687">
      <w:pPr>
        <w:suppressAutoHyphens/>
        <w:ind w:firstLine="567"/>
        <w:jc w:val="both"/>
        <w:rPr>
          <w:lang w:eastAsia="ar-SA"/>
        </w:rPr>
      </w:pPr>
      <w:r>
        <w:t>4</w:t>
      </w:r>
      <w:r>
        <w:rPr>
          <w:lang w:eastAsia="ar-SA"/>
        </w:rPr>
        <w:t>.5. Не допуск</w:t>
      </w:r>
      <w:r>
        <w:t>аются механические повреждения Т</w:t>
      </w:r>
      <w:r>
        <w:rPr>
          <w:lang w:eastAsia="ar-SA"/>
        </w:rPr>
        <w:t>овара - царапины, сколы, трещины, в том числе допущенные при транспортировке, разгрузке и</w:t>
      </w:r>
      <w:r>
        <w:t xml:space="preserve"> установке Т</w:t>
      </w:r>
      <w:r>
        <w:rPr>
          <w:lang w:eastAsia="ar-SA"/>
        </w:rPr>
        <w:t>овара.</w:t>
      </w:r>
    </w:p>
    <w:p w14:paraId="0978A6AA">
      <w:pPr>
        <w:suppressAutoHyphens/>
        <w:ind w:firstLine="567"/>
        <w:jc w:val="both"/>
        <w:rPr>
          <w:lang w:eastAsia="ar-SA"/>
        </w:rPr>
      </w:pPr>
      <w:r>
        <w:t>4</w:t>
      </w:r>
      <w:r>
        <w:rPr>
          <w:lang w:eastAsia="ar-SA"/>
        </w:rPr>
        <w:t xml:space="preserve">.6. При исполнении </w:t>
      </w:r>
      <w:r>
        <w:t>К</w:t>
      </w:r>
      <w:r>
        <w:rPr>
          <w:lang w:eastAsia="ar-SA"/>
        </w:rPr>
        <w:t xml:space="preserve">онтракта (за исключением случаев, которые предусмотрены нормативными правовыми актами, принятыми в соответствии с </w:t>
      </w:r>
      <w:r>
        <w:fldChar w:fldCharType="begin"/>
      </w:r>
      <w:r>
        <w:instrText xml:space="preserve"> HYPERLINK "consultantplus://offline/ref=D6F294179751615EB2A64ADF9C4D1FFCF8B07E8516B4AA9EA662F4786F43E36380C2E1CB059BBFEDDD71F57FB2BB989150F68A4521DF65E" </w:instrText>
      </w:r>
      <w:r>
        <w:fldChar w:fldCharType="separate"/>
      </w:r>
      <w:r>
        <w:rPr>
          <w:lang w:eastAsia="ar-SA"/>
        </w:rPr>
        <w:t>частью 6 статьи 14</w:t>
      </w:r>
      <w:r>
        <w:rPr>
          <w:lang w:eastAsia="ar-SA"/>
        </w:rPr>
        <w:fldChar w:fldCharType="end"/>
      </w:r>
      <w:r>
        <w:rPr>
          <w:lang w:eastAsia="ar-SA"/>
        </w:rPr>
        <w:t xml:space="preserve"> </w:t>
      </w:r>
      <w:r>
        <w:t>З</w:t>
      </w:r>
      <w:r>
        <w:rPr>
          <w:lang w:eastAsia="ar-SA"/>
        </w:rPr>
        <w:t>акона № 44-ФЗ) по согласованию Заказчика с По</w:t>
      </w:r>
      <w:r>
        <w:t>ставщиком допускается поставка Т</w:t>
      </w:r>
      <w:r>
        <w:rPr>
          <w:lang w:eastAsia="ar-SA"/>
        </w:rPr>
        <w:t xml:space="preserve">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t>К</w:t>
      </w:r>
      <w:r>
        <w:rPr>
          <w:lang w:eastAsia="ar-SA"/>
        </w:rPr>
        <w:t xml:space="preserve">онтракте. </w:t>
      </w:r>
    </w:p>
    <w:p w14:paraId="47745314">
      <w:pPr>
        <w:suppressAutoHyphens/>
        <w:ind w:firstLine="567"/>
        <w:jc w:val="both"/>
      </w:pPr>
      <w:r>
        <w:t>4</w:t>
      </w:r>
      <w:r>
        <w:rPr>
          <w:lang w:eastAsia="ar-SA"/>
        </w:rPr>
        <w:t xml:space="preserve">.7. </w:t>
      </w:r>
      <w:r>
        <w:t>Требование к энергоэффективности в соответствии с п. 7 Правил установления энергетической эффективности, утвержденных Постановлением Правительства РФ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</w:t>
      </w:r>
    </w:p>
    <w:p w14:paraId="2D32C953">
      <w:pPr>
        <w:suppressAutoHyphens/>
        <w:ind w:firstLine="567"/>
        <w:jc w:val="both"/>
      </w:pPr>
      <w:r>
        <w:t xml:space="preserve">4.8. Требования к энергоэффективности в соответствии с разделом </w:t>
      </w:r>
      <w:r>
        <w:rPr>
          <w:lang w:val="en-US"/>
        </w:rPr>
        <w:t>IV</w:t>
      </w:r>
      <w:r>
        <w:t xml:space="preserve"> Приказа Минэкономразвития России от 22.03.2021 № 131 "О требованиях энергетической эффективности в отношении товаров, указанных в приложении к Правилам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утвержденным постановлением Правительства Российской Федерации от 31 декабря 2009 г. N 1221" (Зарегистрировано в Минюсте России 20.05.2021 № 63533)</w:t>
      </w:r>
    </w:p>
    <w:p w14:paraId="5E50F577">
      <w:pPr>
        <w:shd w:val="clear" w:color="auto" w:fill="FFFFFF"/>
        <w:jc w:val="both"/>
        <w:rPr>
          <w:b/>
        </w:rPr>
      </w:pPr>
      <w:r>
        <w:rPr>
          <w:b/>
        </w:rPr>
        <w:t>5. Требования к упаковке Товара.</w:t>
      </w:r>
    </w:p>
    <w:p w14:paraId="0F58D570">
      <w:pPr>
        <w:suppressAutoHyphens/>
        <w:ind w:firstLine="567"/>
        <w:jc w:val="both"/>
      </w:pPr>
      <w:r>
        <w:t>5</w:t>
      </w:r>
      <w:r>
        <w:rPr>
          <w:lang w:eastAsia="ar-SA"/>
        </w:rPr>
        <w:t xml:space="preserve">.1. </w:t>
      </w:r>
      <w:r>
        <w:t>Товар должен быть упакован и замаркирован в соответствии с действующими стандартами и с учетом требований Постановления Правительства РФ от 31.12.2009 № 1222 «О видах и характеристиках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 определения производителями, импортерами класса энергетической эффективности товара».</w:t>
      </w:r>
    </w:p>
    <w:p w14:paraId="748B6F3F">
      <w:pPr>
        <w:pStyle w:val="14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5.2. Товар должен быть упакован и замаркирован в соответствии с действующими стандартами.</w:t>
      </w:r>
    </w:p>
    <w:p w14:paraId="510A6349">
      <w:pPr>
        <w:jc w:val="both"/>
      </w:pPr>
      <w:r>
        <w:t xml:space="preserve">        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5CE2185">
      <w:pPr>
        <w:keepNext/>
        <w:tabs>
          <w:tab w:val="left" w:pos="-142"/>
        </w:tabs>
        <w:ind w:right="-2"/>
        <w:jc w:val="both"/>
        <w:outlineLvl w:val="0"/>
      </w:pPr>
      <w:r>
        <w:t xml:space="preserve">         5.3. Внутри упаковки должны быть приложены инструкции по использованию на русском языке,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потребителю гарантии производителя.</w:t>
      </w:r>
    </w:p>
    <w:p w14:paraId="1231F892">
      <w:pPr>
        <w:shd w:val="clear" w:color="auto" w:fill="FFFFFF"/>
        <w:ind w:firstLine="567"/>
        <w:jc w:val="both"/>
      </w:pPr>
      <w:r>
        <w:t>5.4. Места, требующие специального обращения, должны иметь дополнительную маркировку: «Осторожно», «Верх», «Не кантовать».</w:t>
      </w:r>
    </w:p>
    <w:p w14:paraId="7918341C">
      <w:pPr>
        <w:shd w:val="clear" w:color="auto" w:fill="FFFFFF"/>
        <w:ind w:firstLine="567"/>
        <w:jc w:val="both"/>
      </w:pPr>
      <w:r>
        <w:t>5.5. Поставщик несет ответственность за все потери и или повреждения, вызванные неправильной упаковкой Товара.</w:t>
      </w:r>
    </w:p>
    <w:p w14:paraId="3F99185B">
      <w:pPr>
        <w:shd w:val="clear" w:color="auto" w:fill="FFFFFF"/>
        <w:ind w:firstLine="567"/>
        <w:jc w:val="both"/>
      </w:pPr>
    </w:p>
    <w:p w14:paraId="7E31741B">
      <w:pPr>
        <w:shd w:val="clear" w:color="auto" w:fill="FFFFFF"/>
        <w:jc w:val="both"/>
        <w:rPr>
          <w:b/>
          <w:bCs/>
          <w:lang w:eastAsia="ar-SA"/>
        </w:rPr>
      </w:pPr>
      <w:r>
        <w:rPr>
          <w:b/>
          <w:bCs/>
        </w:rPr>
        <w:t>6</w:t>
      </w:r>
      <w:r>
        <w:rPr>
          <w:b/>
          <w:bCs/>
          <w:lang w:eastAsia="ar-SA"/>
        </w:rPr>
        <w:t xml:space="preserve">. Гарантийные обязательства. </w:t>
      </w:r>
    </w:p>
    <w:p w14:paraId="50945DBD">
      <w:pPr>
        <w:shd w:val="clear" w:color="auto" w:fill="FFFFFF"/>
        <w:ind w:firstLine="567"/>
        <w:jc w:val="both"/>
      </w:pPr>
      <w:r>
        <w:rPr>
          <w:bCs/>
        </w:rPr>
        <w:t>6</w:t>
      </w:r>
      <w:r>
        <w:rPr>
          <w:bCs/>
          <w:lang w:eastAsia="ar-SA"/>
        </w:rPr>
        <w:t xml:space="preserve">.1. </w:t>
      </w:r>
      <w:r>
        <w:t>Поставщик гарантирует качество поставляемого Товара и качество его установки.</w:t>
      </w:r>
    </w:p>
    <w:p w14:paraId="086293EE">
      <w:pPr>
        <w:jc w:val="both"/>
      </w:pPr>
      <w:r>
        <w:t xml:space="preserve">         6.2. Гарантийный срок от Поставщика на установку Товара по Контракту составляет не менее 24 (Двадцати четырех) месяцев и начинает исчисляться с даты размещения в единой информационной системе документа о приемке, подписанного Заказчиком.</w:t>
      </w:r>
    </w:p>
    <w:p w14:paraId="6E9E6F87">
      <w:pPr>
        <w:shd w:val="clear" w:color="auto" w:fill="FFFFFF"/>
        <w:ind w:firstLine="567"/>
        <w:jc w:val="both"/>
        <w:rPr>
          <w:bCs/>
          <w:lang w:eastAsia="ar-SA"/>
        </w:rPr>
      </w:pPr>
      <w:r>
        <w:t>Гарантийный срок от производителя на поставленный Товар по Контракту составляет не менее 12 (Двенадцати) месяцев и начинает исчисляться с даты размещения в единой информационной системе документа о приемке, подписанного Заказчиком.</w:t>
      </w:r>
    </w:p>
    <w:p w14:paraId="3AE60612">
      <w:pPr>
        <w:shd w:val="clear" w:color="auto" w:fill="FFFFFF"/>
        <w:ind w:firstLine="567"/>
        <w:jc w:val="both"/>
        <w:rPr>
          <w:bCs/>
          <w:lang w:eastAsia="ar-SA"/>
        </w:rPr>
      </w:pPr>
      <w:r>
        <w:rPr>
          <w:bCs/>
        </w:rPr>
        <w:t>6</w:t>
      </w:r>
      <w:r>
        <w:rPr>
          <w:bCs/>
          <w:lang w:eastAsia="ar-SA"/>
        </w:rPr>
        <w:t>.</w:t>
      </w:r>
      <w:r>
        <w:rPr>
          <w:bCs/>
        </w:rPr>
        <w:t>3</w:t>
      </w:r>
      <w:r>
        <w:rPr>
          <w:bCs/>
          <w:lang w:eastAsia="ar-SA"/>
        </w:rPr>
        <w:t>. Под гарантийным обязательством подразум</w:t>
      </w:r>
      <w:r>
        <w:rPr>
          <w:bCs/>
        </w:rPr>
        <w:t>евается замена некачественного Т</w:t>
      </w:r>
      <w:r>
        <w:rPr>
          <w:bCs/>
          <w:lang w:eastAsia="ar-SA"/>
        </w:rPr>
        <w:t>овара, ремонт и (или) устранение недостатков по установке, в том числе устранение недостатков установки (подключени</w:t>
      </w:r>
      <w:r>
        <w:rPr>
          <w:bCs/>
        </w:rPr>
        <w:t>я) каждой поставленной единицы Т</w:t>
      </w:r>
      <w:r>
        <w:rPr>
          <w:bCs/>
          <w:lang w:eastAsia="ar-SA"/>
        </w:rPr>
        <w:t>овара за счёт средств и силами Поставщика.</w:t>
      </w:r>
      <w:r>
        <w:rPr>
          <w:bCs/>
        </w:rPr>
        <w:t xml:space="preserve"> Поставщик обеспечивает замену Т</w:t>
      </w:r>
      <w:r>
        <w:rPr>
          <w:bCs/>
          <w:lang w:eastAsia="ar-SA"/>
        </w:rPr>
        <w:t>овара на новый с аналогичными техническими и функциональными характеристиками в случае невозможности ремонта.</w:t>
      </w:r>
    </w:p>
    <w:p w14:paraId="19A409E9">
      <w:pPr>
        <w:ind w:firstLine="567"/>
        <w:jc w:val="both"/>
      </w:pPr>
      <w:r>
        <w:t xml:space="preserve">6.4. Если в течение гарантийного срока будут обнаружены недостатки Товара, Поставщик (в случае если не докажет отсутствие своей вины) обязан за свой счет в течение 10 (десяти) рабочих дней со дня поступления соответствующего уведомления от Заказчика произвести замену Товара или обеспечить его ремонт на месте эксплуатации Товара или в сервисном центре без каких-либо дополнительных затрат со стороны Заказчика. </w:t>
      </w:r>
    </w:p>
    <w:p w14:paraId="5148BEF6">
      <w:pPr>
        <w:ind w:firstLine="567"/>
        <w:jc w:val="both"/>
      </w:pPr>
      <w:r>
        <w:t xml:space="preserve">Общий срок гарантийного ремонта или замены каждой единицы Товара не должен превышать 10 (десять) рабочих дней со дня получения уведомления от Заказчика. </w:t>
      </w:r>
    </w:p>
    <w:p w14:paraId="4DC8198A">
      <w:pPr>
        <w:ind w:firstLine="567"/>
        <w:jc w:val="both"/>
      </w:pPr>
      <w:r>
        <w:t xml:space="preserve">Если в течение гарантийного срока Заказчиком будут обнаружены недостатки по установке, подключению Товара, Поставщик обязан за свой счёт в течение 10 (десяти) рабочих дней со дня поступления уведомления от Заказчика, устранить недостатки по установке и (или) подключению Товара. </w:t>
      </w:r>
    </w:p>
    <w:p w14:paraId="05E6C640">
      <w:pPr>
        <w:ind w:firstLine="567"/>
        <w:jc w:val="both"/>
      </w:pPr>
      <w:r>
        <w:t>В случае неудачной попытки вручения уведомления, при условии, что адресат указан верно, такое уведомление считается полученным Поставщиком по истечении 10 рабочих дней с момента отметки Почты России о неудачной попытке вручения.</w:t>
      </w:r>
    </w:p>
    <w:p w14:paraId="43993D66">
      <w:pPr>
        <w:ind w:firstLine="567"/>
        <w:jc w:val="both"/>
      </w:pPr>
      <w:r>
        <w:t>6.5. При замене каждой единицы Товара гарантийный срок исчисляется заново со дня передачи Товара Грузополучателем по акту приёмки-передачи заменённого Товара.</w:t>
      </w:r>
    </w:p>
    <w:p w14:paraId="012EF3D6">
      <w:pPr>
        <w:ind w:firstLine="567"/>
        <w:jc w:val="both"/>
      </w:pPr>
      <w:r>
        <w:t>Доставка каждой единицы Товара после замены или ремонта Товара до Заказчика осуществляется Поставщиком своими силами и за свой счёт.</w:t>
      </w:r>
    </w:p>
    <w:p w14:paraId="278B62AB">
      <w:pPr>
        <w:ind w:firstLine="567"/>
        <w:jc w:val="both"/>
      </w:pPr>
      <w:r>
        <w:t>6.6. При отказе выполнить гарантийные обязательства, установленные п. 6.3. Поставщик обязан в течение 2 (двух) рабочих дней со дня принятия такого решения письменно уведомить об этом Заказчика с указанием мотивированных причин такого отказа. При этом причинами отказа от выполнения гарантийных обязательств могут служить лишь нарушения Заказчиком правил эксплуатации и/или условий хранения Товара.</w:t>
      </w:r>
    </w:p>
    <w:p w14:paraId="00DEA05E">
      <w:pPr>
        <w:jc w:val="both"/>
        <w:rPr>
          <w:b/>
        </w:rPr>
      </w:pPr>
    </w:p>
    <w:p w14:paraId="7F9305B9">
      <w:pPr>
        <w:jc w:val="both"/>
        <w:rPr>
          <w:b/>
        </w:rPr>
      </w:pPr>
      <w:r>
        <w:rPr>
          <w:b/>
        </w:rPr>
        <w:t>7. Требования к безопасности Товара</w:t>
      </w:r>
    </w:p>
    <w:p w14:paraId="6832E8E9">
      <w:pPr>
        <w:ind w:firstLine="567"/>
        <w:jc w:val="both"/>
      </w:pPr>
      <w:r>
        <w:t xml:space="preserve">7.1. При обычных условиях использования, хранения, транспортировки и утилизации Товар должен быть безопасен для жизни, здоровья потребителя, окружающей среды, а также не должен причинять вред имуществу потребителя, не должен являться источником выделения вредных веществ. </w:t>
      </w:r>
    </w:p>
    <w:p w14:paraId="3ADB33E4">
      <w:pPr>
        <w:ind w:firstLine="567"/>
        <w:jc w:val="both"/>
      </w:pPr>
      <w:r>
        <w:rPr>
          <w:bCs/>
          <w:lang w:eastAsia="ar-SA"/>
        </w:rPr>
        <w:t xml:space="preserve">7.2. </w:t>
      </w:r>
      <w:r>
        <w:t>Безопасность Товара должна соответствовать требованиям ГОСТ Р 51125-98 «Оборудование бытовое для кондиционирования и очистки воздуха. Требования безопасности и методы испытаний».</w:t>
      </w:r>
    </w:p>
    <w:p w14:paraId="11DB9793">
      <w:pPr>
        <w:jc w:val="both"/>
      </w:pPr>
      <w:r>
        <w:t xml:space="preserve">          7.3. Поставщик должен производить работы по установке кондиционера с учетом требований Приказ Минтруда России от 16.11.2020 N 782н «Об утверждении Правил по охране труда при работе на высоте».</w:t>
      </w:r>
    </w:p>
    <w:p w14:paraId="5B2C05EB"/>
    <w:p w14:paraId="58CF76A8">
      <w:pPr>
        <w:jc w:val="both"/>
        <w:rPr>
          <w:b/>
        </w:rPr>
      </w:pPr>
      <w:r>
        <w:rPr>
          <w:b/>
        </w:rPr>
        <w:t>8. Требования к монтажу:</w:t>
      </w:r>
    </w:p>
    <w:p w14:paraId="090578BB">
      <w:pPr>
        <w:suppressAutoHyphens/>
        <w:ind w:firstLine="567"/>
        <w:jc w:val="both"/>
        <w:rPr>
          <w:lang w:eastAsia="ar-SA"/>
        </w:rPr>
      </w:pPr>
      <w:r>
        <w:t>8</w:t>
      </w:r>
      <w:r>
        <w:rPr>
          <w:lang w:eastAsia="ar-SA"/>
        </w:rPr>
        <w:t>.1. Поставщик берет на себя обязательства произвести демонтаж старого кондиционера и монтаж нового</w:t>
      </w:r>
      <w:r>
        <w:t>.</w:t>
      </w:r>
    </w:p>
    <w:p w14:paraId="484A44F2">
      <w:pPr>
        <w:ind w:firstLine="567"/>
        <w:jc w:val="both"/>
      </w:pPr>
      <w:r>
        <w:t>8.2. Поставщик при поставке Товара должен представить документы, подтверждающие соответствие Товара требованиям настоящего Контракта.</w:t>
      </w:r>
    </w:p>
    <w:p w14:paraId="11108F6C">
      <w:pPr>
        <w:ind w:firstLine="567"/>
        <w:jc w:val="both"/>
      </w:pPr>
      <w:r>
        <w:t>8.3. При монтаже кондиционера Поставщик обязан:</w:t>
      </w:r>
    </w:p>
    <w:p w14:paraId="3B94B397">
      <w:pPr>
        <w:ind w:firstLine="567"/>
        <w:jc w:val="both"/>
      </w:pPr>
      <w:r>
        <w:t>- произвести демонтаж старого кондиционера, внутреннего и наружного блока;</w:t>
      </w:r>
    </w:p>
    <w:p w14:paraId="423D4E8D">
      <w:pPr>
        <w:ind w:firstLine="567"/>
        <w:jc w:val="both"/>
      </w:pPr>
      <w:r>
        <w:t>- согласовать с Заказчиком место расположения кондиционера его внутреннего и (или) наружного блока;</w:t>
      </w:r>
    </w:p>
    <w:p w14:paraId="09358150">
      <w:pPr>
        <w:ind w:firstLine="567"/>
        <w:jc w:val="both"/>
      </w:pPr>
      <w:r>
        <w:t>- осуществить установку кондиционера, его внутреннего и (или) наружного блок на достаточно прочной стене в месте, удобном для последующего сервисного обслуживания;</w:t>
      </w:r>
    </w:p>
    <w:p w14:paraId="661E3236">
      <w:pPr>
        <w:ind w:firstLine="567"/>
        <w:jc w:val="both"/>
      </w:pPr>
      <w:r>
        <w:t>- уложить электрические кабели для питания кондиционера в негорючие металлополимерные рукава;</w:t>
      </w:r>
    </w:p>
    <w:p w14:paraId="7CA1FC78">
      <w:pPr>
        <w:ind w:firstLine="567"/>
        <w:jc w:val="both"/>
      </w:pPr>
      <w:r>
        <w:t>- уложить трубопровода и электрические кабели для питания кондиционера в пластиковые короба белого цвета;</w:t>
      </w:r>
    </w:p>
    <w:p w14:paraId="7F358C5B">
      <w:pPr>
        <w:ind w:firstLine="567"/>
        <w:jc w:val="both"/>
      </w:pPr>
      <w:r>
        <w:t>- выполнить подключение кондиционера к электрическому щиту или к ближайшей розетке установленных у Заказчика (по месту, с возможностью наращивания провода и кабель – канала не более 10 м.);</w:t>
      </w:r>
    </w:p>
    <w:p w14:paraId="6E067FF9">
      <w:pPr>
        <w:ind w:firstLine="567"/>
        <w:jc w:val="both"/>
      </w:pPr>
      <w:r>
        <w:t>- в ходе демонтажа/монтажа не допускается повреждение внутренней и внешней отделки помещений, в которых они производятся. Поставщик обязан обеспечить полную сохранность конструкции здания, в котором производится установка, а также инженерных сетей;</w:t>
      </w:r>
    </w:p>
    <w:p w14:paraId="13571BA7">
      <w:pPr>
        <w:ind w:firstLine="567"/>
        <w:jc w:val="both"/>
      </w:pPr>
      <w:r>
        <w:t>- при прокладке кабельных и фреоновых коммуникаций должны учитываться существующие архитектурно-строительные решения, позволяющие вести скрытую проводку (фальш-полы, подвесные потолки и т.п.);</w:t>
      </w:r>
    </w:p>
    <w:p w14:paraId="4F761A62">
      <w:pPr>
        <w:ind w:firstLine="567"/>
        <w:jc w:val="both"/>
      </w:pPr>
      <w:r>
        <w:t>- наружный блок кондиционера установить на фасаде, при необходимости допускается привлечение промышленного альпиниста или использование автовышки за счет Поставщика;</w:t>
      </w:r>
    </w:p>
    <w:p w14:paraId="4B4D263E">
      <w:pPr>
        <w:ind w:firstLine="567"/>
        <w:jc w:val="both"/>
      </w:pPr>
      <w:r>
        <w:t>- Поставщик должен обеспечить монтаж кондиционера с использованием своих материалов (кронштейн, трубка медная, кабель силовой, кабель-канал, гофра самозатухающая);</w:t>
      </w:r>
    </w:p>
    <w:p w14:paraId="31F208EE">
      <w:pPr>
        <w:ind w:firstLine="567"/>
        <w:jc w:val="both"/>
      </w:pPr>
      <w:r>
        <w:t>- сбор и вывоз отходов, строительного мусора, образовавшегося в процессе монтажа кондиционера, производится силами и за счет Поставщика.</w:t>
      </w:r>
    </w:p>
    <w:p w14:paraId="48D94FD9">
      <w:pPr>
        <w:ind w:firstLine="567"/>
        <w:jc w:val="both"/>
      </w:pPr>
      <w:r>
        <w:t>- работы должны выполняться в соответствии с эксплуатационно-технической документацией завода-изготовителя кондиционера. В ходе выполнения работ Поставщик несет полную ответственность за повреждение или порчу находящихся в помещении инженерных сетей и коммуникаций, электропроводки, электроприборов, мебели, санитарно-технического оборудования, остекления и другого имущества Заказчика.</w:t>
      </w:r>
    </w:p>
    <w:p w14:paraId="16B62311">
      <w:pPr>
        <w:ind w:firstLine="567"/>
        <w:jc w:val="both"/>
      </w:pPr>
      <w:r>
        <w:t>- в случае обнаружения дефектов после монтажа, исправление дефектов производиться за счет Поставщика в течение всего гарантийного периода;</w:t>
      </w:r>
    </w:p>
    <w:p w14:paraId="2D6CDBE6">
      <w:pPr>
        <w:suppressAutoHyphens/>
        <w:ind w:firstLine="567"/>
        <w:jc w:val="both"/>
      </w:pPr>
      <w:r>
        <w:t>- сроки монтажа и наладки входят в установленный Контрактом срок поставки. Доставка Товара считается выполненной в день окончания монтажа и наладки Товара.</w:t>
      </w:r>
    </w:p>
    <w:p w14:paraId="1F5212FE">
      <w:pPr>
        <w:suppressAutoHyphens/>
        <w:ind w:firstLine="567"/>
        <w:jc w:val="both"/>
      </w:pPr>
    </w:p>
    <w:p w14:paraId="6AA547F0">
      <w:pPr>
        <w:suppressAutoHyphens/>
        <w:ind w:firstLine="567"/>
        <w:jc w:val="both"/>
      </w:pPr>
    </w:p>
    <w:p w14:paraId="305CB73C">
      <w:pPr>
        <w:suppressAutoHyphens/>
        <w:ind w:firstLine="567"/>
        <w:jc w:val="both"/>
      </w:pPr>
    </w:p>
    <w:p w14:paraId="06BF94D0">
      <w:pPr>
        <w:suppressAutoHyphens/>
        <w:ind w:firstLine="567"/>
        <w:jc w:val="both"/>
      </w:pPr>
    </w:p>
    <w:p w14:paraId="471CD0B0">
      <w:pPr>
        <w:suppressAutoHyphens/>
        <w:ind w:firstLine="567"/>
        <w:jc w:val="both"/>
        <w:rPr>
          <w:b/>
        </w:rPr>
      </w:pPr>
    </w:p>
    <w:sectPr>
      <w:type w:val="oddPage"/>
      <w:pgSz w:w="11906" w:h="16838"/>
      <w:pgMar w:top="851" w:right="992" w:bottom="567" w:left="851" w:header="57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83E"/>
    <w:rsid w:val="000011AF"/>
    <w:rsid w:val="00056228"/>
    <w:rsid w:val="000E087D"/>
    <w:rsid w:val="00176BD1"/>
    <w:rsid w:val="002416C9"/>
    <w:rsid w:val="00274183"/>
    <w:rsid w:val="002A36D5"/>
    <w:rsid w:val="002D6716"/>
    <w:rsid w:val="002E4A61"/>
    <w:rsid w:val="00342A35"/>
    <w:rsid w:val="003E744A"/>
    <w:rsid w:val="004415D2"/>
    <w:rsid w:val="004B2323"/>
    <w:rsid w:val="005731DE"/>
    <w:rsid w:val="00574F00"/>
    <w:rsid w:val="005D1962"/>
    <w:rsid w:val="00606A1D"/>
    <w:rsid w:val="00653376"/>
    <w:rsid w:val="00663BA8"/>
    <w:rsid w:val="00685292"/>
    <w:rsid w:val="007A54EF"/>
    <w:rsid w:val="00817E94"/>
    <w:rsid w:val="008D32EB"/>
    <w:rsid w:val="009932AA"/>
    <w:rsid w:val="009A043E"/>
    <w:rsid w:val="009B036C"/>
    <w:rsid w:val="00A21132"/>
    <w:rsid w:val="00A21E7F"/>
    <w:rsid w:val="00A33739"/>
    <w:rsid w:val="00B209CC"/>
    <w:rsid w:val="00BD6712"/>
    <w:rsid w:val="00C25159"/>
    <w:rsid w:val="00C66D13"/>
    <w:rsid w:val="00CD426F"/>
    <w:rsid w:val="00D9383E"/>
    <w:rsid w:val="00DB296F"/>
    <w:rsid w:val="00E4760C"/>
    <w:rsid w:val="00E71EFB"/>
    <w:rsid w:val="00FB5D27"/>
    <w:rsid w:val="349B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unhideWhenUsed/>
    <w:qFormat/>
    <w:uiPriority w:val="99"/>
    <w:rPr>
      <w:vertAlign w:val="superscript"/>
    </w:rPr>
  </w:style>
  <w:style w:type="character" w:styleId="6">
    <w:name w:val="annotation reference"/>
    <w:basedOn w:val="3"/>
    <w:semiHidden/>
    <w:unhideWhenUsed/>
    <w:uiPriority w:val="99"/>
    <w:rPr>
      <w:sz w:val="16"/>
      <w:szCs w:val="16"/>
    </w:rPr>
  </w:style>
  <w:style w:type="paragraph" w:styleId="7">
    <w:name w:val="Balloon Text"/>
    <w:basedOn w:val="1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annotation text"/>
    <w:basedOn w:val="1"/>
    <w:link w:val="21"/>
    <w:semiHidden/>
    <w:unhideWhenUsed/>
    <w:qFormat/>
    <w:uiPriority w:val="99"/>
    <w:rPr>
      <w:sz w:val="20"/>
      <w:szCs w:val="20"/>
    </w:rPr>
  </w:style>
  <w:style w:type="paragraph" w:styleId="9">
    <w:name w:val="annotation subject"/>
    <w:basedOn w:val="8"/>
    <w:next w:val="8"/>
    <w:link w:val="22"/>
    <w:semiHidden/>
    <w:unhideWhenUsed/>
    <w:qFormat/>
    <w:uiPriority w:val="99"/>
    <w:rPr>
      <w:b/>
      <w:bCs/>
    </w:rPr>
  </w:style>
  <w:style w:type="paragraph" w:styleId="10">
    <w:name w:val="footnote text"/>
    <w:basedOn w:val="1"/>
    <w:link w:val="18"/>
    <w:qFormat/>
    <w:uiPriority w:val="99"/>
    <w:pPr>
      <w:suppressAutoHyphens/>
      <w:spacing w:after="60"/>
      <w:ind w:left="-426"/>
      <w:jc w:val="both"/>
    </w:pPr>
    <w:rPr>
      <w:sz w:val="18"/>
      <w:szCs w:val="18"/>
      <w:lang w:val="zh-CN" w:eastAsia="ar-SA"/>
    </w:rPr>
  </w:style>
  <w:style w:type="paragraph" w:styleId="11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</w:pPr>
  </w:style>
  <w:style w:type="table" w:styleId="13">
    <w:name w:val="Table Grid"/>
    <w:basedOn w:val="4"/>
    <w:qFormat/>
    <w:uiPriority w:val="59"/>
    <w:pPr>
      <w:spacing w:after="0" w:line="240" w:lineRule="auto"/>
    </w:pPr>
    <w:rPr>
      <w:rFonts w:ascii="Calibri" w:hAnsi="Calibri" w:eastAsia="Calibri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ConsPlusNormal"/>
    <w:link w:val="15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2"/>
      <w:szCs w:val="22"/>
      <w:lang w:val="ru-RU" w:eastAsia="ru-RU" w:bidi="ar-SA"/>
    </w:rPr>
  </w:style>
  <w:style w:type="character" w:customStyle="1" w:styleId="15">
    <w:name w:val="ConsPlusNormal Знак"/>
    <w:link w:val="14"/>
    <w:qFormat/>
    <w:locked/>
    <w:uiPriority w:val="0"/>
    <w:rPr>
      <w:rFonts w:ascii="Arial" w:hAnsi="Arial" w:eastAsia="Times New Roman" w:cs="Arial"/>
      <w:lang w:eastAsia="ru-RU"/>
    </w:rPr>
  </w:style>
  <w:style w:type="character" w:customStyle="1" w:styleId="16">
    <w:name w:val="Текст выноски Знак"/>
    <w:basedOn w:val="3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7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18">
    <w:name w:val="Текст сноски Знак"/>
    <w:basedOn w:val="3"/>
    <w:link w:val="10"/>
    <w:qFormat/>
    <w:uiPriority w:val="99"/>
    <w:rPr>
      <w:rFonts w:eastAsia="Times New Roman"/>
      <w:sz w:val="18"/>
      <w:szCs w:val="18"/>
      <w:lang w:val="zh-CN" w:eastAsia="ar-SA"/>
    </w:rPr>
  </w:style>
  <w:style w:type="character" w:customStyle="1" w:styleId="19">
    <w:name w:val="Верхний колонтитул Знак"/>
    <w:basedOn w:val="3"/>
    <w:link w:val="11"/>
    <w:qFormat/>
    <w:uiPriority w:val="99"/>
    <w:rPr>
      <w:rFonts w:asciiTheme="minorHAnsi" w:hAnsiTheme="minorHAnsi" w:cstheme="minorBidi"/>
    </w:rPr>
  </w:style>
  <w:style w:type="character" w:customStyle="1" w:styleId="20">
    <w:name w:val="Нижний колонтитул Знак"/>
    <w:basedOn w:val="3"/>
    <w:link w:val="12"/>
    <w:qFormat/>
    <w:uiPriority w:val="99"/>
    <w:rPr>
      <w:rFonts w:eastAsia="Times New Roman"/>
      <w:sz w:val="24"/>
      <w:szCs w:val="24"/>
      <w:lang w:eastAsia="ru-RU"/>
    </w:rPr>
  </w:style>
  <w:style w:type="character" w:customStyle="1" w:styleId="21">
    <w:name w:val="Текст примечания Знак"/>
    <w:basedOn w:val="3"/>
    <w:link w:val="8"/>
    <w:semiHidden/>
    <w:qFormat/>
    <w:uiPriority w:val="99"/>
    <w:rPr>
      <w:rFonts w:eastAsia="Times New Roman"/>
      <w:sz w:val="20"/>
      <w:szCs w:val="20"/>
      <w:lang w:eastAsia="ru-RU"/>
    </w:rPr>
  </w:style>
  <w:style w:type="character" w:customStyle="1" w:styleId="22">
    <w:name w:val="Тема примечания Знак"/>
    <w:basedOn w:val="21"/>
    <w:link w:val="9"/>
    <w:semiHidden/>
    <w:qFormat/>
    <w:uiPriority w:val="99"/>
    <w:rPr>
      <w:rFonts w:eastAsia="Times New Roman"/>
      <w:b/>
      <w:bCs/>
      <w:sz w:val="20"/>
      <w:szCs w:val="20"/>
      <w:lang w:eastAsia="ru-RU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paragraph" w:customStyle="1" w:styleId="24">
    <w:name w:val="parametervalue"/>
    <w:basedOn w:val="1"/>
    <w:qFormat/>
    <w:uiPriority w:val="0"/>
    <w:pPr>
      <w:spacing w:before="100" w:beforeAutospacing="1" w:after="100" w:afterAutospacing="1"/>
    </w:pPr>
  </w:style>
  <w:style w:type="paragraph" w:styleId="25">
    <w:name w:val="No Spacing"/>
    <w:link w:val="26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26">
    <w:name w:val="Без интервала Знак"/>
    <w:link w:val="25"/>
    <w:uiPriority w:val="0"/>
    <w:rPr>
      <w:rFonts w:ascii="Calibri" w:hAnsi="Calibri" w:eastAsia="Times New Roman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A03F4-AE44-44C8-999C-DFEDA4D27B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4</Pages>
  <Words>1632</Words>
  <Characters>11171</Characters>
  <Lines>93</Lines>
  <Paragraphs>26</Paragraphs>
  <TotalTime>26</TotalTime>
  <ScaleCrop>false</ScaleCrop>
  <LinksUpToDate>false</LinksUpToDate>
  <CharactersWithSpaces>12873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2026-05-14T03:04:00Z</dcterms:created>
  <dc:creator>Казанцев Алексей Михайлович</dc:creator>
  <cp:lastModifiedBy>WPS_1777417676</cp:lastModifiedBy>
  <cp:lastPrinted>2023-08-30T06:39:00Z</cp:lastPrinted>
  <dcterms:modified xsi:type="dcterms:W3CDTF">2026-08-19T03:51:04Z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eyJoZGlkIjoiY2VmYzE4NmE0NDY1MmRlNjhiODUxZTEyMWNmYmNjODciLCJ1c2VySWQiOiI4MjQ2MzQ4ODM1MDkifQ==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AAB1517BF03347C6BE483EBC121BDC05_12</vt:lpwstr>
  </property>
</Properties>
</file>