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E00DE">
      <w:pPr>
        <w:jc w:val="both"/>
        <w:rPr>
          <w:rFonts w:hint="default" w:ascii="Times New Roman" w:hAnsi="Times New Roman" w:cs="Times New Roman"/>
          <w:b/>
          <w:bCs/>
          <w:sz w:val="24"/>
          <w:szCs w:val="24"/>
        </w:rPr>
      </w:pPr>
    </w:p>
    <w:p w14:paraId="561DA264">
      <w:pPr>
        <w:jc w:val="right"/>
        <w:rPr>
          <w:rFonts w:hint="default" w:ascii="Times New Roman" w:hAnsi="Times New Roman" w:cs="Times New Roman"/>
          <w:b/>
          <w:bCs/>
          <w:sz w:val="24"/>
          <w:szCs w:val="24"/>
        </w:rPr>
      </w:pPr>
      <w:r>
        <w:rPr>
          <w:rFonts w:hint="default" w:ascii="Times New Roman" w:hAnsi="Times New Roman" w:cs="Times New Roman"/>
          <w:b/>
          <w:bCs/>
          <w:sz w:val="24"/>
          <w:szCs w:val="24"/>
        </w:rPr>
        <w:t>ПРОЕКТ</w:t>
      </w:r>
    </w:p>
    <w:p w14:paraId="17F84446">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КОНТРАКТ №________</w:t>
      </w:r>
    </w:p>
    <w:p w14:paraId="308D13B5">
      <w:pPr>
        <w:jc w:val="both"/>
        <w:rPr>
          <w:rFonts w:hint="default" w:ascii="Times New Roman" w:hAnsi="Times New Roman" w:cs="Times New Roman"/>
          <w:sz w:val="24"/>
          <w:szCs w:val="24"/>
        </w:rPr>
      </w:pPr>
    </w:p>
    <w:p w14:paraId="61E87A9F">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г. Хабаровск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«___ »_________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г. </w:t>
      </w:r>
    </w:p>
    <w:p w14:paraId="1503A836">
      <w:pPr>
        <w:rPr>
          <w:rFonts w:hint="default" w:ascii="Times New Roman" w:hAnsi="Times New Roman" w:cs="Times New Roman"/>
          <w:sz w:val="24"/>
          <w:szCs w:val="24"/>
        </w:rPr>
      </w:pPr>
    </w:p>
    <w:p w14:paraId="23D6453C">
      <w:pPr>
        <w:pStyle w:val="28"/>
        <w:ind w:left="0" w:leftChars="0" w:firstLine="0" w:firstLineChars="0"/>
        <w:jc w:val="both"/>
        <w:rPr>
          <w:rFonts w:hint="default" w:ascii="Times New Roman" w:hAnsi="Times New Roman" w:cs="Times New Roman" w:eastAsiaTheme="minorEastAsia"/>
          <w:b w:val="0"/>
          <w:bCs w:val="0"/>
          <w:sz w:val="24"/>
          <w:szCs w:val="24"/>
        </w:rPr>
      </w:pPr>
      <w:r>
        <w:rPr>
          <w:rFonts w:hint="default" w:ascii="Times New Roman" w:hAnsi="Times New Roman" w:eastAsia="Times New Roman" w:cs="Times New Roman"/>
          <w:b w:val="0"/>
          <w:bCs w:val="0"/>
          <w:color w:val="000000"/>
          <w:sz w:val="24"/>
          <w:szCs w:val="24"/>
          <w:lang w:eastAsia="ru-RU"/>
        </w:rPr>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w:t>
      </w:r>
      <w:r>
        <w:rPr>
          <w:rFonts w:hint="default" w:ascii="Times New Roman" w:hAnsi="Times New Roman" w:eastAsia="Times New Roman" w:cs="Times New Roman"/>
          <w:b w:val="0"/>
          <w:bCs w:val="0"/>
          <w:color w:val="000000"/>
          <w:sz w:val="24"/>
          <w:szCs w:val="24"/>
          <w:lang w:eastAsia="hi-IN" w:bidi="hi-IN"/>
        </w:rPr>
        <w:t xml:space="preserve">, именуемое в дальнейшем Заказчик, в лице </w:t>
      </w:r>
      <w:r>
        <w:rPr>
          <w:rFonts w:hint="default" w:ascii="Times New Roman" w:hAnsi="Times New Roman" w:cs="Times New Roman"/>
          <w:b w:val="0"/>
          <w:bCs w:val="0"/>
          <w:color w:val="000000"/>
          <w:sz w:val="24"/>
          <w:szCs w:val="24"/>
          <w:lang w:val="ru-RU" w:eastAsia="hi-IN" w:bidi="hi-IN"/>
        </w:rPr>
        <w:t>________________________</w:t>
      </w:r>
      <w:r>
        <w:rPr>
          <w:rFonts w:hint="default" w:ascii="Times New Roman" w:hAnsi="Times New Roman" w:cs="Times New Roman"/>
          <w:b w:val="0"/>
          <w:bCs w:val="0"/>
          <w:color w:val="000000"/>
          <w:sz w:val="24"/>
          <w:szCs w:val="24"/>
        </w:rPr>
        <w:t>, именуемое в дальнейшем «Заказчик»</w:t>
      </w:r>
      <w:r>
        <w:rPr>
          <w:rFonts w:hint="default" w:ascii="Times New Roman" w:hAnsi="Times New Roman" w:cs="Times New Roman" w:eastAsiaTheme="minorEastAsia"/>
          <w:b w:val="0"/>
          <w:bCs w:val="0"/>
          <w:sz w:val="24"/>
          <w:szCs w:val="24"/>
        </w:rPr>
        <w:t xml:space="preserve">, с одной стороны, и __________________________________________, именуемый в дальнейшем "Поставщик", в лице ____________________________, действующего на основании___________________, с другой стороны, вместе именуемые в дальнейшем "Стороны", </w:t>
      </w:r>
      <w:r>
        <w:rPr>
          <w:rFonts w:hint="default" w:ascii="Times New Roman" w:hAnsi="Times New Roman" w:eastAsia="Times" w:cs="Times New Roman"/>
          <w:color w:val="000000"/>
          <w:sz w:val="24"/>
          <w:szCs w:val="24"/>
        </w:rPr>
        <w:t xml:space="preserve">на основании </w:t>
      </w:r>
      <w:r>
        <w:rPr>
          <w:rFonts w:hint="default" w:ascii="Times New Roman" w:hAnsi="Times New Roman" w:cs="Times New Roman"/>
          <w:color w:val="000000"/>
          <w:kern w:val="0"/>
          <w:sz w:val="24"/>
          <w:szCs w:val="24"/>
          <w:lang w:eastAsia="zh-CN" w:bidi="ar"/>
        </w:rPr>
        <w:t xml:space="preserve">п. </w:t>
      </w:r>
      <w:r>
        <w:rPr>
          <w:rFonts w:hint="default" w:ascii="Times New Roman" w:hAnsi="Times New Roman" w:cs="Times New Roman"/>
          <w:color w:val="000000"/>
          <w:kern w:val="0"/>
          <w:sz w:val="24"/>
          <w:szCs w:val="24"/>
          <w:lang w:val="ru-RU" w:eastAsia="zh-CN" w:bidi="ar"/>
        </w:rPr>
        <w:t>5</w:t>
      </w:r>
      <w:r>
        <w:rPr>
          <w:rFonts w:hint="default" w:ascii="Times New Roman" w:hAnsi="Times New Roman" w:cs="Times New Roman"/>
          <w:color w:val="000000"/>
          <w:kern w:val="0"/>
          <w:sz w:val="24"/>
          <w:szCs w:val="24"/>
          <w:lang w:eastAsia="zh-CN" w:bidi="ar"/>
        </w:rPr>
        <w:t xml:space="preserve"> ч.1 ст. 93 </w:t>
      </w:r>
      <w:r>
        <w:rPr>
          <w:rFonts w:hint="default" w:ascii="Times New Roman"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hint="default" w:ascii="Times New Roman" w:hAnsi="Times New Roman" w:cs="Times New Roman"/>
          <w:sz w:val="24"/>
          <w:szCs w:val="24"/>
          <w:lang w:val="ru-RU"/>
        </w:rPr>
        <w:t xml:space="preserve"> </w:t>
      </w:r>
      <w:r>
        <w:rPr>
          <w:rFonts w:hint="default" w:ascii="Times New Roman" w:hAnsi="Times New Roman" w:eastAsia="Arial" w:cs="Times New Roman"/>
          <w:b w:val="0"/>
          <w:bCs w:val="0"/>
          <w:color w:val="000000"/>
          <w:sz w:val="24"/>
          <w:szCs w:val="24"/>
        </w:rPr>
        <w:t>заключили настоящий  контракт (далее -</w:t>
      </w:r>
      <w:r>
        <w:rPr>
          <w:rFonts w:hint="default" w:ascii="Times New Roman" w:hAnsi="Times New Roman" w:cs="Times New Roman" w:eastAsiaTheme="minorEastAsia"/>
          <w:b w:val="0"/>
          <w:bCs w:val="0"/>
          <w:sz w:val="24"/>
          <w:szCs w:val="24"/>
        </w:rPr>
        <w:t xml:space="preserve"> Контракт) о нижеследующем</w:t>
      </w:r>
    </w:p>
    <w:p w14:paraId="7D03C771">
      <w:pPr>
        <w:widowControl w:val="0"/>
        <w:autoSpaceDE w:val="0"/>
        <w:autoSpaceDN w:val="0"/>
        <w:adjustRightInd w:val="0"/>
        <w:ind w:firstLine="709"/>
        <w:jc w:val="center"/>
        <w:rPr>
          <w:rFonts w:hint="default" w:ascii="Times New Roman" w:hAnsi="Times New Roman" w:cs="Times New Roman" w:eastAsiaTheme="minorEastAsia"/>
          <w:sz w:val="24"/>
          <w:szCs w:val="24"/>
        </w:rPr>
      </w:pPr>
    </w:p>
    <w:p w14:paraId="761D7DFA">
      <w:pPr>
        <w:numPr>
          <w:ilvl w:val="0"/>
          <w:numId w:val="1"/>
        </w:numPr>
        <w:ind w:firstLine="709"/>
        <w:jc w:val="cente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Предмет Контракта</w:t>
      </w:r>
    </w:p>
    <w:p w14:paraId="0C9B90D1">
      <w:pPr>
        <w:numPr>
          <w:ilvl w:val="0"/>
          <w:numId w:val="0"/>
        </w:numPr>
        <w:jc w:val="both"/>
        <w:rPr>
          <w:rFonts w:hint="default" w:ascii="Times New Roman" w:hAnsi="Times New Roman" w:cs="Times New Roman"/>
          <w:b/>
          <w:bCs/>
          <w:color w:val="000000"/>
          <w:sz w:val="24"/>
          <w:szCs w:val="24"/>
        </w:rPr>
      </w:pPr>
    </w:p>
    <w:p w14:paraId="399D62AD">
      <w:pPr>
        <w:pStyle w:val="28"/>
        <w:ind w:firstLine="540"/>
        <w:jc w:val="both"/>
        <w:rPr>
          <w:rFonts w:ascii="Times New Roman" w:hAnsi="Times New Roman" w:cs="Times New Roman"/>
          <w:sz w:val="24"/>
          <w:szCs w:val="24"/>
        </w:rPr>
      </w:pPr>
      <w:r>
        <w:rPr>
          <w:rFonts w:hint="default" w:ascii="Times New Roman" w:hAnsi="Times New Roman" w:cs="Times New Roman"/>
          <w:color w:val="000000"/>
          <w:sz w:val="24"/>
          <w:szCs w:val="24"/>
        </w:rPr>
        <w:t xml:space="preserve">1.1. </w:t>
      </w:r>
      <w:r>
        <w:rPr>
          <w:rFonts w:hint="default" w:ascii="Times New Roman" w:hAnsi="Times New Roman" w:cs="Times New Roman"/>
          <w:color w:val="auto"/>
          <w:sz w:val="24"/>
          <w:szCs w:val="24"/>
        </w:rPr>
        <w:t xml:space="preserve">В соответствии с настоящим Контрактом </w:t>
      </w:r>
      <w:r>
        <w:rPr>
          <w:rFonts w:ascii="Times New Roman" w:hAnsi="Times New Roman" w:cs="Times New Roman"/>
          <w:sz w:val="24"/>
          <w:szCs w:val="24"/>
        </w:rPr>
        <w:t xml:space="preserve">Поставщик обязуется поставить и установить </w:t>
      </w:r>
      <w:r>
        <w:rPr>
          <w:rFonts w:hint="default" w:ascii="Times New Roman" w:hAnsi="Times New Roman" w:eastAsia="Times New Roman" w:cs="Times New Roman"/>
          <w:b w:val="0"/>
          <w:bCs/>
          <w:sz w:val="24"/>
          <w:szCs w:val="24"/>
        </w:rPr>
        <w:t xml:space="preserve">Кондиционер бытовой </w:t>
      </w:r>
      <w:r>
        <w:rPr>
          <w:rFonts w:hint="default" w:ascii="Times New Roman" w:hAnsi="Times New Roman" w:eastAsia="Times New Roman" w:cs="Times New Roman"/>
          <w:b w:val="0"/>
          <w:bCs/>
          <w:sz w:val="24"/>
          <w:szCs w:val="24"/>
          <w:lang w:val="ru-RU"/>
        </w:rPr>
        <w:t>(сплит-систем</w:t>
      </w:r>
      <w:r>
        <w:rPr>
          <w:rFonts w:hint="default" w:ascii="Times New Roman" w:hAnsi="Times New Roman" w:cs="Times New Roman"/>
          <w:b w:val="0"/>
          <w:bCs/>
          <w:sz w:val="24"/>
          <w:szCs w:val="24"/>
          <w:lang w:val="ru-RU"/>
        </w:rPr>
        <w:t>у</w:t>
      </w:r>
      <w:r>
        <w:rPr>
          <w:rFonts w:hint="default" w:ascii="Times New Roman" w:hAnsi="Times New Roman" w:eastAsia="Times New Roman" w:cs="Times New Roman"/>
          <w:b w:val="0"/>
          <w:bCs/>
          <w:sz w:val="24"/>
          <w:szCs w:val="24"/>
          <w:lang w:val="ru-RU"/>
        </w:rPr>
        <w:t>)</w:t>
      </w:r>
      <w:r>
        <w:rPr>
          <w:rFonts w:hint="default" w:ascii="Times New Roman" w:hAnsi="Times New Roman" w:cs="Times New Roman"/>
          <w:b/>
          <w:bCs w:val="0"/>
          <w:sz w:val="24"/>
          <w:szCs w:val="24"/>
          <w:lang w:val="ru-RU"/>
        </w:rPr>
        <w:t xml:space="preserve"> ___________</w:t>
      </w:r>
      <w:r>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6888EA31">
      <w:pPr>
        <w:keepNext w:val="0"/>
        <w:keepLines w:val="0"/>
        <w:pageBreakBefore w:val="0"/>
        <w:widowControl/>
        <w:kinsoku/>
        <w:wordWrap/>
        <w:overflowPunct/>
        <w:topLinePunct w:val="0"/>
        <w:autoSpaceDE/>
        <w:autoSpaceDN/>
        <w:bidi w:val="0"/>
        <w:adjustRightInd/>
        <w:snapToGrid/>
        <w:ind w:left="0" w:leftChars="0" w:firstLine="709"/>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Спецификация является неотъемлемой частью настоящего Контракта.</w:t>
      </w:r>
    </w:p>
    <w:p w14:paraId="0A4E0A36">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1.2. Наименование, количество и иные характеристики поставляемого Товара указаны в спецификации, техническом задании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"P1909"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приложения</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к Контракту), являющиеся неотъемлемой частью Контракта.</w:t>
      </w:r>
    </w:p>
    <w:p w14:paraId="6594F426">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2. Качество и комплектность</w:t>
      </w:r>
    </w:p>
    <w:p w14:paraId="7C96E8A4">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39E2821B">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2.2. </w:t>
      </w:r>
      <w:r>
        <w:rPr>
          <w:rFonts w:hint="default" w:ascii="Times New Roman" w:hAnsi="Times New Roman" w:cs="Times New Roman"/>
          <w:sz w:val="24"/>
          <w:szCs w:val="24"/>
        </w:rPr>
        <w:t>На продукцию установлена гарантия Поставщика – двенадцать месяцев с даты приёмки  продукции   Заказчиком в порядке, предусмотренном  условиями настоящего Контракта.</w:t>
      </w:r>
    </w:p>
    <w:p w14:paraId="6CA50DB7">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3. Сроки и порядок поставки</w:t>
      </w:r>
    </w:p>
    <w:p w14:paraId="178C5DE6">
      <w:pPr>
        <w:ind w:firstLine="56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3.1. Поставщик  производит</w:t>
      </w:r>
      <w:r>
        <w:rPr>
          <w:rFonts w:hint="default" w:ascii="Times New Roman" w:hAnsi="Times New Roman" w:cs="Times New Roman"/>
          <w:color w:val="000000"/>
          <w:sz w:val="24"/>
          <w:szCs w:val="24"/>
          <w:lang w:val="ru-RU"/>
        </w:rPr>
        <w:t xml:space="preserve"> поставку</w:t>
      </w:r>
      <w:r>
        <w:rPr>
          <w:rFonts w:hint="default" w:ascii="Times New Roman" w:hAnsi="Times New Roman" w:cs="Times New Roman"/>
          <w:color w:val="000000"/>
          <w:sz w:val="24"/>
          <w:szCs w:val="24"/>
        </w:rPr>
        <w:t xml:space="preserve"> </w:t>
      </w:r>
      <w:r>
        <w:rPr>
          <w:rFonts w:hint="default" w:cs="Times New Roman"/>
          <w:color w:val="000000"/>
          <w:sz w:val="24"/>
          <w:szCs w:val="24"/>
          <w:lang w:val="ru-RU"/>
        </w:rPr>
        <w:t>и установку кондиционера бытового (сплит-системы)</w:t>
      </w:r>
      <w:r>
        <w:rPr>
          <w:rFonts w:hint="default" w:ascii="Times New Roman" w:hAnsi="Times New Roman" w:cs="Times New Roman"/>
          <w:color w:val="000000"/>
          <w:sz w:val="24"/>
          <w:szCs w:val="24"/>
        </w:rPr>
        <w:t xml:space="preserve"> в адрес Заказчика в соответствии со Спецификацией (Приложение №1) в срок, не  превышающий</w:t>
      </w:r>
      <w:r>
        <w:rPr>
          <w:rFonts w:hint="default" w:cs="Times New Roman"/>
          <w:color w:val="000000"/>
          <w:sz w:val="24"/>
          <w:szCs w:val="24"/>
          <w:lang w:val="ru-RU"/>
        </w:rPr>
        <w:t xml:space="preserve"> 14 </w:t>
      </w:r>
      <w:r>
        <w:rPr>
          <w:rFonts w:hint="default" w:ascii="Times New Roman" w:hAnsi="Times New Roman" w:cs="Times New Roman"/>
          <w:color w:val="000000"/>
          <w:sz w:val="24"/>
          <w:szCs w:val="24"/>
          <w:lang w:val="ru-RU"/>
        </w:rPr>
        <w:t>(</w:t>
      </w:r>
      <w:r>
        <w:rPr>
          <w:rFonts w:hint="default" w:cs="Times New Roman"/>
          <w:color w:val="000000"/>
          <w:sz w:val="24"/>
          <w:szCs w:val="24"/>
          <w:lang w:val="ru-RU"/>
        </w:rPr>
        <w:t>четырнадцать</w:t>
      </w:r>
      <w:r>
        <w:rPr>
          <w:rFonts w:hint="default" w:ascii="Times New Roman" w:hAnsi="Times New Roman" w:cs="Times New Roman"/>
          <w:color w:val="000000"/>
          <w:sz w:val="24"/>
          <w:szCs w:val="24"/>
          <w:lang w:val="ru-RU"/>
        </w:rPr>
        <w:t xml:space="preserve">) </w:t>
      </w:r>
      <w:r>
        <w:rPr>
          <w:rFonts w:hint="default" w:cs="Times New Roman"/>
          <w:color w:val="000000"/>
          <w:sz w:val="24"/>
          <w:szCs w:val="24"/>
          <w:lang w:val="ru-RU"/>
        </w:rPr>
        <w:t>календарных</w:t>
      </w:r>
      <w:r>
        <w:rPr>
          <w:rFonts w:hint="default" w:ascii="Times New Roman" w:hAnsi="Times New Roman" w:cs="Times New Roman"/>
          <w:color w:val="000000"/>
          <w:sz w:val="24"/>
          <w:szCs w:val="24"/>
          <w:lang w:val="ru-RU"/>
        </w:rPr>
        <w:t xml:space="preserve"> </w:t>
      </w:r>
      <w:r>
        <w:rPr>
          <w:rFonts w:hint="default" w:ascii="Times New Roman" w:hAnsi="Times New Roman" w:cs="Times New Roman"/>
          <w:sz w:val="24"/>
          <w:szCs w:val="24"/>
        </w:rPr>
        <w:t>д</w:t>
      </w:r>
      <w:r>
        <w:rPr>
          <w:rFonts w:hint="default" w:ascii="Times New Roman" w:hAnsi="Times New Roman" w:cs="Times New Roman"/>
          <w:sz w:val="24"/>
          <w:szCs w:val="24"/>
          <w:lang w:val="ru-RU"/>
        </w:rPr>
        <w:t>ней</w:t>
      </w:r>
      <w:r>
        <w:rPr>
          <w:rFonts w:hint="default" w:ascii="Times New Roman" w:hAnsi="Times New Roman" w:cs="Times New Roman"/>
          <w:color w:val="000000"/>
          <w:sz w:val="24"/>
          <w:szCs w:val="24"/>
        </w:rPr>
        <w:t xml:space="preserve"> с даты подписания Контракта. </w:t>
      </w:r>
    </w:p>
    <w:p w14:paraId="7DA466AE">
      <w:pPr>
        <w:pStyle w:val="28"/>
        <w:ind w:firstLine="540"/>
        <w:jc w:val="both"/>
        <w:rPr>
          <w:rFonts w:hint="default" w:ascii="Times New Roman" w:hAnsi="Times New Roman" w:cs="Times New Roman"/>
          <w:sz w:val="24"/>
          <w:szCs w:val="24"/>
        </w:rPr>
      </w:pPr>
      <w:r>
        <w:rPr>
          <w:rFonts w:hint="default" w:ascii="Times New Roman" w:hAnsi="Times New Roman" w:cs="Times New Roman"/>
          <w:color w:val="000000"/>
          <w:sz w:val="24"/>
          <w:szCs w:val="24"/>
        </w:rPr>
        <w:t>3.2. Поставка продукции</w:t>
      </w:r>
      <w:r>
        <w:rPr>
          <w:rFonts w:hint="default" w:ascii="Times New Roman" w:hAnsi="Times New Roman" w:cs="Times New Roman"/>
          <w:sz w:val="24"/>
          <w:szCs w:val="24"/>
        </w:rPr>
        <w:t xml:space="preserve"> Заказчику   </w:t>
      </w:r>
      <w:r>
        <w:rPr>
          <w:rFonts w:hint="default" w:ascii="Times New Roman" w:hAnsi="Times New Roman" w:cs="Times New Roman"/>
          <w:color w:val="000000"/>
          <w:sz w:val="24"/>
          <w:szCs w:val="24"/>
        </w:rPr>
        <w:t xml:space="preserve">осуществляется силами и средствами Поставщика. </w:t>
      </w:r>
      <w:r>
        <w:rPr>
          <w:rFonts w:hint="default" w:ascii="Times New Roman" w:hAnsi="Times New Roman" w:cs="Times New Roman"/>
          <w:sz w:val="24"/>
          <w:szCs w:val="24"/>
        </w:rPr>
        <w:t xml:space="preserve"> Право выбора способа доставки продукции  принадлежит Поставщику.</w:t>
      </w:r>
    </w:p>
    <w:p w14:paraId="7458DB44">
      <w:pPr>
        <w:ind w:firstLine="56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3.3.1. П</w:t>
      </w:r>
      <w:r>
        <w:rPr>
          <w:rFonts w:hint="default" w:ascii="Times New Roman" w:hAnsi="Times New Roman" w:cs="Times New Roman"/>
          <w:sz w:val="24"/>
          <w:szCs w:val="24"/>
        </w:rPr>
        <w:t xml:space="preserve">оставка </w:t>
      </w:r>
      <w:r>
        <w:rPr>
          <w:rFonts w:hint="default" w:cs="Times New Roman"/>
          <w:sz w:val="24"/>
          <w:szCs w:val="24"/>
          <w:lang w:val="ru-RU"/>
        </w:rPr>
        <w:t xml:space="preserve">и установка </w:t>
      </w:r>
      <w:r>
        <w:rPr>
          <w:rFonts w:hint="default" w:cs="Times New Roman"/>
          <w:color w:val="000000"/>
          <w:sz w:val="24"/>
          <w:szCs w:val="24"/>
          <w:lang w:val="ru-RU"/>
        </w:rPr>
        <w:t>кондиционера бытового (сплит-системы)</w:t>
      </w: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 xml:space="preserve">осуществляется  </w:t>
      </w:r>
      <w:r>
        <w:rPr>
          <w:rFonts w:hint="default" w:ascii="Times New Roman" w:hAnsi="Times New Roman" w:cs="Times New Roman"/>
          <w:color w:val="000000"/>
          <w:sz w:val="24"/>
          <w:szCs w:val="24"/>
        </w:rPr>
        <w:t>по адресу: </w:t>
      </w:r>
      <w:r>
        <w:rPr>
          <w:rFonts w:hint="default" w:ascii="Times New Roman" w:hAnsi="Times New Roman" w:cs="Times New Roman"/>
          <w:bCs/>
          <w:kern w:val="28"/>
          <w:sz w:val="24"/>
          <w:szCs w:val="24"/>
          <w:lang w:val="ru-RU"/>
        </w:rPr>
        <w:t xml:space="preserve">680000 г. Хабаровск ул. </w:t>
      </w:r>
      <w:r>
        <w:rPr>
          <w:rFonts w:hint="default" w:cs="Times New Roman"/>
          <w:bCs/>
          <w:kern w:val="28"/>
          <w:sz w:val="24"/>
          <w:szCs w:val="24"/>
          <w:lang w:val="ru-RU"/>
        </w:rPr>
        <w:t>Ким Ю Чена, д. 65</w:t>
      </w:r>
      <w:r>
        <w:rPr>
          <w:rFonts w:hint="default" w:ascii="Times New Roman" w:hAnsi="Times New Roman" w:cs="Times New Roman"/>
          <w:bCs/>
          <w:kern w:val="28"/>
          <w:sz w:val="24"/>
          <w:szCs w:val="24"/>
          <w:lang w:val="ru-RU"/>
        </w:rPr>
        <w:t>,</w:t>
      </w:r>
      <w:r>
        <w:rPr>
          <w:rFonts w:hint="default" w:cs="Times New Roman"/>
          <w:bCs/>
          <w:kern w:val="28"/>
          <w:sz w:val="24"/>
          <w:szCs w:val="24"/>
          <w:lang w:val="ru-RU"/>
        </w:rPr>
        <w:t xml:space="preserve"> кабинет 105, ВЦ </w:t>
      </w:r>
      <w:r>
        <w:rPr>
          <w:rFonts w:hint="default" w:ascii="Times New Roman" w:hAnsi="Times New Roman" w:cs="Times New Roman"/>
          <w:bCs/>
          <w:kern w:val="28"/>
          <w:sz w:val="24"/>
          <w:szCs w:val="24"/>
        </w:rPr>
        <w:t>ДВО РАН</w:t>
      </w:r>
      <w:r>
        <w:rPr>
          <w:rFonts w:hint="default" w:ascii="Times New Roman" w:hAnsi="Times New Roman" w:cs="Times New Roman"/>
          <w:sz w:val="24"/>
          <w:szCs w:val="24"/>
        </w:rPr>
        <w:t>.</w:t>
      </w:r>
      <w:r>
        <w:rPr>
          <w:rFonts w:hint="default" w:ascii="Times New Roman" w:hAnsi="Times New Roman" w:cs="Times New Roman"/>
          <w:color w:val="000000"/>
          <w:sz w:val="24"/>
          <w:szCs w:val="24"/>
        </w:rPr>
        <w:t> В стоимость контракта включены расходы по доставке, все налоги, сборы и другие обязательные платежи.</w:t>
      </w:r>
    </w:p>
    <w:p w14:paraId="405A07FB">
      <w:pPr>
        <w:keepNext w:val="0"/>
        <w:keepLines w:val="0"/>
        <w:pageBreakBefore w:val="0"/>
        <w:widowControl/>
        <w:kinsoku/>
        <w:wordWrap/>
        <w:overflowPunct/>
        <w:topLinePunct w:val="0"/>
        <w:autoSpaceDE/>
        <w:autoSpaceDN/>
        <w:bidi w:val="0"/>
        <w:adjustRightInd/>
        <w:snapToGrid/>
        <w:ind w:firstLine="480" w:firstLineChars="200"/>
        <w:jc w:val="both"/>
        <w:textAlignment w:val="auto"/>
        <w:rPr>
          <w:sz w:val="24"/>
          <w:szCs w:val="24"/>
        </w:rPr>
      </w:pPr>
      <w:r>
        <w:rPr>
          <w:sz w:val="24"/>
          <w:szCs w:val="24"/>
        </w:rPr>
        <w:t>Поставка Товара включает в себя его установку, в том числе все необходимые материалы, необходимые для установки, подготовку мест для установки и осуществляется за счет средств Поставщика.</w:t>
      </w:r>
      <w:r>
        <w:rPr>
          <w:rFonts w:eastAsia="Calibri"/>
          <w:color w:val="000000"/>
          <w:sz w:val="24"/>
          <w:szCs w:val="24"/>
        </w:rPr>
        <w:t xml:space="preserve"> Поставщик должен осуществить установку Товара (кондиционера) в установленные для поставки Товара сроки. </w:t>
      </w:r>
    </w:p>
    <w:p w14:paraId="555BB189">
      <w:pPr>
        <w:pStyle w:val="28"/>
        <w:ind w:firstLine="540"/>
        <w:jc w:val="both"/>
        <w:rPr>
          <w:rFonts w:hint="default" w:ascii="Times New Roman" w:hAnsi="Times New Roman" w:cs="Times New Roman"/>
          <w:sz w:val="24"/>
          <w:szCs w:val="24"/>
        </w:rPr>
      </w:pPr>
      <w:r>
        <w:rPr>
          <w:rFonts w:hint="default" w:ascii="Times New Roman" w:hAnsi="Times New Roman" w:cs="Times New Roman"/>
          <w:sz w:val="24"/>
          <w:szCs w:val="24"/>
        </w:rPr>
        <w:t>3.3.2. 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71298A9D">
      <w:pPr>
        <w:contextualSpacing/>
        <w:jc w:val="center"/>
        <w:rPr>
          <w:rFonts w:hint="default" w:ascii="Times New Roman" w:hAnsi="Times New Roman" w:cs="Times New Roman"/>
          <w:b/>
          <w:sz w:val="24"/>
          <w:szCs w:val="24"/>
        </w:rPr>
      </w:pPr>
      <w:r>
        <w:rPr>
          <w:rFonts w:hint="default" w:ascii="Times New Roman" w:hAnsi="Times New Roman" w:cs="Times New Roman"/>
          <w:b/>
          <w:sz w:val="24"/>
          <w:szCs w:val="24"/>
        </w:rPr>
        <w:t>4. Приемка продукции</w:t>
      </w:r>
    </w:p>
    <w:p w14:paraId="24C4E88A">
      <w:pPr>
        <w:pStyle w:val="14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4.1.  Заказчик принимает   продукцию    с одновременной   проверкой   качества, количества  согласно  Спецификации, товарной накладной по форме ТОРГ-12.  </w:t>
      </w:r>
    </w:p>
    <w:p w14:paraId="51E0E74C">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4.2.</w:t>
      </w:r>
      <w:r>
        <w:rPr>
          <w:rFonts w:hint="default" w:ascii="Times New Roman" w:hAnsi="Times New Roman" w:cs="Times New Roman"/>
          <w:color w:val="000000"/>
          <w:sz w:val="24"/>
          <w:szCs w:val="24"/>
        </w:rPr>
        <w:t xml:space="preserve"> Днём приёмки  продукции   является  дата </w:t>
      </w:r>
      <w:r>
        <w:rPr>
          <w:rFonts w:hint="default" w:ascii="Times New Roman" w:hAnsi="Times New Roman" w:cs="Times New Roman"/>
          <w:sz w:val="24"/>
          <w:szCs w:val="24"/>
        </w:rPr>
        <w:t xml:space="preserve"> подписания представителем Заказчика товарной накладной по форме ТОРГ-12. </w:t>
      </w:r>
    </w:p>
    <w:p w14:paraId="31159BF3">
      <w:pPr>
        <w:ind w:firstLine="709"/>
        <w:contextualSpacing/>
        <w:jc w:val="both"/>
        <w:rPr>
          <w:rFonts w:hint="default" w:ascii="Times New Roman" w:hAnsi="Times New Roman" w:cs="Times New Roman"/>
          <w:sz w:val="24"/>
          <w:szCs w:val="24"/>
          <w:highlight w:val="none"/>
        </w:rPr>
      </w:pPr>
      <w:r>
        <w:rPr>
          <w:rFonts w:hint="default" w:ascii="Times New Roman" w:hAnsi="Times New Roman" w:cs="Times New Roman"/>
          <w:sz w:val="24"/>
          <w:szCs w:val="24"/>
        </w:rPr>
        <w:t xml:space="preserve">4.2.1. </w:t>
      </w:r>
      <w:r>
        <w:rPr>
          <w:rFonts w:hint="default" w:ascii="Times New Roman" w:hAnsi="Times New Roman" w:cs="Times New Roman"/>
          <w:sz w:val="24"/>
          <w:szCs w:val="24"/>
          <w:highlight w:val="none"/>
        </w:rPr>
        <w:t xml:space="preserve">При приемке продукции Заказчиком </w:t>
      </w:r>
      <w:r>
        <w:rPr>
          <w:rFonts w:hint="default" w:ascii="Times New Roman" w:hAnsi="Times New Roman" w:cs="Times New Roman"/>
          <w:sz w:val="24"/>
          <w:szCs w:val="24"/>
          <w:highlight w:val="none"/>
          <w:shd w:val="clear" w:color="auto" w:fill="FFFFFF"/>
        </w:rPr>
        <w:t xml:space="preserve">составляется </w:t>
      </w:r>
      <w:r>
        <w:rPr>
          <w:rFonts w:hint="default" w:ascii="Times New Roman" w:hAnsi="Times New Roman" w:cs="Times New Roman"/>
          <w:sz w:val="24"/>
          <w:szCs w:val="24"/>
          <w:highlight w:val="none"/>
        </w:rPr>
        <w:t xml:space="preserve">акт приемки товаров, работ, услуг по ф.0510452 согласно  Методическим указаниям, утвержденным Приказом Минфина России от 15.04.2021 г. № 61н. В случае обнаружения  количественных и качественных расхождений поставляемой продукции Заказчик направляет Поставщику акт   ф.0510452   в течение 3 (трех) рабочих дней со дня поставки продукции.  </w:t>
      </w:r>
    </w:p>
    <w:p w14:paraId="41CD54FE">
      <w:pPr>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4.2.2. Требования  по устранению  явных дефектов (по качеству)  продукции могут быть заявлены Заказчиком в течение</w:t>
      </w:r>
      <w:r>
        <w:rPr>
          <w:rFonts w:hint="default" w:ascii="Times New Roman" w:hAnsi="Times New Roman" w:cs="Times New Roman"/>
          <w:sz w:val="24"/>
          <w:szCs w:val="24"/>
          <w:highlight w:val="none"/>
        </w:rPr>
        <w:t xml:space="preserve"> 3 (трех)</w:t>
      </w:r>
      <w:r>
        <w:rPr>
          <w:rFonts w:hint="default" w:ascii="Times New Roman" w:hAnsi="Times New Roman" w:cs="Times New Roman"/>
          <w:sz w:val="24"/>
          <w:szCs w:val="24"/>
        </w:rPr>
        <w:t xml:space="preserve"> рабочих дней со дня поставки  продукции .</w:t>
      </w:r>
    </w:p>
    <w:p w14:paraId="2EE74935">
      <w:pPr>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4.3. По истечении гарантийного срока на продукцию, установленного п. 2.2. настоящего Контракта, претензии по качеству (</w:t>
      </w:r>
      <w:r>
        <w:rPr>
          <w:rFonts w:hint="default" w:ascii="Times New Roman" w:hAnsi="Times New Roman" w:cs="Times New Roman"/>
          <w:iCs/>
          <w:sz w:val="24"/>
          <w:szCs w:val="24"/>
        </w:rPr>
        <w:t>скрытые дефекты)</w:t>
      </w:r>
      <w:r>
        <w:rPr>
          <w:rFonts w:hint="default" w:ascii="Times New Roman" w:hAnsi="Times New Roman" w:cs="Times New Roman"/>
          <w:sz w:val="24"/>
          <w:szCs w:val="24"/>
        </w:rPr>
        <w:t xml:space="preserve"> не принимаются.</w:t>
      </w:r>
    </w:p>
    <w:p w14:paraId="0D6A0745">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4.4. Продукция, поставленная в  полном соответствии  условиям настоящего Контракта,  не подлежит возврату и  обмену на  альтернативную.</w:t>
      </w:r>
    </w:p>
    <w:p w14:paraId="0AFEE7ED">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4.5.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623C96BC">
      <w:pPr>
        <w:ind w:firstLine="709"/>
        <w:jc w:val="center"/>
        <w:rPr>
          <w:rFonts w:hint="default" w:ascii="Times New Roman" w:hAnsi="Times New Roman" w:cs="Times New Roman"/>
          <w:b/>
          <w:bCs/>
          <w:sz w:val="24"/>
          <w:szCs w:val="24"/>
        </w:rPr>
      </w:pPr>
    </w:p>
    <w:p w14:paraId="514DB0FD">
      <w:pPr>
        <w:numPr>
          <w:ilvl w:val="0"/>
          <w:numId w:val="2"/>
        </w:numPr>
        <w:ind w:firstLine="709"/>
        <w:jc w:val="center"/>
        <w:rPr>
          <w:rFonts w:hint="default" w:ascii="Times New Roman" w:hAnsi="Times New Roman" w:cs="Times New Roman"/>
          <w:b/>
          <w:bCs/>
          <w:sz w:val="24"/>
          <w:szCs w:val="24"/>
        </w:rPr>
      </w:pPr>
      <w:r>
        <w:rPr>
          <w:rFonts w:hint="default" w:ascii="Times New Roman" w:hAnsi="Times New Roman" w:cs="Times New Roman"/>
          <w:b/>
          <w:bCs/>
          <w:sz w:val="24"/>
          <w:szCs w:val="24"/>
        </w:rPr>
        <w:t>Цена Контракта и порядок расчетов</w:t>
      </w:r>
    </w:p>
    <w:p w14:paraId="5A1E3AEA">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5.1. </w:t>
      </w:r>
      <w:r>
        <w:rPr>
          <w:rFonts w:hint="default" w:ascii="Times New Roman" w:hAnsi="Times New Roman" w:eastAsia="Calibri" w:cs="Times New Roman"/>
          <w:sz w:val="24"/>
          <w:szCs w:val="24"/>
        </w:rPr>
        <w:t>Стоимость продукции по настоящему Контракту составляет</w:t>
      </w:r>
      <w:r>
        <w:rPr>
          <w:rFonts w:hint="default" w:ascii="Times New Roman" w:hAnsi="Times New Roman" w:eastAsia="Calibri" w:cs="Times New Roman"/>
          <w:sz w:val="24"/>
          <w:szCs w:val="24"/>
          <w:lang w:val="ru-RU"/>
        </w:rPr>
        <w:t xml:space="preserve"> _______________</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lang w:val="ru-RU"/>
        </w:rPr>
        <w:t>_____________</w:t>
      </w:r>
      <w:r>
        <w:rPr>
          <w:rFonts w:hint="default" w:ascii="Times New Roman" w:hAnsi="Times New Roman" w:eastAsia="Calibri" w:cs="Times New Roman"/>
          <w:sz w:val="24"/>
          <w:szCs w:val="24"/>
        </w:rPr>
        <w:t>) рублей</w:t>
      </w:r>
      <w:r>
        <w:rPr>
          <w:rFonts w:hint="default" w:ascii="Times New Roman" w:hAnsi="Times New Roman" w:eastAsia="Calibri" w:cs="Times New Roman"/>
          <w:sz w:val="24"/>
          <w:szCs w:val="24"/>
          <w:lang w:val="ru-RU"/>
        </w:rPr>
        <w:t xml:space="preserve"> ______ </w:t>
      </w:r>
      <w:r>
        <w:rPr>
          <w:rFonts w:hint="default" w:ascii="Times New Roman" w:hAnsi="Times New Roman" w:eastAsia="Calibri" w:cs="Times New Roman"/>
          <w:sz w:val="24"/>
          <w:szCs w:val="24"/>
        </w:rPr>
        <w:t xml:space="preserve">копеек, </w:t>
      </w:r>
      <w:r>
        <w:rPr>
          <w:rFonts w:hint="default" w:ascii="Times New Roman" w:hAnsi="Times New Roman" w:eastAsia="Calibri" w:cs="Times New Roman"/>
          <w:sz w:val="24"/>
          <w:szCs w:val="24"/>
          <w:lang w:val="ru-RU"/>
        </w:rPr>
        <w:t xml:space="preserve"> с/без  НДС</w:t>
      </w:r>
      <w:r>
        <w:rPr>
          <w:rFonts w:hint="default" w:ascii="Times New Roman" w:hAnsi="Times New Roman" w:eastAsia="Calibri" w:cs="Times New Roman"/>
          <w:sz w:val="24"/>
          <w:szCs w:val="24"/>
        </w:rPr>
        <w:t>.</w:t>
      </w:r>
    </w:p>
    <w:p w14:paraId="4D5DE15F">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5.2. Заказчик производит оплату по настоящему Контракту </w:t>
      </w:r>
      <w:r>
        <w:rPr>
          <w:rFonts w:hint="default" w:ascii="Times New Roman" w:hAnsi="Times New Roman" w:cs="Times New Roman"/>
          <w:color w:val="000000"/>
          <w:sz w:val="24"/>
          <w:szCs w:val="24"/>
        </w:rPr>
        <w:t>в течение семи рабочих дней со дня приёмки продукции  в порядке, предусмотренном  разделом 4 настоящего Контракта.</w:t>
      </w:r>
    </w:p>
    <w:p w14:paraId="0960DBCD">
      <w:pPr>
        <w:ind w:firstLine="709"/>
        <w:jc w:val="center"/>
        <w:rPr>
          <w:rFonts w:hint="default" w:ascii="Times New Roman" w:hAnsi="Times New Roman" w:cs="Times New Roman"/>
          <w:b/>
          <w:bCs/>
          <w:color w:val="000000"/>
          <w:sz w:val="24"/>
          <w:szCs w:val="24"/>
        </w:rPr>
      </w:pPr>
    </w:p>
    <w:p w14:paraId="10A425E2">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6. Упаковка и маркировка продукции</w:t>
      </w:r>
    </w:p>
    <w:p w14:paraId="00F69EAD">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6.1.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69E9000C">
      <w:pPr>
        <w:ind w:firstLine="709"/>
        <w:jc w:val="center"/>
        <w:rPr>
          <w:rFonts w:hint="default" w:ascii="Times New Roman" w:hAnsi="Times New Roman" w:cs="Times New Roman"/>
          <w:b/>
          <w:bCs/>
          <w:color w:val="000000"/>
          <w:sz w:val="24"/>
          <w:szCs w:val="24"/>
        </w:rPr>
      </w:pPr>
    </w:p>
    <w:p w14:paraId="23B1DDB4">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7. Ответственность Сторон</w:t>
      </w:r>
    </w:p>
    <w:p w14:paraId="1557C618">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6A8E9216">
      <w:pPr>
        <w:ind w:firstLine="709"/>
        <w:jc w:val="center"/>
        <w:rPr>
          <w:rFonts w:hint="default" w:ascii="Times New Roman" w:hAnsi="Times New Roman" w:cs="Times New Roman"/>
          <w:b/>
          <w:bCs/>
          <w:color w:val="000000"/>
          <w:sz w:val="24"/>
          <w:szCs w:val="24"/>
        </w:rPr>
      </w:pPr>
    </w:p>
    <w:p w14:paraId="18CA8DF1">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8. Разрешение споров</w:t>
      </w:r>
    </w:p>
    <w:p w14:paraId="14B712F1">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2F6E77F4">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7 (семи) рабочих  дней с момента получения претензии.</w:t>
      </w:r>
    </w:p>
    <w:p w14:paraId="068AD34D">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8.3. При не урегулировании спора посредством претензионного порядка, а также при неполучении ответа на претензию в срок, установленный п. 8.2. настоящего Контракта, каждая из Сторон имеет право обратиться за его разрешением в суд. </w:t>
      </w:r>
    </w:p>
    <w:p w14:paraId="64334BFB">
      <w:pPr>
        <w:ind w:firstLine="709"/>
        <w:jc w:val="both"/>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8.4. </w:t>
      </w:r>
      <w:r>
        <w:rPr>
          <w:rFonts w:hint="default" w:ascii="Times New Roman" w:hAnsi="Times New Roman" w:cs="Times New Roman"/>
          <w:sz w:val="24"/>
          <w:szCs w:val="24"/>
        </w:rPr>
        <w:t>Неурегулированные в претензионном порядке споры передаются на рассмотрение  в суд по месту нахождения  Поставщика.</w:t>
      </w:r>
    </w:p>
    <w:p w14:paraId="15D24027">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9. Прочие условия</w:t>
      </w:r>
    </w:p>
    <w:p w14:paraId="4AB14D1C">
      <w:pPr>
        <w:ind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9.1.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0F4EA864">
      <w:pPr>
        <w:shd w:val="clear" w:color="auto" w:fill="FFFFFF"/>
        <w:ind w:right="6" w:firstLine="720"/>
        <w:jc w:val="both"/>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rPr>
        <w:t>9.2. </w:t>
      </w:r>
      <w:r>
        <w:rPr>
          <w:rFonts w:hint="default" w:ascii="Times New Roman" w:hAnsi="Times New Roman" w:cs="Times New Roman"/>
          <w:color w:val="000000"/>
          <w:sz w:val="24"/>
          <w:szCs w:val="24"/>
          <w:shd w:val="clear" w:color="auto" w:fill="FFFFFF"/>
        </w:rPr>
        <w:t xml:space="preserve">Стороны признают юридическую силу за электронными письмами, документами, направленными по электронной почте (e-mail), в т.ч. с использованием иного аналога собственноручной подписи,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w:t>
      </w:r>
    </w:p>
    <w:p w14:paraId="59EC83BF">
      <w:pPr>
        <w:shd w:val="clear" w:color="auto" w:fill="FFFFFF"/>
        <w:ind w:right="6"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9.3. 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1B28F43B">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9.4. Ни одна из Сторон не вправе передавать принятые на себя обязательства третьим лицам без письменного на то согласия другой Стороны.</w:t>
      </w:r>
    </w:p>
    <w:p w14:paraId="2A383A54">
      <w:pPr>
        <w:ind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9.5.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532ADAC9">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9.6. После подписания настоящего Контракта все предыдущие письменные и устные соглашения между Сторонами теряют силу.</w:t>
      </w:r>
    </w:p>
    <w:p w14:paraId="5AA3F12F">
      <w:pPr>
        <w:pStyle w:val="28"/>
        <w:ind w:firstLine="540"/>
        <w:jc w:val="both"/>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  9.7.</w:t>
      </w:r>
      <w:r>
        <w:rPr>
          <w:rFonts w:hint="default" w:ascii="Times New Roman" w:hAnsi="Times New Roman" w:cs="Times New Roman"/>
          <w:sz w:val="24"/>
          <w:szCs w:val="24"/>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76476746">
      <w:pPr>
        <w:pStyle w:val="28"/>
        <w:ind w:firstLine="540"/>
        <w:jc w:val="both"/>
        <w:rPr>
          <w:rFonts w:hint="default" w:ascii="Times New Roman" w:hAnsi="Times New Roman" w:cs="Times New Roman"/>
          <w:sz w:val="24"/>
          <w:szCs w:val="24"/>
        </w:rPr>
      </w:pPr>
      <w:r>
        <w:rPr>
          <w:rFonts w:hint="default" w:ascii="Times New Roman" w:hAnsi="Times New Roman" w:cs="Times New Roman"/>
          <w:sz w:val="24"/>
          <w:szCs w:val="24"/>
        </w:rPr>
        <w:t>- заказным письмом с уведомлением о вручении;</w:t>
      </w:r>
    </w:p>
    <w:p w14:paraId="2F958173">
      <w:pPr>
        <w:pStyle w:val="28"/>
        <w:ind w:firstLine="540"/>
        <w:jc w:val="both"/>
        <w:rPr>
          <w:rFonts w:hint="default" w:ascii="Times New Roman" w:hAnsi="Times New Roman" w:cs="Times New Roman"/>
          <w:sz w:val="24"/>
          <w:szCs w:val="24"/>
        </w:rPr>
      </w:pPr>
      <w:r>
        <w:rPr>
          <w:rFonts w:hint="default" w:ascii="Times New Roman" w:hAnsi="Times New Roman" w:cs="Times New Roman"/>
          <w:sz w:val="24"/>
          <w:szCs w:val="24"/>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724B8571">
      <w:pPr>
        <w:pStyle w:val="28"/>
        <w:ind w:firstLine="540"/>
        <w:jc w:val="both"/>
        <w:rPr>
          <w:rFonts w:hint="default" w:ascii="Times New Roman" w:hAnsi="Times New Roman" w:cs="Times New Roman"/>
          <w:sz w:val="24"/>
          <w:szCs w:val="24"/>
        </w:rPr>
      </w:pPr>
      <w:r>
        <w:rPr>
          <w:rFonts w:hint="default" w:ascii="Times New Roman" w:hAnsi="Times New Roman" w:cs="Times New Roman"/>
          <w:sz w:val="24"/>
          <w:szCs w:val="24"/>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C0E50B">
      <w:pPr>
        <w:pStyle w:val="28"/>
        <w:ind w:firstLine="540"/>
        <w:jc w:val="both"/>
        <w:rPr>
          <w:rFonts w:hint="default" w:ascii="Times New Roman" w:hAnsi="Times New Roman" w:cs="Times New Roman"/>
          <w:sz w:val="24"/>
          <w:szCs w:val="24"/>
        </w:rPr>
      </w:pPr>
      <w:r>
        <w:rPr>
          <w:rFonts w:hint="default" w:ascii="Times New Roman" w:hAnsi="Times New Roman" w:cs="Times New Roman"/>
          <w:sz w:val="24"/>
          <w:szCs w:val="24"/>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(п. 1 ст. 165.1 ГК РФ).</w:t>
      </w:r>
    </w:p>
    <w:p w14:paraId="0083676C">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14C784C0">
      <w:pPr>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9.</w:t>
      </w:r>
      <w:r>
        <w:rPr>
          <w:rFonts w:hint="default" w:cs="Times New Roman"/>
          <w:color w:val="000000"/>
          <w:sz w:val="24"/>
          <w:szCs w:val="24"/>
          <w:lang w:val="ru-RU"/>
        </w:rPr>
        <w:t>8</w:t>
      </w:r>
      <w:r>
        <w:rPr>
          <w:rFonts w:hint="default" w:ascii="Times New Roman" w:hAnsi="Times New Roman" w:cs="Times New Roman"/>
          <w:color w:val="000000"/>
          <w:sz w:val="24"/>
          <w:szCs w:val="24"/>
        </w:rPr>
        <w:t>. Настоящий Контракт составлен в двух экземплярах, имеющих равную юридическую силу, по одному для каждой из Сторон.</w:t>
      </w:r>
    </w:p>
    <w:p w14:paraId="6BC7ED27">
      <w:pPr>
        <w:tabs>
          <w:tab w:val="left" w:pos="709"/>
        </w:tabs>
        <w:autoSpaceDE w:val="0"/>
        <w:autoSpaceDN w:val="0"/>
        <w:adjustRightInd w:val="0"/>
        <w:ind w:firstLine="709"/>
        <w:jc w:val="both"/>
        <w:rPr>
          <w:rFonts w:hint="default" w:ascii="Times New Roman" w:hAnsi="Times New Roman" w:cs="Times New Roman"/>
          <w:sz w:val="24"/>
          <w:szCs w:val="24"/>
        </w:rPr>
      </w:pPr>
    </w:p>
    <w:p w14:paraId="5F8FCC68">
      <w:pPr>
        <w:tabs>
          <w:tab w:val="left" w:pos="709"/>
        </w:tabs>
        <w:autoSpaceDE w:val="0"/>
        <w:autoSpaceDN w:val="0"/>
        <w:adjustRightInd w:val="0"/>
        <w:ind w:firstLine="709"/>
        <w:jc w:val="center"/>
        <w:rPr>
          <w:rFonts w:hint="default" w:ascii="Times New Roman" w:hAnsi="Times New Roman" w:cs="Times New Roman"/>
          <w:b/>
          <w:sz w:val="24"/>
          <w:szCs w:val="24"/>
        </w:rPr>
      </w:pPr>
      <w:r>
        <w:rPr>
          <w:rFonts w:hint="default" w:cs="Times New Roman"/>
          <w:b/>
          <w:sz w:val="24"/>
          <w:szCs w:val="24"/>
          <w:lang w:val="ru-RU"/>
        </w:rPr>
        <w:t>10</w:t>
      </w:r>
      <w:r>
        <w:rPr>
          <w:rFonts w:hint="default" w:ascii="Times New Roman" w:hAnsi="Times New Roman" w:cs="Times New Roman"/>
          <w:b/>
          <w:sz w:val="24"/>
          <w:szCs w:val="24"/>
        </w:rPr>
        <w:t>. ПРИЛОЖЕНИЯ К КОНТРАКТУ</w:t>
      </w:r>
    </w:p>
    <w:p w14:paraId="185040CB">
      <w:pPr>
        <w:tabs>
          <w:tab w:val="left" w:pos="709"/>
        </w:tabs>
        <w:ind w:firstLine="70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rPr>
        <w:t xml:space="preserve">.1. Приложение 1. Спецификация – на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л.   </w:t>
      </w:r>
    </w:p>
    <w:p w14:paraId="13D101FD">
      <w:pPr>
        <w:tabs>
          <w:tab w:val="left" w:pos="709"/>
        </w:tabs>
        <w:ind w:firstLine="70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rPr>
        <w:t xml:space="preserve">.2. Приложение 2. Техническая часть – на </w:t>
      </w:r>
      <w:r>
        <w:rPr>
          <w:rFonts w:hint="default" w:ascii="Times New Roman" w:hAnsi="Times New Roman" w:cs="Times New Roman"/>
          <w:sz w:val="24"/>
          <w:szCs w:val="24"/>
          <w:lang w:val="ru-RU"/>
        </w:rPr>
        <w:t xml:space="preserve">1 </w:t>
      </w:r>
      <w:r>
        <w:rPr>
          <w:rFonts w:hint="default" w:ascii="Times New Roman" w:hAnsi="Times New Roman" w:cs="Times New Roman"/>
          <w:sz w:val="24"/>
          <w:szCs w:val="24"/>
        </w:rPr>
        <w:t xml:space="preserve"> л.</w:t>
      </w:r>
    </w:p>
    <w:p w14:paraId="0CF06588">
      <w:pPr>
        <w:autoSpaceDE w:val="0"/>
        <w:autoSpaceDN w:val="0"/>
        <w:adjustRightInd w:val="0"/>
        <w:ind w:firstLine="709"/>
        <w:jc w:val="both"/>
        <w:outlineLvl w:val="2"/>
        <w:rPr>
          <w:rFonts w:hint="default" w:ascii="Times New Roman" w:hAnsi="Times New Roman" w:cs="Times New Roman" w:eastAsiaTheme="minorEastAsia"/>
          <w:color w:val="000000" w:themeColor="text1"/>
          <w:sz w:val="24"/>
          <w:szCs w:val="24"/>
          <w14:textFill>
            <w14:solidFill>
              <w14:schemeClr w14:val="tx1"/>
            </w14:solidFill>
          </w14:textFill>
        </w:rPr>
      </w:pPr>
    </w:p>
    <w:p w14:paraId="5450DBE7">
      <w:pPr>
        <w:widowControl w:val="0"/>
        <w:autoSpaceDE w:val="0"/>
        <w:autoSpaceDN w:val="0"/>
        <w:adjustRightInd w:val="0"/>
        <w:ind w:firstLine="709"/>
        <w:jc w:val="both"/>
        <w:rPr>
          <w:rFonts w:hint="default" w:ascii="Times New Roman" w:hAnsi="Times New Roman" w:cs="Times New Roman" w:eastAsiaTheme="minorEastAsia"/>
          <w:sz w:val="24"/>
          <w:szCs w:val="24"/>
        </w:rPr>
      </w:pPr>
    </w:p>
    <w:p w14:paraId="6B3E59E6">
      <w:pPr>
        <w:widowControl w:val="0"/>
        <w:autoSpaceDE w:val="0"/>
        <w:autoSpaceDN w:val="0"/>
        <w:adjustRightInd w:val="0"/>
        <w:ind w:firstLine="709"/>
        <w:jc w:val="both"/>
        <w:rPr>
          <w:rFonts w:hint="default" w:ascii="Times New Roman" w:hAnsi="Times New Roman" w:cs="Times New Roman"/>
          <w:b/>
          <w:color w:val="000000" w:themeColor="text1"/>
          <w:sz w:val="24"/>
          <w:szCs w:val="24"/>
          <w14:textFill>
            <w14:solidFill>
              <w14:schemeClr w14:val="tx1"/>
            </w14:solidFill>
          </w14:textFill>
        </w:rPr>
      </w:pPr>
      <w:bookmarkStart w:id="0" w:name="P221"/>
      <w:bookmarkEnd w:id="0"/>
    </w:p>
    <w:tbl>
      <w:tblPr>
        <w:tblStyle w:val="6"/>
        <w:tblW w:w="10065" w:type="dxa"/>
        <w:tblInd w:w="0" w:type="dxa"/>
        <w:tblLayout w:type="fixed"/>
        <w:tblCellMar>
          <w:top w:w="0" w:type="dxa"/>
          <w:left w:w="108" w:type="dxa"/>
          <w:bottom w:w="0" w:type="dxa"/>
          <w:right w:w="108" w:type="dxa"/>
        </w:tblCellMar>
      </w:tblPr>
      <w:tblGrid>
        <w:gridCol w:w="5032"/>
        <w:gridCol w:w="5033"/>
      </w:tblGrid>
      <w:tr w14:paraId="1E29BED5">
        <w:tblPrEx>
          <w:tblCellMar>
            <w:top w:w="0" w:type="dxa"/>
            <w:left w:w="108" w:type="dxa"/>
            <w:bottom w:w="0" w:type="dxa"/>
            <w:right w:w="108" w:type="dxa"/>
          </w:tblCellMar>
        </w:tblPrEx>
        <w:trPr>
          <w:trHeight w:val="986" w:hRule="atLeast"/>
        </w:trPr>
        <w:tc>
          <w:tcPr>
            <w:tcW w:w="5030" w:type="dxa"/>
          </w:tcPr>
          <w:p w14:paraId="33630D90">
            <w:pPr>
              <w:rPr>
                <w:rFonts w:hint="default" w:ascii="Times New Roman" w:hAnsi="Times New Roman" w:cs="Times New Roman"/>
                <w:b/>
                <w:sz w:val="24"/>
                <w:szCs w:val="24"/>
                <w:lang w:eastAsia="en-US"/>
              </w:rPr>
            </w:pPr>
            <w:r>
              <w:rPr>
                <w:rFonts w:hint="default" w:ascii="Times New Roman" w:hAnsi="Times New Roman" w:cs="Times New Roman"/>
                <w:b/>
                <w:sz w:val="24"/>
                <w:szCs w:val="24"/>
                <w:lang w:eastAsia="en-US"/>
              </w:rPr>
              <w:t>ЗАКАЗЧИК</w:t>
            </w:r>
          </w:p>
          <w:p w14:paraId="2868347C">
            <w:pPr>
              <w:rPr>
                <w:rFonts w:hint="default" w:ascii="Times New Roman" w:hAnsi="Times New Roman" w:cs="Times New Roman"/>
                <w:sz w:val="24"/>
                <w:szCs w:val="24"/>
                <w:lang w:eastAsia="en-US"/>
              </w:rPr>
            </w:pPr>
          </w:p>
        </w:tc>
        <w:tc>
          <w:tcPr>
            <w:tcW w:w="5030" w:type="dxa"/>
          </w:tcPr>
          <w:p w14:paraId="2AFA442F">
            <w:pPr>
              <w:jc w:val="both"/>
              <w:rPr>
                <w:rFonts w:hint="default" w:ascii="Times New Roman" w:hAnsi="Times New Roman" w:cs="Times New Roman"/>
                <w:b/>
                <w:color w:val="000000" w:themeColor="text1"/>
                <w:sz w:val="24"/>
                <w:szCs w:val="24"/>
                <w:lang w:eastAsia="en-US"/>
                <w14:textFill>
                  <w14:solidFill>
                    <w14:schemeClr w14:val="tx1"/>
                  </w14:solidFill>
                </w14:textFill>
              </w:rPr>
            </w:pPr>
            <w:r>
              <w:rPr>
                <w:rFonts w:hint="default" w:ascii="Times New Roman" w:hAnsi="Times New Roman" w:cs="Times New Roman"/>
                <w:b/>
                <w:color w:val="000000" w:themeColor="text1"/>
                <w:sz w:val="24"/>
                <w:szCs w:val="24"/>
                <w:lang w:eastAsia="en-US"/>
                <w14:textFill>
                  <w14:solidFill>
                    <w14:schemeClr w14:val="tx1"/>
                  </w14:solidFill>
                </w14:textFill>
              </w:rPr>
              <w:t>ПОСТАВЩИК</w:t>
            </w:r>
          </w:p>
          <w:p w14:paraId="1D3CAFE6">
            <w:pPr>
              <w:rPr>
                <w:rFonts w:hint="default" w:ascii="Times New Roman" w:hAnsi="Times New Roman" w:cs="Times New Roman"/>
                <w:color w:val="000000"/>
                <w:spacing w:val="-6"/>
                <w:sz w:val="24"/>
                <w:szCs w:val="24"/>
                <w:lang w:eastAsia="en-US"/>
              </w:rPr>
            </w:pPr>
          </w:p>
        </w:tc>
      </w:tr>
    </w:tbl>
    <w:p w14:paraId="259812D9">
      <w:pPr>
        <w:jc w:val="right"/>
        <w:rPr>
          <w:rFonts w:hint="default" w:ascii="Times New Roman" w:hAnsi="Times New Roman" w:cs="Times New Roman"/>
          <w:sz w:val="24"/>
          <w:szCs w:val="24"/>
        </w:rPr>
      </w:pPr>
    </w:p>
    <w:p w14:paraId="4989E48C">
      <w:pPr>
        <w:jc w:val="right"/>
        <w:rPr>
          <w:rFonts w:hint="default" w:ascii="Times New Roman" w:hAnsi="Times New Roman" w:cs="Times New Roman"/>
          <w:sz w:val="24"/>
          <w:szCs w:val="24"/>
        </w:rPr>
      </w:pPr>
    </w:p>
    <w:p w14:paraId="6F833DBC">
      <w:pPr>
        <w:jc w:val="right"/>
        <w:rPr>
          <w:rFonts w:hint="default" w:ascii="Times New Roman" w:hAnsi="Times New Roman" w:cs="Times New Roman"/>
          <w:sz w:val="24"/>
          <w:szCs w:val="24"/>
        </w:rPr>
      </w:pPr>
    </w:p>
    <w:p w14:paraId="38A36AC5">
      <w:pPr>
        <w:jc w:val="right"/>
        <w:rPr>
          <w:rFonts w:hint="default" w:ascii="Times New Roman" w:hAnsi="Times New Roman" w:cs="Times New Roman"/>
          <w:sz w:val="24"/>
          <w:szCs w:val="24"/>
        </w:rPr>
      </w:pPr>
    </w:p>
    <w:p w14:paraId="2F92FDB5">
      <w:pPr>
        <w:jc w:val="right"/>
        <w:rPr>
          <w:rFonts w:hint="default" w:ascii="Times New Roman" w:hAnsi="Times New Roman" w:cs="Times New Roman"/>
          <w:sz w:val="24"/>
          <w:szCs w:val="24"/>
        </w:rPr>
      </w:pPr>
    </w:p>
    <w:p w14:paraId="7857F72D">
      <w:pPr>
        <w:jc w:val="right"/>
        <w:rPr>
          <w:rFonts w:hint="default" w:ascii="Times New Roman" w:hAnsi="Times New Roman" w:cs="Times New Roman"/>
          <w:sz w:val="24"/>
          <w:szCs w:val="24"/>
        </w:rPr>
      </w:pPr>
    </w:p>
    <w:p w14:paraId="544AAA28">
      <w:pPr>
        <w:jc w:val="right"/>
        <w:rPr>
          <w:rFonts w:hint="default" w:ascii="Times New Roman" w:hAnsi="Times New Roman" w:cs="Times New Roman"/>
          <w:sz w:val="24"/>
          <w:szCs w:val="24"/>
        </w:rPr>
      </w:pPr>
    </w:p>
    <w:p w14:paraId="07E52E7C">
      <w:pPr>
        <w:jc w:val="right"/>
        <w:rPr>
          <w:rFonts w:hint="default" w:ascii="Times New Roman" w:hAnsi="Times New Roman" w:cs="Times New Roman"/>
          <w:sz w:val="24"/>
          <w:szCs w:val="24"/>
        </w:rPr>
      </w:pPr>
    </w:p>
    <w:p w14:paraId="1F9A096C">
      <w:pPr>
        <w:jc w:val="right"/>
        <w:rPr>
          <w:rFonts w:hint="default" w:ascii="Times New Roman" w:hAnsi="Times New Roman" w:cs="Times New Roman"/>
          <w:sz w:val="24"/>
          <w:szCs w:val="24"/>
        </w:rPr>
      </w:pPr>
    </w:p>
    <w:p w14:paraId="1A002E53">
      <w:pPr>
        <w:jc w:val="right"/>
        <w:rPr>
          <w:rFonts w:hint="default" w:ascii="Times New Roman" w:hAnsi="Times New Roman" w:cs="Times New Roman"/>
          <w:sz w:val="24"/>
          <w:szCs w:val="24"/>
        </w:rPr>
      </w:pPr>
    </w:p>
    <w:p w14:paraId="69631810">
      <w:pPr>
        <w:jc w:val="right"/>
        <w:rPr>
          <w:rFonts w:hint="default" w:ascii="Times New Roman" w:hAnsi="Times New Roman" w:cs="Times New Roman"/>
          <w:sz w:val="24"/>
          <w:szCs w:val="24"/>
        </w:rPr>
      </w:pPr>
    </w:p>
    <w:p w14:paraId="5175E78B">
      <w:pPr>
        <w:jc w:val="right"/>
        <w:rPr>
          <w:rFonts w:hint="default" w:ascii="Times New Roman" w:hAnsi="Times New Roman" w:cs="Times New Roman"/>
          <w:sz w:val="24"/>
          <w:szCs w:val="24"/>
        </w:rPr>
      </w:pPr>
    </w:p>
    <w:p w14:paraId="421E0701">
      <w:pPr>
        <w:jc w:val="right"/>
        <w:rPr>
          <w:rFonts w:hint="default" w:ascii="Times New Roman" w:hAnsi="Times New Roman" w:cs="Times New Roman"/>
          <w:sz w:val="24"/>
          <w:szCs w:val="24"/>
        </w:rPr>
      </w:pPr>
      <w:bookmarkStart w:id="1" w:name="_GoBack"/>
      <w:bookmarkEnd w:id="1"/>
      <w:r>
        <w:rPr>
          <w:rFonts w:hint="default" w:ascii="Times New Roman" w:hAnsi="Times New Roman" w:cs="Times New Roman"/>
          <w:sz w:val="24"/>
          <w:szCs w:val="24"/>
        </w:rPr>
        <w:t xml:space="preserve">Приложение </w:t>
      </w:r>
      <w:r>
        <w:rPr>
          <w:rFonts w:hint="default" w:ascii="Times New Roman" w:hAnsi="Times New Roman" w:cs="Times New Roman"/>
          <w:sz w:val="24"/>
          <w:szCs w:val="24"/>
          <w:lang w:val="ru-RU"/>
        </w:rPr>
        <w:t>№ 1</w:t>
      </w:r>
      <w:r>
        <w:rPr>
          <w:rFonts w:hint="default" w:ascii="Times New Roman" w:hAnsi="Times New Roman" w:cs="Times New Roman"/>
          <w:sz w:val="24"/>
          <w:szCs w:val="24"/>
        </w:rPr>
        <w:t xml:space="preserve">                                                         </w:t>
      </w:r>
    </w:p>
    <w:p w14:paraId="4C5ACCA1">
      <w:pPr>
        <w:jc w:val="right"/>
        <w:rPr>
          <w:rFonts w:hint="default" w:ascii="Times New Roman" w:hAnsi="Times New Roman" w:cs="Times New Roman"/>
          <w:sz w:val="24"/>
          <w:szCs w:val="24"/>
        </w:rPr>
      </w:pPr>
      <w:r>
        <w:rPr>
          <w:rFonts w:hint="default" w:ascii="Times New Roman" w:hAnsi="Times New Roman" w:cs="Times New Roman"/>
          <w:sz w:val="24"/>
          <w:szCs w:val="24"/>
        </w:rPr>
        <w:t xml:space="preserve">                  к  контракту</w:t>
      </w:r>
    </w:p>
    <w:p w14:paraId="0ECB15BC">
      <w:pPr>
        <w:tabs>
          <w:tab w:val="left" w:pos="5400"/>
        </w:tabs>
        <w:jc w:val="right"/>
        <w:rPr>
          <w:rFonts w:hint="default" w:ascii="Times New Roman" w:hAnsi="Times New Roman" w:cs="Times New Roman"/>
          <w:sz w:val="24"/>
          <w:szCs w:val="24"/>
        </w:rPr>
      </w:pPr>
      <w:r>
        <w:rPr>
          <w:rFonts w:hint="default" w:ascii="Times New Roman" w:hAnsi="Times New Roman" w:cs="Times New Roman"/>
          <w:sz w:val="24"/>
          <w:szCs w:val="24"/>
        </w:rPr>
        <w:t xml:space="preserve">                                                                         от___________№___________</w:t>
      </w:r>
    </w:p>
    <w:p w14:paraId="32D1529D">
      <w:pPr>
        <w:tabs>
          <w:tab w:val="left" w:pos="5400"/>
        </w:tabs>
        <w:jc w:val="right"/>
        <w:rPr>
          <w:rFonts w:hint="default" w:ascii="Times New Roman" w:hAnsi="Times New Roman" w:cs="Times New Roman"/>
          <w:sz w:val="24"/>
          <w:szCs w:val="24"/>
        </w:rPr>
      </w:pPr>
    </w:p>
    <w:p w14:paraId="4427F46E">
      <w:pPr>
        <w:tabs>
          <w:tab w:val="left" w:pos="5400"/>
        </w:tabs>
        <w:jc w:val="right"/>
        <w:rPr>
          <w:rFonts w:hint="default" w:ascii="Times New Roman" w:hAnsi="Times New Roman" w:cs="Times New Roman"/>
          <w:sz w:val="24"/>
          <w:szCs w:val="24"/>
        </w:rPr>
      </w:pPr>
    </w:p>
    <w:p w14:paraId="74EC2C06">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СПЕЦИФИКАЦИЯ</w:t>
      </w:r>
    </w:p>
    <w:p w14:paraId="5BA5D67D">
      <w:pPr>
        <w:jc w:val="center"/>
        <w:rPr>
          <w:rFonts w:hint="default" w:ascii="Times New Roman" w:hAnsi="Times New Roman" w:cs="Times New Roman"/>
          <w:b/>
          <w:bCs/>
          <w:sz w:val="24"/>
          <w:szCs w:val="24"/>
        </w:rPr>
      </w:pPr>
    </w:p>
    <w:tbl>
      <w:tblPr>
        <w:tblStyle w:val="6"/>
        <w:tblW w:w="10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2543"/>
        <w:gridCol w:w="816"/>
        <w:gridCol w:w="139"/>
        <w:gridCol w:w="1001"/>
        <w:gridCol w:w="1140"/>
        <w:gridCol w:w="3899"/>
      </w:tblGrid>
      <w:tr w14:paraId="1CFB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614" w:type="dxa"/>
            <w:tcBorders>
              <w:top w:val="single" w:color="auto" w:sz="4" w:space="0"/>
              <w:left w:val="single" w:color="auto" w:sz="4" w:space="0"/>
              <w:bottom w:val="single" w:color="auto" w:sz="4" w:space="0"/>
              <w:right w:val="single" w:color="auto" w:sz="4" w:space="0"/>
            </w:tcBorders>
            <w:vAlign w:val="center"/>
          </w:tcPr>
          <w:p w14:paraId="2C2950D9">
            <w:pPr>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w:t>
            </w:r>
          </w:p>
          <w:p w14:paraId="7BC2383E">
            <w:pPr>
              <w:jc w:val="center"/>
              <w:rPr>
                <w:rFonts w:hint="default" w:ascii="Times New Roman" w:hAnsi="Times New Roman" w:cs="Times New Roman"/>
                <w:bCs/>
                <w:sz w:val="24"/>
                <w:szCs w:val="24"/>
                <w:lang w:eastAsia="en-US"/>
              </w:rPr>
            </w:pPr>
            <w:r>
              <w:rPr>
                <w:rFonts w:hint="default" w:ascii="Times New Roman" w:hAnsi="Times New Roman" w:cs="Times New Roman"/>
                <w:sz w:val="24"/>
                <w:szCs w:val="24"/>
                <w:lang w:eastAsia="en-US"/>
              </w:rPr>
              <w:t>п\п</w:t>
            </w:r>
          </w:p>
        </w:tc>
        <w:tc>
          <w:tcPr>
            <w:tcW w:w="2543" w:type="dxa"/>
            <w:tcBorders>
              <w:top w:val="single" w:color="auto" w:sz="4" w:space="0"/>
              <w:left w:val="single" w:color="auto" w:sz="4" w:space="0"/>
              <w:bottom w:val="single" w:color="auto" w:sz="4" w:space="0"/>
              <w:right w:val="single" w:color="auto" w:sz="4" w:space="0"/>
            </w:tcBorders>
            <w:vAlign w:val="center"/>
          </w:tcPr>
          <w:p w14:paraId="0C7C58ED">
            <w:pPr>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Наименование</w:t>
            </w:r>
          </w:p>
          <w:p w14:paraId="3266425F">
            <w:pPr>
              <w:jc w:val="center"/>
              <w:rPr>
                <w:rFonts w:hint="default" w:ascii="Times New Roman" w:hAnsi="Times New Roman" w:cs="Times New Roman"/>
                <w:bCs/>
                <w:sz w:val="24"/>
                <w:szCs w:val="24"/>
                <w:lang w:eastAsia="en-US"/>
              </w:rPr>
            </w:pPr>
            <w:r>
              <w:rPr>
                <w:rFonts w:hint="default" w:ascii="Times New Roman" w:hAnsi="Times New Roman" w:cs="Times New Roman"/>
                <w:sz w:val="24"/>
                <w:szCs w:val="24"/>
                <w:lang w:eastAsia="en-US"/>
              </w:rPr>
              <w:t>товара</w:t>
            </w:r>
          </w:p>
        </w:tc>
        <w:tc>
          <w:tcPr>
            <w:tcW w:w="816" w:type="dxa"/>
            <w:tcBorders>
              <w:top w:val="single" w:color="auto" w:sz="4" w:space="0"/>
              <w:left w:val="single" w:color="auto" w:sz="4" w:space="0"/>
              <w:bottom w:val="single" w:color="auto" w:sz="4" w:space="0"/>
              <w:right w:val="single" w:color="auto" w:sz="4" w:space="0"/>
            </w:tcBorders>
            <w:vAlign w:val="center"/>
          </w:tcPr>
          <w:p w14:paraId="3C45D16A">
            <w:pPr>
              <w:jc w:val="center"/>
              <w:rPr>
                <w:rFonts w:hint="default" w:ascii="Times New Roman" w:hAnsi="Times New Roman" w:cs="Times New Roman"/>
                <w:bCs/>
                <w:sz w:val="24"/>
                <w:szCs w:val="24"/>
                <w:lang w:eastAsia="en-US"/>
              </w:rPr>
            </w:pPr>
            <w:r>
              <w:rPr>
                <w:rFonts w:hint="default" w:ascii="Times New Roman" w:hAnsi="Times New Roman" w:cs="Times New Roman"/>
                <w:sz w:val="24"/>
                <w:szCs w:val="24"/>
                <w:lang w:eastAsia="en-US"/>
              </w:rPr>
              <w:t>Ед. изм.</w:t>
            </w:r>
          </w:p>
        </w:tc>
        <w:tc>
          <w:tcPr>
            <w:tcW w:w="1140" w:type="dxa"/>
            <w:gridSpan w:val="2"/>
            <w:tcBorders>
              <w:top w:val="single" w:color="auto" w:sz="4" w:space="0"/>
              <w:left w:val="single" w:color="auto" w:sz="4" w:space="0"/>
              <w:bottom w:val="single" w:color="auto" w:sz="4" w:space="0"/>
              <w:right w:val="single" w:color="auto" w:sz="4" w:space="0"/>
            </w:tcBorders>
            <w:vAlign w:val="center"/>
          </w:tcPr>
          <w:p w14:paraId="0B3631E7">
            <w:pPr>
              <w:rPr>
                <w:rFonts w:hint="default" w:ascii="Times New Roman" w:hAnsi="Times New Roman" w:cs="Times New Roman"/>
                <w:bCs/>
                <w:sz w:val="24"/>
                <w:szCs w:val="24"/>
                <w:lang w:eastAsia="en-US"/>
              </w:rPr>
            </w:pPr>
          </w:p>
          <w:p w14:paraId="23AF6E2C">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Кол-во</w:t>
            </w:r>
          </w:p>
        </w:tc>
        <w:tc>
          <w:tcPr>
            <w:tcW w:w="1140" w:type="dxa"/>
            <w:tcBorders>
              <w:top w:val="single" w:color="auto" w:sz="4" w:space="0"/>
              <w:left w:val="single" w:color="auto" w:sz="4" w:space="0"/>
              <w:bottom w:val="single" w:color="auto" w:sz="4" w:space="0"/>
              <w:right w:val="single" w:color="auto" w:sz="4" w:space="0"/>
            </w:tcBorders>
            <w:vAlign w:val="center"/>
          </w:tcPr>
          <w:p w14:paraId="49F4974C">
            <w:pPr>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Цена за ед., руб*</w:t>
            </w:r>
          </w:p>
        </w:tc>
        <w:tc>
          <w:tcPr>
            <w:tcW w:w="3899" w:type="dxa"/>
            <w:tcBorders>
              <w:top w:val="single" w:color="auto" w:sz="4" w:space="0"/>
              <w:left w:val="single" w:color="auto" w:sz="4" w:space="0"/>
              <w:bottom w:val="single" w:color="auto" w:sz="4" w:space="0"/>
              <w:right w:val="single" w:color="auto" w:sz="4" w:space="0"/>
            </w:tcBorders>
          </w:tcPr>
          <w:p w14:paraId="76FED332">
            <w:pPr>
              <w:jc w:val="center"/>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Страна происхождения*</w:t>
            </w:r>
          </w:p>
        </w:tc>
      </w:tr>
      <w:tr w14:paraId="3F7B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14" w:type="dxa"/>
            <w:tcBorders>
              <w:top w:val="single" w:color="auto" w:sz="4" w:space="0"/>
              <w:left w:val="single" w:color="auto" w:sz="4" w:space="0"/>
              <w:bottom w:val="single" w:color="auto" w:sz="4" w:space="0"/>
              <w:right w:val="single" w:color="auto" w:sz="4" w:space="0"/>
            </w:tcBorders>
            <w:vAlign w:val="center"/>
          </w:tcPr>
          <w:p w14:paraId="06033685">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1</w:t>
            </w:r>
          </w:p>
        </w:tc>
        <w:tc>
          <w:tcPr>
            <w:tcW w:w="2543" w:type="dxa"/>
            <w:tcBorders>
              <w:top w:val="single" w:color="auto" w:sz="4" w:space="0"/>
              <w:left w:val="single" w:color="auto" w:sz="4" w:space="0"/>
              <w:bottom w:val="single" w:color="auto" w:sz="4" w:space="0"/>
              <w:right w:val="single" w:color="auto" w:sz="4" w:space="0"/>
            </w:tcBorders>
            <w:vAlign w:val="center"/>
          </w:tcPr>
          <w:p w14:paraId="3E49F120">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2</w:t>
            </w:r>
          </w:p>
        </w:tc>
        <w:tc>
          <w:tcPr>
            <w:tcW w:w="816" w:type="dxa"/>
            <w:tcBorders>
              <w:top w:val="single" w:color="auto" w:sz="4" w:space="0"/>
              <w:left w:val="single" w:color="auto" w:sz="4" w:space="0"/>
              <w:bottom w:val="single" w:color="auto" w:sz="4" w:space="0"/>
              <w:right w:val="single" w:color="auto" w:sz="4" w:space="0"/>
            </w:tcBorders>
            <w:vAlign w:val="center"/>
          </w:tcPr>
          <w:p w14:paraId="26D812D8">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4</w:t>
            </w:r>
          </w:p>
        </w:tc>
        <w:tc>
          <w:tcPr>
            <w:tcW w:w="1140" w:type="dxa"/>
            <w:gridSpan w:val="2"/>
            <w:tcBorders>
              <w:top w:val="single" w:color="auto" w:sz="4" w:space="0"/>
              <w:left w:val="single" w:color="auto" w:sz="4" w:space="0"/>
              <w:bottom w:val="single" w:color="auto" w:sz="4" w:space="0"/>
              <w:right w:val="single" w:color="auto" w:sz="4" w:space="0"/>
            </w:tcBorders>
            <w:vAlign w:val="center"/>
          </w:tcPr>
          <w:p w14:paraId="1EBDF465">
            <w:pPr>
              <w:jc w:val="center"/>
              <w:rPr>
                <w:rFonts w:hint="default" w:ascii="Times New Roman" w:hAnsi="Times New Roman" w:cs="Times New Roman"/>
                <w:bCs/>
                <w:sz w:val="24"/>
                <w:szCs w:val="24"/>
                <w:lang w:eastAsia="en-US"/>
              </w:rPr>
            </w:pPr>
          </w:p>
        </w:tc>
        <w:tc>
          <w:tcPr>
            <w:tcW w:w="1140" w:type="dxa"/>
            <w:tcBorders>
              <w:top w:val="single" w:color="auto" w:sz="4" w:space="0"/>
              <w:left w:val="single" w:color="auto" w:sz="4" w:space="0"/>
              <w:bottom w:val="single" w:color="auto" w:sz="4" w:space="0"/>
              <w:right w:val="single" w:color="auto" w:sz="4" w:space="0"/>
            </w:tcBorders>
            <w:vAlign w:val="center"/>
          </w:tcPr>
          <w:p w14:paraId="14E7D1C2">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5</w:t>
            </w:r>
          </w:p>
        </w:tc>
        <w:tc>
          <w:tcPr>
            <w:tcW w:w="3899" w:type="dxa"/>
            <w:tcBorders>
              <w:top w:val="single" w:color="auto" w:sz="4" w:space="0"/>
              <w:left w:val="single" w:color="auto" w:sz="4" w:space="0"/>
              <w:bottom w:val="single" w:color="auto" w:sz="4" w:space="0"/>
              <w:right w:val="single" w:color="auto" w:sz="4" w:space="0"/>
            </w:tcBorders>
          </w:tcPr>
          <w:p w14:paraId="40EB98E3">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6</w:t>
            </w:r>
          </w:p>
        </w:tc>
      </w:tr>
      <w:tr w14:paraId="557A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14" w:type="dxa"/>
            <w:tcBorders>
              <w:top w:val="single" w:color="auto" w:sz="4" w:space="0"/>
              <w:left w:val="single" w:color="auto" w:sz="4" w:space="0"/>
              <w:bottom w:val="single" w:color="auto" w:sz="4" w:space="0"/>
              <w:right w:val="single" w:color="auto" w:sz="4" w:space="0"/>
            </w:tcBorders>
            <w:vAlign w:val="center"/>
          </w:tcPr>
          <w:p w14:paraId="74A8A6BA">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1</w:t>
            </w:r>
          </w:p>
        </w:tc>
        <w:tc>
          <w:tcPr>
            <w:tcW w:w="2543" w:type="dxa"/>
            <w:tcBorders>
              <w:top w:val="single" w:color="auto" w:sz="4" w:space="0"/>
              <w:left w:val="single" w:color="auto" w:sz="4" w:space="0"/>
              <w:bottom w:val="single" w:color="auto" w:sz="4" w:space="0"/>
              <w:right w:val="single" w:color="auto" w:sz="4" w:space="0"/>
            </w:tcBorders>
          </w:tcPr>
          <w:p w14:paraId="2BB7602B">
            <w:pPr>
              <w:spacing w:line="276" w:lineRule="auto"/>
              <w:rPr>
                <w:rFonts w:hint="default" w:ascii="Times New Roman" w:hAnsi="Times New Roman" w:cs="Times New Roman"/>
                <w:sz w:val="24"/>
                <w:szCs w:val="24"/>
                <w:lang w:eastAsia="en-US"/>
              </w:rPr>
            </w:pPr>
          </w:p>
        </w:tc>
        <w:tc>
          <w:tcPr>
            <w:tcW w:w="816" w:type="dxa"/>
            <w:tcBorders>
              <w:top w:val="single" w:color="auto" w:sz="4" w:space="0"/>
              <w:left w:val="single" w:color="auto" w:sz="4" w:space="0"/>
              <w:bottom w:val="single" w:color="auto" w:sz="4" w:space="0"/>
              <w:right w:val="single" w:color="auto" w:sz="4" w:space="0"/>
            </w:tcBorders>
          </w:tcPr>
          <w:p w14:paraId="04303F25">
            <w:pPr>
              <w:pStyle w:val="145"/>
              <w:tabs>
                <w:tab w:val="left" w:pos="9072"/>
                <w:tab w:val="left" w:pos="11625"/>
              </w:tabs>
              <w:rPr>
                <w:rFonts w:hint="default" w:ascii="Times New Roman" w:hAnsi="Times New Roman" w:cs="Times New Roman"/>
                <w:bCs/>
                <w:iCs/>
                <w:sz w:val="24"/>
                <w:szCs w:val="24"/>
              </w:rPr>
            </w:pPr>
          </w:p>
        </w:tc>
        <w:tc>
          <w:tcPr>
            <w:tcW w:w="1140" w:type="dxa"/>
            <w:gridSpan w:val="2"/>
            <w:tcBorders>
              <w:top w:val="single" w:color="auto" w:sz="4" w:space="0"/>
              <w:left w:val="single" w:color="auto" w:sz="4" w:space="0"/>
              <w:bottom w:val="single" w:color="auto" w:sz="4" w:space="0"/>
              <w:right w:val="single" w:color="auto" w:sz="4" w:space="0"/>
            </w:tcBorders>
          </w:tcPr>
          <w:p w14:paraId="18303A37">
            <w:pPr>
              <w:pStyle w:val="145"/>
              <w:tabs>
                <w:tab w:val="left" w:pos="9072"/>
                <w:tab w:val="left" w:pos="11625"/>
              </w:tabs>
              <w:rPr>
                <w:rFonts w:hint="default" w:ascii="Times New Roman" w:hAnsi="Times New Roman" w:cs="Times New Roman"/>
                <w:bCs/>
                <w:iCs/>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01CD6BBC">
            <w:pPr>
              <w:jc w:val="right"/>
              <w:rPr>
                <w:rFonts w:hint="default" w:ascii="Times New Roman" w:hAnsi="Times New Roman" w:cs="Times New Roman"/>
                <w:color w:val="000000"/>
                <w:sz w:val="24"/>
                <w:szCs w:val="24"/>
                <w:lang w:eastAsia="en-US"/>
              </w:rPr>
            </w:pPr>
          </w:p>
        </w:tc>
        <w:tc>
          <w:tcPr>
            <w:tcW w:w="3899" w:type="dxa"/>
            <w:tcBorders>
              <w:top w:val="single" w:color="auto" w:sz="4" w:space="0"/>
              <w:left w:val="single" w:color="auto" w:sz="4" w:space="0"/>
              <w:bottom w:val="single" w:color="auto" w:sz="4" w:space="0"/>
              <w:right w:val="single" w:color="auto" w:sz="4" w:space="0"/>
            </w:tcBorders>
          </w:tcPr>
          <w:p w14:paraId="617CBFA9">
            <w:pPr>
              <w:jc w:val="right"/>
              <w:rPr>
                <w:rFonts w:hint="default" w:ascii="Times New Roman" w:hAnsi="Times New Roman" w:cs="Times New Roman"/>
                <w:color w:val="000000"/>
                <w:sz w:val="24"/>
                <w:szCs w:val="24"/>
                <w:lang w:eastAsia="en-US"/>
              </w:rPr>
            </w:pPr>
          </w:p>
        </w:tc>
      </w:tr>
      <w:tr w14:paraId="050F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14" w:type="dxa"/>
            <w:tcBorders>
              <w:top w:val="single" w:color="auto" w:sz="4" w:space="0"/>
              <w:left w:val="single" w:color="auto" w:sz="4" w:space="0"/>
              <w:bottom w:val="single" w:color="auto" w:sz="4" w:space="0"/>
              <w:right w:val="single" w:color="auto" w:sz="4" w:space="0"/>
            </w:tcBorders>
            <w:vAlign w:val="center"/>
          </w:tcPr>
          <w:p w14:paraId="3E05F04C">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2</w:t>
            </w:r>
          </w:p>
        </w:tc>
        <w:tc>
          <w:tcPr>
            <w:tcW w:w="2543" w:type="dxa"/>
            <w:tcBorders>
              <w:top w:val="single" w:color="auto" w:sz="4" w:space="0"/>
              <w:left w:val="single" w:color="auto" w:sz="4" w:space="0"/>
              <w:bottom w:val="single" w:color="auto" w:sz="4" w:space="0"/>
              <w:right w:val="single" w:color="auto" w:sz="4" w:space="0"/>
            </w:tcBorders>
          </w:tcPr>
          <w:p w14:paraId="56A16796">
            <w:pPr>
              <w:spacing w:line="276" w:lineRule="auto"/>
              <w:rPr>
                <w:rFonts w:hint="default" w:ascii="Times New Roman" w:hAnsi="Times New Roman" w:cs="Times New Roman"/>
                <w:sz w:val="24"/>
                <w:szCs w:val="24"/>
                <w:lang w:eastAsia="en-US"/>
              </w:rPr>
            </w:pPr>
          </w:p>
        </w:tc>
        <w:tc>
          <w:tcPr>
            <w:tcW w:w="816" w:type="dxa"/>
            <w:tcBorders>
              <w:top w:val="single" w:color="auto" w:sz="4" w:space="0"/>
              <w:left w:val="single" w:color="auto" w:sz="4" w:space="0"/>
              <w:bottom w:val="single" w:color="auto" w:sz="4" w:space="0"/>
              <w:right w:val="single" w:color="auto" w:sz="4" w:space="0"/>
            </w:tcBorders>
            <w:vAlign w:val="center"/>
          </w:tcPr>
          <w:p w14:paraId="040DAE86">
            <w:pPr>
              <w:pStyle w:val="145"/>
              <w:tabs>
                <w:tab w:val="left" w:pos="9072"/>
                <w:tab w:val="left" w:pos="11625"/>
              </w:tabs>
              <w:rPr>
                <w:rFonts w:hint="default" w:ascii="Times New Roman" w:hAnsi="Times New Roman" w:cs="Times New Roman"/>
                <w:bCs/>
                <w:iCs/>
                <w:sz w:val="24"/>
                <w:szCs w:val="24"/>
              </w:rPr>
            </w:pPr>
          </w:p>
        </w:tc>
        <w:tc>
          <w:tcPr>
            <w:tcW w:w="1140" w:type="dxa"/>
            <w:gridSpan w:val="2"/>
            <w:tcBorders>
              <w:top w:val="single" w:color="auto" w:sz="4" w:space="0"/>
              <w:left w:val="single" w:color="auto" w:sz="4" w:space="0"/>
              <w:bottom w:val="single" w:color="auto" w:sz="4" w:space="0"/>
              <w:right w:val="single" w:color="auto" w:sz="4" w:space="0"/>
            </w:tcBorders>
            <w:vAlign w:val="center"/>
          </w:tcPr>
          <w:p w14:paraId="45C93B9F">
            <w:pPr>
              <w:pStyle w:val="145"/>
              <w:tabs>
                <w:tab w:val="left" w:pos="9072"/>
                <w:tab w:val="left" w:pos="11625"/>
              </w:tabs>
              <w:jc w:val="left"/>
              <w:rPr>
                <w:rFonts w:hint="default" w:ascii="Times New Roman" w:hAnsi="Times New Roman" w:cs="Times New Roman"/>
                <w:bCs/>
                <w:iCs/>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28E564F7">
            <w:pPr>
              <w:jc w:val="right"/>
              <w:rPr>
                <w:rFonts w:hint="default" w:ascii="Times New Roman" w:hAnsi="Times New Roman" w:cs="Times New Roman"/>
                <w:color w:val="000000"/>
                <w:sz w:val="24"/>
                <w:szCs w:val="24"/>
                <w:lang w:eastAsia="en-US"/>
              </w:rPr>
            </w:pPr>
          </w:p>
        </w:tc>
        <w:tc>
          <w:tcPr>
            <w:tcW w:w="3899" w:type="dxa"/>
            <w:tcBorders>
              <w:top w:val="single" w:color="auto" w:sz="4" w:space="0"/>
              <w:left w:val="single" w:color="auto" w:sz="4" w:space="0"/>
              <w:bottom w:val="single" w:color="auto" w:sz="4" w:space="0"/>
              <w:right w:val="single" w:color="auto" w:sz="4" w:space="0"/>
            </w:tcBorders>
          </w:tcPr>
          <w:p w14:paraId="61359203">
            <w:pPr>
              <w:jc w:val="right"/>
              <w:rPr>
                <w:rFonts w:hint="default" w:ascii="Times New Roman" w:hAnsi="Times New Roman" w:cs="Times New Roman"/>
                <w:color w:val="000000"/>
                <w:sz w:val="24"/>
                <w:szCs w:val="24"/>
                <w:lang w:eastAsia="en-US"/>
              </w:rPr>
            </w:pPr>
          </w:p>
        </w:tc>
      </w:tr>
      <w:tr w14:paraId="6824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14" w:type="dxa"/>
            <w:tcBorders>
              <w:top w:val="single" w:color="auto" w:sz="4" w:space="0"/>
              <w:left w:val="single" w:color="auto" w:sz="4" w:space="0"/>
              <w:bottom w:val="single" w:color="auto" w:sz="4" w:space="0"/>
              <w:right w:val="single" w:color="auto" w:sz="4" w:space="0"/>
            </w:tcBorders>
            <w:vAlign w:val="center"/>
          </w:tcPr>
          <w:p w14:paraId="15F6AA41">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3</w:t>
            </w:r>
          </w:p>
        </w:tc>
        <w:tc>
          <w:tcPr>
            <w:tcW w:w="2543" w:type="dxa"/>
            <w:tcBorders>
              <w:top w:val="single" w:color="auto" w:sz="4" w:space="0"/>
              <w:left w:val="single" w:color="auto" w:sz="4" w:space="0"/>
              <w:bottom w:val="single" w:color="auto" w:sz="4" w:space="0"/>
              <w:right w:val="single" w:color="auto" w:sz="4" w:space="0"/>
            </w:tcBorders>
          </w:tcPr>
          <w:p w14:paraId="32FE16A3">
            <w:pPr>
              <w:spacing w:line="276" w:lineRule="auto"/>
              <w:rPr>
                <w:rFonts w:hint="default" w:ascii="Times New Roman" w:hAnsi="Times New Roman" w:cs="Times New Roman"/>
                <w:sz w:val="24"/>
                <w:szCs w:val="24"/>
                <w:lang w:eastAsia="en-US"/>
              </w:rPr>
            </w:pPr>
          </w:p>
        </w:tc>
        <w:tc>
          <w:tcPr>
            <w:tcW w:w="816" w:type="dxa"/>
            <w:tcBorders>
              <w:top w:val="single" w:color="auto" w:sz="4" w:space="0"/>
              <w:left w:val="single" w:color="auto" w:sz="4" w:space="0"/>
              <w:bottom w:val="single" w:color="auto" w:sz="4" w:space="0"/>
              <w:right w:val="single" w:color="auto" w:sz="4" w:space="0"/>
            </w:tcBorders>
            <w:vAlign w:val="center"/>
          </w:tcPr>
          <w:p w14:paraId="55C6A2BF">
            <w:pPr>
              <w:pStyle w:val="145"/>
              <w:tabs>
                <w:tab w:val="left" w:pos="9072"/>
                <w:tab w:val="left" w:pos="11625"/>
              </w:tabs>
              <w:rPr>
                <w:rFonts w:hint="default" w:ascii="Times New Roman" w:hAnsi="Times New Roman" w:cs="Times New Roman"/>
                <w:bCs/>
                <w:iCs/>
                <w:sz w:val="24"/>
                <w:szCs w:val="24"/>
              </w:rPr>
            </w:pPr>
          </w:p>
        </w:tc>
        <w:tc>
          <w:tcPr>
            <w:tcW w:w="1140" w:type="dxa"/>
            <w:gridSpan w:val="2"/>
            <w:tcBorders>
              <w:top w:val="single" w:color="auto" w:sz="4" w:space="0"/>
              <w:left w:val="single" w:color="auto" w:sz="4" w:space="0"/>
              <w:bottom w:val="single" w:color="auto" w:sz="4" w:space="0"/>
              <w:right w:val="single" w:color="auto" w:sz="4" w:space="0"/>
            </w:tcBorders>
            <w:vAlign w:val="center"/>
          </w:tcPr>
          <w:p w14:paraId="6253EE11">
            <w:pPr>
              <w:pStyle w:val="145"/>
              <w:tabs>
                <w:tab w:val="left" w:pos="9072"/>
                <w:tab w:val="left" w:pos="11625"/>
              </w:tabs>
              <w:jc w:val="left"/>
              <w:rPr>
                <w:rFonts w:hint="default" w:ascii="Times New Roman" w:hAnsi="Times New Roman" w:cs="Times New Roman"/>
                <w:bCs/>
                <w:iCs/>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2D133CD6">
            <w:pPr>
              <w:jc w:val="right"/>
              <w:rPr>
                <w:rFonts w:hint="default" w:ascii="Times New Roman" w:hAnsi="Times New Roman" w:cs="Times New Roman"/>
                <w:color w:val="000000"/>
                <w:sz w:val="24"/>
                <w:szCs w:val="24"/>
                <w:lang w:eastAsia="en-US"/>
              </w:rPr>
            </w:pPr>
          </w:p>
        </w:tc>
        <w:tc>
          <w:tcPr>
            <w:tcW w:w="3899" w:type="dxa"/>
            <w:tcBorders>
              <w:top w:val="single" w:color="auto" w:sz="4" w:space="0"/>
              <w:left w:val="single" w:color="auto" w:sz="4" w:space="0"/>
              <w:bottom w:val="single" w:color="auto" w:sz="4" w:space="0"/>
              <w:right w:val="single" w:color="auto" w:sz="4" w:space="0"/>
            </w:tcBorders>
          </w:tcPr>
          <w:p w14:paraId="44316F11">
            <w:pPr>
              <w:jc w:val="right"/>
              <w:rPr>
                <w:rFonts w:hint="default" w:ascii="Times New Roman" w:hAnsi="Times New Roman" w:cs="Times New Roman"/>
                <w:color w:val="000000"/>
                <w:sz w:val="24"/>
                <w:szCs w:val="24"/>
                <w:lang w:eastAsia="en-US"/>
              </w:rPr>
            </w:pPr>
          </w:p>
        </w:tc>
      </w:tr>
      <w:tr w14:paraId="57BF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14" w:type="dxa"/>
            <w:tcBorders>
              <w:top w:val="single" w:color="auto" w:sz="4" w:space="0"/>
              <w:left w:val="single" w:color="auto" w:sz="4" w:space="0"/>
              <w:bottom w:val="single" w:color="auto" w:sz="4" w:space="0"/>
              <w:right w:val="single" w:color="auto" w:sz="4" w:space="0"/>
            </w:tcBorders>
            <w:vAlign w:val="center"/>
          </w:tcPr>
          <w:p w14:paraId="756F3851">
            <w:pPr>
              <w:jc w:val="center"/>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4</w:t>
            </w:r>
          </w:p>
        </w:tc>
        <w:tc>
          <w:tcPr>
            <w:tcW w:w="2543" w:type="dxa"/>
            <w:tcBorders>
              <w:top w:val="single" w:color="auto" w:sz="4" w:space="0"/>
              <w:left w:val="single" w:color="auto" w:sz="4" w:space="0"/>
              <w:bottom w:val="single" w:color="auto" w:sz="4" w:space="0"/>
              <w:right w:val="single" w:color="auto" w:sz="4" w:space="0"/>
            </w:tcBorders>
          </w:tcPr>
          <w:p w14:paraId="4B705D47">
            <w:pPr>
              <w:spacing w:line="276" w:lineRule="auto"/>
              <w:rPr>
                <w:rFonts w:hint="default" w:ascii="Times New Roman" w:hAnsi="Times New Roman" w:cs="Times New Roman"/>
                <w:sz w:val="24"/>
                <w:szCs w:val="24"/>
                <w:lang w:eastAsia="en-US"/>
              </w:rPr>
            </w:pPr>
          </w:p>
        </w:tc>
        <w:tc>
          <w:tcPr>
            <w:tcW w:w="816" w:type="dxa"/>
            <w:tcBorders>
              <w:top w:val="single" w:color="auto" w:sz="4" w:space="0"/>
              <w:left w:val="single" w:color="auto" w:sz="4" w:space="0"/>
              <w:bottom w:val="single" w:color="auto" w:sz="4" w:space="0"/>
              <w:right w:val="single" w:color="auto" w:sz="4" w:space="0"/>
            </w:tcBorders>
            <w:vAlign w:val="center"/>
          </w:tcPr>
          <w:p w14:paraId="19CAFCEA">
            <w:pPr>
              <w:pStyle w:val="145"/>
              <w:tabs>
                <w:tab w:val="left" w:pos="9072"/>
                <w:tab w:val="left" w:pos="11625"/>
              </w:tabs>
              <w:rPr>
                <w:rFonts w:hint="default" w:ascii="Times New Roman" w:hAnsi="Times New Roman" w:cs="Times New Roman"/>
                <w:bCs/>
                <w:iCs/>
                <w:sz w:val="24"/>
                <w:szCs w:val="24"/>
              </w:rPr>
            </w:pPr>
          </w:p>
        </w:tc>
        <w:tc>
          <w:tcPr>
            <w:tcW w:w="1140" w:type="dxa"/>
            <w:gridSpan w:val="2"/>
            <w:tcBorders>
              <w:top w:val="single" w:color="auto" w:sz="4" w:space="0"/>
              <w:left w:val="single" w:color="auto" w:sz="4" w:space="0"/>
              <w:bottom w:val="single" w:color="auto" w:sz="4" w:space="0"/>
              <w:right w:val="single" w:color="auto" w:sz="4" w:space="0"/>
            </w:tcBorders>
            <w:vAlign w:val="center"/>
          </w:tcPr>
          <w:p w14:paraId="31642EA5">
            <w:pPr>
              <w:pStyle w:val="145"/>
              <w:tabs>
                <w:tab w:val="left" w:pos="9072"/>
                <w:tab w:val="left" w:pos="11625"/>
              </w:tabs>
              <w:jc w:val="left"/>
              <w:rPr>
                <w:rFonts w:hint="default" w:ascii="Times New Roman" w:hAnsi="Times New Roman" w:cs="Times New Roman"/>
                <w:bCs/>
                <w:iCs/>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78FE3E66">
            <w:pPr>
              <w:jc w:val="right"/>
              <w:rPr>
                <w:rFonts w:hint="default" w:ascii="Times New Roman" w:hAnsi="Times New Roman" w:cs="Times New Roman"/>
                <w:color w:val="000000"/>
                <w:sz w:val="24"/>
                <w:szCs w:val="24"/>
                <w:lang w:eastAsia="en-US"/>
              </w:rPr>
            </w:pPr>
          </w:p>
        </w:tc>
        <w:tc>
          <w:tcPr>
            <w:tcW w:w="3899" w:type="dxa"/>
            <w:tcBorders>
              <w:top w:val="single" w:color="auto" w:sz="4" w:space="0"/>
              <w:left w:val="single" w:color="auto" w:sz="4" w:space="0"/>
              <w:bottom w:val="single" w:color="auto" w:sz="4" w:space="0"/>
              <w:right w:val="single" w:color="auto" w:sz="4" w:space="0"/>
            </w:tcBorders>
          </w:tcPr>
          <w:p w14:paraId="52CE3107">
            <w:pPr>
              <w:jc w:val="right"/>
              <w:rPr>
                <w:rFonts w:hint="default" w:ascii="Times New Roman" w:hAnsi="Times New Roman" w:cs="Times New Roman"/>
                <w:color w:val="000000"/>
                <w:sz w:val="24"/>
                <w:szCs w:val="24"/>
                <w:lang w:eastAsia="en-US"/>
              </w:rPr>
            </w:pPr>
          </w:p>
        </w:tc>
      </w:tr>
      <w:tr w14:paraId="7084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6040" w:type="dxa"/>
          <w:trHeight w:val="255" w:hRule="atLeast"/>
        </w:trPr>
        <w:tc>
          <w:tcPr>
            <w:tcW w:w="4112" w:type="dxa"/>
            <w:gridSpan w:val="4"/>
            <w:tcBorders>
              <w:top w:val="single" w:color="auto" w:sz="4" w:space="0"/>
              <w:left w:val="single" w:color="auto" w:sz="4" w:space="0"/>
              <w:bottom w:val="single" w:color="auto" w:sz="4" w:space="0"/>
              <w:right w:val="single" w:color="auto" w:sz="4" w:space="0"/>
            </w:tcBorders>
            <w:vAlign w:val="center"/>
          </w:tcPr>
          <w:p w14:paraId="4F89B376">
            <w:pPr>
              <w:jc w:val="right"/>
              <w:rPr>
                <w:rFonts w:hint="default" w:ascii="Times New Roman" w:hAnsi="Times New Roman" w:cs="Times New Roman"/>
                <w:color w:val="000000"/>
                <w:sz w:val="24"/>
                <w:szCs w:val="24"/>
                <w:lang w:eastAsia="en-US"/>
              </w:rPr>
            </w:pPr>
            <w:r>
              <w:rPr>
                <w:rFonts w:hint="default" w:ascii="Times New Roman" w:hAnsi="Times New Roman" w:cs="Times New Roman"/>
                <w:sz w:val="24"/>
                <w:szCs w:val="24"/>
                <w:lang w:eastAsia="en-US"/>
              </w:rPr>
              <w:t>---</w:t>
            </w:r>
          </w:p>
        </w:tc>
      </w:tr>
    </w:tbl>
    <w:p w14:paraId="2D9CC6E4">
      <w:pPr>
        <w:jc w:val="center"/>
        <w:rPr>
          <w:rFonts w:hint="default" w:ascii="Times New Roman" w:hAnsi="Times New Roman" w:cs="Times New Roman"/>
          <w:b/>
          <w:kern w:val="28"/>
          <w:sz w:val="24"/>
          <w:szCs w:val="24"/>
        </w:rPr>
      </w:pPr>
    </w:p>
    <w:p w14:paraId="00440C41">
      <w:pPr>
        <w:jc w:val="center"/>
        <w:rPr>
          <w:rFonts w:hint="default" w:ascii="Times New Roman" w:hAnsi="Times New Roman" w:cs="Times New Roman"/>
          <w:b/>
          <w:kern w:val="28"/>
          <w:sz w:val="24"/>
          <w:szCs w:val="24"/>
        </w:rPr>
      </w:pPr>
    </w:p>
    <w:p w14:paraId="7156E757">
      <w:pPr>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 - заполняется по итогам закупки</w:t>
      </w:r>
    </w:p>
    <w:p w14:paraId="5D3BCD57">
      <w:pPr>
        <w:contextualSpacing/>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___________________________</w:t>
      </w:r>
    </w:p>
    <w:p w14:paraId="43939F8F">
      <w:pPr>
        <w:jc w:val="right"/>
        <w:rPr>
          <w:rFonts w:hint="default" w:ascii="Times New Roman" w:hAnsi="Times New Roman" w:cs="Times New Roman"/>
          <w:sz w:val="24"/>
          <w:szCs w:val="24"/>
        </w:rPr>
      </w:pPr>
      <w:r>
        <w:rPr>
          <w:rFonts w:hint="default" w:ascii="Times New Roman" w:hAnsi="Times New Roman" w:cs="Times New Roman"/>
          <w:sz w:val="24"/>
          <w:szCs w:val="24"/>
        </w:rPr>
        <w:t xml:space="preserve">Приложение  </w:t>
      </w:r>
      <w:r>
        <w:rPr>
          <w:rFonts w:hint="default" w:cs="Times New Roman"/>
          <w:sz w:val="24"/>
          <w:szCs w:val="24"/>
          <w:lang w:val="ru-RU"/>
        </w:rPr>
        <w:t>№ 2</w:t>
      </w:r>
      <w:r>
        <w:rPr>
          <w:rFonts w:hint="default" w:ascii="Times New Roman" w:hAnsi="Times New Roman" w:cs="Times New Roman"/>
          <w:sz w:val="24"/>
          <w:szCs w:val="24"/>
        </w:rPr>
        <w:t xml:space="preserve">                                                         </w:t>
      </w:r>
    </w:p>
    <w:p w14:paraId="1602055C">
      <w:pPr>
        <w:jc w:val="right"/>
        <w:rPr>
          <w:rFonts w:hint="default" w:ascii="Times New Roman" w:hAnsi="Times New Roman" w:cs="Times New Roman"/>
          <w:sz w:val="24"/>
          <w:szCs w:val="24"/>
        </w:rPr>
      </w:pPr>
      <w:r>
        <w:rPr>
          <w:rFonts w:hint="default" w:ascii="Times New Roman" w:hAnsi="Times New Roman" w:cs="Times New Roman"/>
          <w:sz w:val="24"/>
          <w:szCs w:val="24"/>
        </w:rPr>
        <w:t xml:space="preserve">                  к  контракту</w:t>
      </w:r>
    </w:p>
    <w:p w14:paraId="40CD9E07">
      <w:pPr>
        <w:tabs>
          <w:tab w:val="left" w:pos="5400"/>
        </w:tabs>
        <w:jc w:val="right"/>
        <w:rPr>
          <w:rFonts w:hint="default" w:ascii="Times New Roman" w:hAnsi="Times New Roman" w:cs="Times New Roman"/>
          <w:sz w:val="24"/>
          <w:szCs w:val="24"/>
        </w:rPr>
      </w:pPr>
      <w:r>
        <w:rPr>
          <w:rFonts w:hint="default" w:ascii="Times New Roman" w:hAnsi="Times New Roman" w:cs="Times New Roman"/>
          <w:sz w:val="24"/>
          <w:szCs w:val="24"/>
        </w:rPr>
        <w:t xml:space="preserve">                                                                         от___________№___________</w:t>
      </w:r>
    </w:p>
    <w:p w14:paraId="2E362C81">
      <w:pPr>
        <w:tabs>
          <w:tab w:val="left" w:pos="5400"/>
        </w:tabs>
        <w:jc w:val="right"/>
        <w:rPr>
          <w:rFonts w:hint="default" w:ascii="Times New Roman" w:hAnsi="Times New Roman" w:cs="Times New Roman"/>
          <w:sz w:val="24"/>
          <w:szCs w:val="24"/>
        </w:rPr>
      </w:pPr>
    </w:p>
    <w:p w14:paraId="0938A59F">
      <w:pPr>
        <w:tabs>
          <w:tab w:val="left" w:pos="5400"/>
        </w:tabs>
        <w:jc w:val="right"/>
        <w:rPr>
          <w:rFonts w:hint="default" w:ascii="Times New Roman" w:hAnsi="Times New Roman" w:cs="Times New Roman"/>
          <w:sz w:val="24"/>
          <w:szCs w:val="24"/>
        </w:rPr>
      </w:pPr>
    </w:p>
    <w:p w14:paraId="23EDF31E">
      <w:pPr>
        <w:pStyle w:val="31"/>
        <w:ind w:left="0"/>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ТЕХНИЧЕСКАЯ ЧАСТЬ</w:t>
      </w:r>
    </w:p>
    <w:p w14:paraId="10B151D6">
      <w:pPr>
        <w:pStyle w:val="31"/>
        <w:ind w:left="0"/>
        <w:jc w:val="center"/>
        <w:rPr>
          <w:rFonts w:hint="default" w:ascii="Times New Roman" w:hAnsi="Times New Roman" w:cs="Times New Roman"/>
          <w:b/>
          <w:bCs/>
          <w:sz w:val="24"/>
          <w:szCs w:val="24"/>
          <w:lang w:val="ru-RU"/>
        </w:rPr>
      </w:pPr>
    </w:p>
    <w:p w14:paraId="38155B65">
      <w:pPr>
        <w:jc w:val="center"/>
        <w:rPr>
          <w:rFonts w:hint="default" w:ascii="Times New Roman" w:hAnsi="Times New Roman" w:cs="Times New Roman"/>
          <w:b/>
          <w:bCs/>
          <w:color w:val="000000"/>
          <w:spacing w:val="3"/>
          <w:sz w:val="24"/>
          <w:szCs w:val="24"/>
        </w:rPr>
      </w:pPr>
      <w:r>
        <w:rPr>
          <w:rFonts w:hint="default" w:ascii="Times New Roman" w:hAnsi="Times New Roman" w:cs="Times New Roman"/>
          <w:b/>
          <w:bCs/>
          <w:color w:val="000000"/>
          <w:spacing w:val="3"/>
          <w:sz w:val="24"/>
          <w:szCs w:val="24"/>
        </w:rPr>
        <w:t>Поставка кондиционера бытового</w:t>
      </w:r>
    </w:p>
    <w:p w14:paraId="4F5CFE0C">
      <w:pPr>
        <w:rPr>
          <w:rFonts w:hint="default" w:ascii="Times New Roman" w:hAnsi="Times New Roman" w:cs="Times New Roman"/>
          <w:b/>
          <w:sz w:val="24"/>
          <w:szCs w:val="24"/>
        </w:rPr>
      </w:pPr>
      <w:r>
        <w:rPr>
          <w:rFonts w:hint="default" w:ascii="Times New Roman" w:hAnsi="Times New Roman" w:cs="Times New Roman"/>
          <w:b/>
          <w:sz w:val="24"/>
          <w:szCs w:val="24"/>
        </w:rPr>
        <w:t>1.  Описание объекта закупки:</w:t>
      </w:r>
    </w:p>
    <w:tbl>
      <w:tblPr>
        <w:tblStyle w:val="6"/>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2405"/>
        <w:gridCol w:w="3261"/>
        <w:gridCol w:w="2126"/>
        <w:gridCol w:w="1134"/>
        <w:gridCol w:w="992"/>
      </w:tblGrid>
      <w:tr w14:paraId="3E70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425" w:type="dxa"/>
            <w:tcBorders>
              <w:top w:val="single" w:color="auto" w:sz="4" w:space="0"/>
              <w:left w:val="single" w:color="auto" w:sz="4" w:space="0"/>
              <w:bottom w:val="single" w:color="auto" w:sz="4" w:space="0"/>
              <w:right w:val="single" w:color="auto" w:sz="4" w:space="0"/>
            </w:tcBorders>
            <w:vAlign w:val="center"/>
          </w:tcPr>
          <w:p w14:paraId="37E27F2C">
            <w:pPr>
              <w:ind w:left="-108" w:right="-108"/>
              <w:jc w:val="center"/>
              <w:rPr>
                <w:rFonts w:hint="default" w:ascii="Times New Roman" w:hAnsi="Times New Roman" w:cs="Times New Roman"/>
                <w:b/>
                <w:sz w:val="24"/>
                <w:szCs w:val="24"/>
              </w:rPr>
            </w:pPr>
            <w:r>
              <w:rPr>
                <w:rFonts w:hint="default" w:ascii="Times New Roman" w:hAnsi="Times New Roman" w:cs="Times New Roman"/>
                <w:b/>
                <w:sz w:val="24"/>
                <w:szCs w:val="24"/>
              </w:rPr>
              <w:t>№ п/п</w:t>
            </w:r>
          </w:p>
        </w:tc>
        <w:tc>
          <w:tcPr>
            <w:tcW w:w="2405" w:type="dxa"/>
            <w:tcBorders>
              <w:top w:val="single" w:color="auto" w:sz="4" w:space="0"/>
              <w:left w:val="single" w:color="auto" w:sz="4" w:space="0"/>
              <w:bottom w:val="single" w:color="auto" w:sz="4" w:space="0"/>
              <w:right w:val="single" w:color="auto" w:sz="4" w:space="0"/>
            </w:tcBorders>
            <w:vAlign w:val="center"/>
          </w:tcPr>
          <w:p w14:paraId="7D5D99AE">
            <w:pPr>
              <w:ind w:left="-108" w:right="-108"/>
              <w:jc w:val="center"/>
              <w:rPr>
                <w:rFonts w:hint="default" w:ascii="Times New Roman" w:hAnsi="Times New Roman" w:cs="Times New Roman"/>
                <w:b/>
                <w:bCs/>
                <w:sz w:val="24"/>
                <w:szCs w:val="24"/>
              </w:rPr>
            </w:pPr>
            <w:r>
              <w:rPr>
                <w:rFonts w:hint="default" w:ascii="Times New Roman" w:hAnsi="Times New Roman" w:cs="Times New Roman"/>
                <w:b/>
                <w:sz w:val="24"/>
                <w:szCs w:val="24"/>
              </w:rPr>
              <w:t>Наименование Товара/ КТРУ</w:t>
            </w:r>
          </w:p>
        </w:tc>
        <w:tc>
          <w:tcPr>
            <w:tcW w:w="3261" w:type="dxa"/>
            <w:tcBorders>
              <w:top w:val="single" w:color="auto" w:sz="4" w:space="0"/>
              <w:left w:val="single" w:color="auto" w:sz="4" w:space="0"/>
              <w:bottom w:val="single" w:color="auto" w:sz="4" w:space="0"/>
              <w:right w:val="single" w:color="auto" w:sz="4" w:space="0"/>
            </w:tcBorders>
            <w:vAlign w:val="center"/>
          </w:tcPr>
          <w:p w14:paraId="3ADCFCE8">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Функциональные, технические, качественные, эксплуатационные характеристики Товара</w:t>
            </w:r>
          </w:p>
        </w:tc>
        <w:tc>
          <w:tcPr>
            <w:tcW w:w="2126" w:type="dxa"/>
            <w:tcBorders>
              <w:top w:val="single" w:color="auto" w:sz="4" w:space="0"/>
              <w:left w:val="single" w:color="auto" w:sz="4" w:space="0"/>
              <w:bottom w:val="single" w:color="auto" w:sz="4" w:space="0"/>
              <w:right w:val="single" w:color="auto" w:sz="4" w:space="0"/>
            </w:tcBorders>
            <w:vAlign w:val="center"/>
          </w:tcPr>
          <w:p w14:paraId="13EA1783">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Значение характеристики</w:t>
            </w:r>
          </w:p>
        </w:tc>
        <w:tc>
          <w:tcPr>
            <w:tcW w:w="1134" w:type="dxa"/>
            <w:tcBorders>
              <w:top w:val="single" w:color="auto" w:sz="4" w:space="0"/>
              <w:left w:val="single" w:color="auto" w:sz="4" w:space="0"/>
              <w:bottom w:val="single" w:color="auto" w:sz="4" w:space="0"/>
              <w:right w:val="single" w:color="auto" w:sz="4" w:space="0"/>
            </w:tcBorders>
          </w:tcPr>
          <w:p w14:paraId="22DF721C">
            <w:pPr>
              <w:jc w:val="center"/>
              <w:rPr>
                <w:rFonts w:hint="default" w:ascii="Times New Roman" w:hAnsi="Times New Roman" w:cs="Times New Roman"/>
                <w:b/>
                <w:bCs/>
                <w:sz w:val="24"/>
                <w:szCs w:val="24"/>
              </w:rPr>
            </w:pPr>
            <w:r>
              <w:rPr>
                <w:rFonts w:hint="default" w:ascii="Times New Roman" w:hAnsi="Times New Roman" w:eastAsia="Calibri" w:cs="Times New Roman"/>
                <w:b/>
                <w:color w:val="000000"/>
                <w:sz w:val="24"/>
                <w:szCs w:val="24"/>
              </w:rPr>
              <w:t>Единица измерения характеристики</w:t>
            </w:r>
          </w:p>
        </w:tc>
        <w:tc>
          <w:tcPr>
            <w:tcW w:w="992" w:type="dxa"/>
            <w:tcBorders>
              <w:top w:val="single" w:color="auto" w:sz="4" w:space="0"/>
              <w:left w:val="single" w:color="auto" w:sz="4" w:space="0"/>
              <w:bottom w:val="single" w:color="auto" w:sz="4" w:space="0"/>
              <w:right w:val="single" w:color="auto" w:sz="4" w:space="0"/>
            </w:tcBorders>
            <w:vAlign w:val="center"/>
          </w:tcPr>
          <w:p w14:paraId="22AD11E0">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Кол-во, шт.</w:t>
            </w:r>
          </w:p>
        </w:tc>
      </w:tr>
      <w:tr w14:paraId="40DE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425" w:type="dxa"/>
            <w:vMerge w:val="restart"/>
            <w:tcBorders>
              <w:top w:val="single" w:color="auto" w:sz="4" w:space="0"/>
              <w:left w:val="single" w:color="auto" w:sz="4" w:space="0"/>
              <w:right w:val="single" w:color="auto" w:sz="4" w:space="0"/>
            </w:tcBorders>
            <w:vAlign w:val="center"/>
          </w:tcPr>
          <w:p w14:paraId="60EE7078">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2405" w:type="dxa"/>
            <w:vMerge w:val="restart"/>
            <w:tcBorders>
              <w:top w:val="single" w:color="auto" w:sz="4" w:space="0"/>
              <w:left w:val="single" w:color="auto" w:sz="4" w:space="0"/>
              <w:right w:val="single" w:color="auto" w:sz="4" w:space="0"/>
            </w:tcBorders>
            <w:vAlign w:val="center"/>
          </w:tcPr>
          <w:p w14:paraId="1A04D583">
            <w:pPr>
              <w:jc w:val="center"/>
              <w:rPr>
                <w:rFonts w:hint="default" w:ascii="Times New Roman" w:hAnsi="Times New Roman" w:cs="Times New Roman"/>
                <w:sz w:val="24"/>
                <w:szCs w:val="24"/>
              </w:rPr>
            </w:pPr>
            <w:r>
              <w:rPr>
                <w:rFonts w:hint="default" w:ascii="Times New Roman" w:hAnsi="Times New Roman" w:cs="Times New Roman"/>
                <w:sz w:val="24"/>
                <w:szCs w:val="24"/>
              </w:rPr>
              <w:t>Кондиционер бытовой (Сплит-система)</w:t>
            </w:r>
          </w:p>
          <w:p w14:paraId="63B271AE">
            <w:pPr>
              <w:jc w:val="center"/>
              <w:rPr>
                <w:rFonts w:hint="default" w:ascii="Times New Roman" w:hAnsi="Times New Roman" w:cs="Times New Roman"/>
                <w:sz w:val="24"/>
                <w:szCs w:val="24"/>
              </w:rPr>
            </w:pPr>
          </w:p>
          <w:p w14:paraId="41C472B4">
            <w:pPr>
              <w:jc w:val="center"/>
              <w:rPr>
                <w:rFonts w:hint="default" w:ascii="Times New Roman" w:hAnsi="Times New Roman" w:cs="Times New Roman"/>
                <w:sz w:val="24"/>
                <w:szCs w:val="24"/>
              </w:rPr>
            </w:pPr>
            <w:r>
              <w:rPr>
                <w:rFonts w:hint="default" w:ascii="Times New Roman" w:hAnsi="Times New Roman" w:cs="Times New Roman"/>
                <w:sz w:val="24"/>
                <w:szCs w:val="24"/>
              </w:rPr>
              <w:t>Kentatsu KSGA53HFRN1-KSRA53HFRN1 или эквивалент</w:t>
            </w:r>
          </w:p>
          <w:p w14:paraId="6E56DF70">
            <w:pPr>
              <w:jc w:val="center"/>
              <w:rPr>
                <w:rFonts w:hint="default" w:ascii="Times New Roman" w:hAnsi="Times New Roman" w:cs="Times New Roman"/>
                <w:sz w:val="24"/>
                <w:szCs w:val="24"/>
              </w:rPr>
            </w:pPr>
          </w:p>
          <w:p w14:paraId="2FE16A23">
            <w:pPr>
              <w:jc w:val="center"/>
              <w:rPr>
                <w:rFonts w:hint="default" w:ascii="Times New Roman" w:hAnsi="Times New Roman" w:cs="Times New Roman"/>
                <w:sz w:val="24"/>
                <w:szCs w:val="24"/>
              </w:rPr>
            </w:pPr>
            <w:r>
              <w:rPr>
                <w:rFonts w:hint="default" w:ascii="Times New Roman" w:hAnsi="Times New Roman" w:cs="Times New Roman"/>
                <w:sz w:val="24"/>
                <w:szCs w:val="24"/>
              </w:rPr>
              <w:t>КТРУ 28.25.12.130-00000010</w:t>
            </w:r>
          </w:p>
          <w:p w14:paraId="644794B2">
            <w:pPr>
              <w:jc w:val="center"/>
              <w:rPr>
                <w:rFonts w:hint="default" w:ascii="Times New Roman" w:hAnsi="Times New Roman" w:cs="Times New Roman"/>
                <w:sz w:val="24"/>
                <w:szCs w:val="24"/>
              </w:rPr>
            </w:pPr>
          </w:p>
        </w:tc>
        <w:tc>
          <w:tcPr>
            <w:tcW w:w="3261" w:type="dxa"/>
            <w:tcBorders>
              <w:top w:val="single" w:color="auto" w:sz="4" w:space="0"/>
              <w:left w:val="single" w:color="auto" w:sz="4" w:space="0"/>
              <w:bottom w:val="single" w:color="auto" w:sz="4" w:space="0"/>
              <w:right w:val="single" w:color="auto" w:sz="4" w:space="0"/>
            </w:tcBorders>
          </w:tcPr>
          <w:p w14:paraId="56055897">
            <w:pPr>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 xml:space="preserve">Вид кондиционера: </w:t>
            </w:r>
          </w:p>
        </w:tc>
        <w:tc>
          <w:tcPr>
            <w:tcW w:w="2126" w:type="dxa"/>
            <w:tcBorders>
              <w:top w:val="single" w:color="auto" w:sz="4" w:space="0"/>
              <w:left w:val="single" w:color="auto" w:sz="4" w:space="0"/>
              <w:bottom w:val="single" w:color="auto" w:sz="4" w:space="0"/>
              <w:right w:val="single" w:color="auto" w:sz="4" w:space="0"/>
            </w:tcBorders>
            <w:shd w:val="clear" w:color="auto" w:fill="auto"/>
          </w:tcPr>
          <w:p w14:paraId="226CD7B3">
            <w:pPr>
              <w:rPr>
                <w:rFonts w:hint="default" w:ascii="Times New Roman" w:hAnsi="Times New Roman" w:cs="Times New Roman"/>
                <w:sz w:val="24"/>
                <w:szCs w:val="24"/>
              </w:rPr>
            </w:pPr>
            <w:r>
              <w:rPr>
                <w:rFonts w:hint="default" w:ascii="Times New Roman" w:hAnsi="Times New Roman" w:cs="Times New Roman"/>
                <w:sz w:val="24"/>
                <w:szCs w:val="24"/>
              </w:rPr>
              <w:t>Сплит-система</w:t>
            </w:r>
          </w:p>
        </w:tc>
        <w:tc>
          <w:tcPr>
            <w:tcW w:w="1134" w:type="dxa"/>
            <w:tcBorders>
              <w:top w:val="single" w:color="auto" w:sz="4" w:space="0"/>
              <w:left w:val="single" w:color="auto" w:sz="4" w:space="0"/>
              <w:bottom w:val="single" w:color="auto" w:sz="4" w:space="0"/>
              <w:right w:val="single" w:color="auto" w:sz="4" w:space="0"/>
            </w:tcBorders>
          </w:tcPr>
          <w:p w14:paraId="07CD2A9A">
            <w:pPr>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992" w:type="dxa"/>
            <w:vMerge w:val="restart"/>
            <w:tcBorders>
              <w:top w:val="single" w:color="auto" w:sz="4" w:space="0"/>
              <w:left w:val="single" w:color="auto" w:sz="4" w:space="0"/>
              <w:right w:val="single" w:color="auto" w:sz="4" w:space="0"/>
            </w:tcBorders>
            <w:vAlign w:val="center"/>
          </w:tcPr>
          <w:p w14:paraId="3ED37D33">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14:paraId="3346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425" w:type="dxa"/>
            <w:vMerge w:val="continue"/>
            <w:tcBorders>
              <w:left w:val="single" w:color="auto" w:sz="4" w:space="0"/>
              <w:right w:val="single" w:color="auto" w:sz="4" w:space="0"/>
            </w:tcBorders>
          </w:tcPr>
          <w:p w14:paraId="53C955F0">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52B51773">
            <w:pPr>
              <w:jc w:val="center"/>
              <w:rPr>
                <w:rFonts w:hint="default" w:ascii="Times New Roman" w:hAnsi="Times New Roman" w:cs="Times New Roman"/>
                <w:sz w:val="24"/>
                <w:szCs w:val="24"/>
              </w:rPr>
            </w:pPr>
          </w:p>
        </w:tc>
        <w:tc>
          <w:tcPr>
            <w:tcW w:w="3261" w:type="dxa"/>
            <w:tcBorders>
              <w:left w:val="single" w:color="auto" w:sz="4" w:space="0"/>
            </w:tcBorders>
          </w:tcPr>
          <w:p w14:paraId="64B41FE1">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Дополнительные функции:</w:t>
            </w:r>
          </w:p>
        </w:tc>
        <w:tc>
          <w:tcPr>
            <w:tcW w:w="2126" w:type="dxa"/>
            <w:shd w:val="clear" w:color="auto" w:fill="auto"/>
          </w:tcPr>
          <w:p w14:paraId="23EEC1BD">
            <w:pPr>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Режим автоматической поддержки температуры.</w:t>
            </w:r>
          </w:p>
        </w:tc>
        <w:tc>
          <w:tcPr>
            <w:tcW w:w="1134" w:type="dxa"/>
            <w:tcBorders>
              <w:right w:val="single" w:color="auto" w:sz="4" w:space="0"/>
            </w:tcBorders>
          </w:tcPr>
          <w:p w14:paraId="7BA707A6">
            <w:pPr>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992" w:type="dxa"/>
            <w:vMerge w:val="continue"/>
            <w:tcBorders>
              <w:left w:val="single" w:color="auto" w:sz="4" w:space="0"/>
              <w:right w:val="single" w:color="auto" w:sz="4" w:space="0"/>
            </w:tcBorders>
            <w:vAlign w:val="center"/>
          </w:tcPr>
          <w:p w14:paraId="76AD32A7">
            <w:pPr>
              <w:jc w:val="center"/>
              <w:rPr>
                <w:rFonts w:hint="default" w:ascii="Times New Roman" w:hAnsi="Times New Roman" w:cs="Times New Roman"/>
                <w:b/>
                <w:color w:val="FF0000"/>
                <w:sz w:val="24"/>
                <w:szCs w:val="24"/>
              </w:rPr>
            </w:pPr>
          </w:p>
        </w:tc>
      </w:tr>
      <w:tr w14:paraId="1F6C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25" w:type="dxa"/>
            <w:vMerge w:val="continue"/>
            <w:tcBorders>
              <w:left w:val="single" w:color="auto" w:sz="4" w:space="0"/>
              <w:right w:val="single" w:color="auto" w:sz="4" w:space="0"/>
            </w:tcBorders>
          </w:tcPr>
          <w:p w14:paraId="515345AA">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4CED1E10">
            <w:pPr>
              <w:jc w:val="center"/>
              <w:rPr>
                <w:rFonts w:hint="default" w:ascii="Times New Roman" w:hAnsi="Times New Roman" w:cs="Times New Roman"/>
                <w:sz w:val="24"/>
                <w:szCs w:val="24"/>
              </w:rPr>
            </w:pPr>
          </w:p>
        </w:tc>
        <w:tc>
          <w:tcPr>
            <w:tcW w:w="3261" w:type="dxa"/>
            <w:tcBorders>
              <w:left w:val="single" w:color="auto" w:sz="4" w:space="0"/>
            </w:tcBorders>
          </w:tcPr>
          <w:p w14:paraId="49E191AD">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rPr>
              <w:t>Класс энергоэффективности не ниже (в режиме нагрева)</w:t>
            </w:r>
          </w:p>
        </w:tc>
        <w:tc>
          <w:tcPr>
            <w:tcW w:w="2126" w:type="dxa"/>
            <w:shd w:val="clear" w:color="auto" w:fill="auto"/>
          </w:tcPr>
          <w:p w14:paraId="49852D00">
            <w:pPr>
              <w:rPr>
                <w:rFonts w:hint="default" w:ascii="Times New Roman" w:hAnsi="Times New Roman" w:cs="Times New Roman"/>
                <w:sz w:val="24"/>
                <w:szCs w:val="24"/>
              </w:rPr>
            </w:pPr>
            <w:r>
              <w:rPr>
                <w:rFonts w:hint="default" w:ascii="Times New Roman" w:hAnsi="Times New Roman" w:cs="Times New Roman"/>
                <w:sz w:val="24"/>
                <w:szCs w:val="24"/>
              </w:rPr>
              <w:t>не ниже А</w:t>
            </w:r>
          </w:p>
        </w:tc>
        <w:tc>
          <w:tcPr>
            <w:tcW w:w="1134" w:type="dxa"/>
            <w:tcBorders>
              <w:right w:val="single" w:color="auto" w:sz="4" w:space="0"/>
            </w:tcBorders>
          </w:tcPr>
          <w:p w14:paraId="2AD198DA">
            <w:pPr>
              <w:jc w:val="center"/>
              <w:rPr>
                <w:rFonts w:hint="default" w:ascii="Times New Roman" w:hAnsi="Times New Roman" w:cs="Times New Roman"/>
                <w:color w:val="FF0000"/>
                <w:sz w:val="24"/>
                <w:szCs w:val="24"/>
              </w:rPr>
            </w:pPr>
            <w:r>
              <w:rPr>
                <w:rFonts w:hint="default" w:ascii="Times New Roman" w:hAnsi="Times New Roman" w:cs="Times New Roman"/>
                <w:sz w:val="24"/>
                <w:szCs w:val="24"/>
              </w:rPr>
              <w:t>-</w:t>
            </w:r>
          </w:p>
        </w:tc>
        <w:tc>
          <w:tcPr>
            <w:tcW w:w="992" w:type="dxa"/>
            <w:vMerge w:val="continue"/>
            <w:tcBorders>
              <w:left w:val="single" w:color="auto" w:sz="4" w:space="0"/>
              <w:right w:val="single" w:color="auto" w:sz="4" w:space="0"/>
            </w:tcBorders>
            <w:vAlign w:val="center"/>
          </w:tcPr>
          <w:p w14:paraId="3B798D55">
            <w:pPr>
              <w:jc w:val="center"/>
              <w:rPr>
                <w:rFonts w:hint="default" w:ascii="Times New Roman" w:hAnsi="Times New Roman" w:cs="Times New Roman"/>
                <w:b/>
                <w:color w:val="FF0000"/>
                <w:sz w:val="24"/>
                <w:szCs w:val="24"/>
              </w:rPr>
            </w:pPr>
          </w:p>
        </w:tc>
      </w:tr>
      <w:tr w14:paraId="6FBD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425" w:type="dxa"/>
            <w:vMerge w:val="continue"/>
            <w:tcBorders>
              <w:left w:val="single" w:color="auto" w:sz="4" w:space="0"/>
              <w:right w:val="single" w:color="auto" w:sz="4" w:space="0"/>
            </w:tcBorders>
          </w:tcPr>
          <w:p w14:paraId="0F6BED6E">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35C37A04">
            <w:pPr>
              <w:jc w:val="center"/>
              <w:rPr>
                <w:rFonts w:hint="default" w:ascii="Times New Roman" w:hAnsi="Times New Roman" w:cs="Times New Roman"/>
                <w:sz w:val="24"/>
                <w:szCs w:val="24"/>
              </w:rPr>
            </w:pPr>
          </w:p>
        </w:tc>
        <w:tc>
          <w:tcPr>
            <w:tcW w:w="3261" w:type="dxa"/>
            <w:tcBorders>
              <w:left w:val="single" w:color="auto" w:sz="4" w:space="0"/>
            </w:tcBorders>
          </w:tcPr>
          <w:p w14:paraId="698D2904">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Мощность в режиме охлаждения</w:t>
            </w:r>
          </w:p>
        </w:tc>
        <w:tc>
          <w:tcPr>
            <w:tcW w:w="2126" w:type="dxa"/>
            <w:shd w:val="clear" w:color="auto" w:fill="auto"/>
          </w:tcPr>
          <w:p w14:paraId="626BC989">
            <w:pPr>
              <w:rPr>
                <w:rFonts w:hint="default" w:ascii="Times New Roman" w:hAnsi="Times New Roman" w:cs="Times New Roman"/>
                <w:bCs/>
                <w:sz w:val="24"/>
                <w:szCs w:val="24"/>
              </w:rPr>
            </w:pPr>
            <w:r>
              <w:rPr>
                <w:rFonts w:hint="default" w:ascii="Times New Roman" w:hAnsi="Times New Roman" w:cs="Times New Roman"/>
                <w:sz w:val="24"/>
                <w:szCs w:val="24"/>
                <w:shd w:val="clear" w:color="auto" w:fill="FFFFFF"/>
              </w:rPr>
              <w:t>≥ 5</w:t>
            </w:r>
          </w:p>
        </w:tc>
        <w:tc>
          <w:tcPr>
            <w:tcW w:w="1134" w:type="dxa"/>
            <w:tcBorders>
              <w:right w:val="single" w:color="auto" w:sz="4" w:space="0"/>
            </w:tcBorders>
          </w:tcPr>
          <w:p w14:paraId="3B33583F">
            <w:pPr>
              <w:jc w:val="center"/>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Киловатт</w:t>
            </w:r>
          </w:p>
        </w:tc>
        <w:tc>
          <w:tcPr>
            <w:tcW w:w="992" w:type="dxa"/>
            <w:vMerge w:val="continue"/>
            <w:tcBorders>
              <w:left w:val="single" w:color="auto" w:sz="4" w:space="0"/>
              <w:right w:val="single" w:color="auto" w:sz="4" w:space="0"/>
            </w:tcBorders>
            <w:vAlign w:val="center"/>
          </w:tcPr>
          <w:p w14:paraId="2170A2C2">
            <w:pPr>
              <w:jc w:val="center"/>
              <w:rPr>
                <w:rFonts w:hint="default" w:ascii="Times New Roman" w:hAnsi="Times New Roman" w:cs="Times New Roman"/>
                <w:b/>
                <w:color w:val="FF0000"/>
                <w:sz w:val="24"/>
                <w:szCs w:val="24"/>
              </w:rPr>
            </w:pPr>
          </w:p>
        </w:tc>
      </w:tr>
      <w:tr w14:paraId="6589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425" w:type="dxa"/>
            <w:vMerge w:val="continue"/>
            <w:tcBorders>
              <w:left w:val="single" w:color="auto" w:sz="4" w:space="0"/>
              <w:right w:val="single" w:color="auto" w:sz="4" w:space="0"/>
            </w:tcBorders>
          </w:tcPr>
          <w:p w14:paraId="14014862">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73E8F8DB">
            <w:pPr>
              <w:jc w:val="center"/>
              <w:rPr>
                <w:rFonts w:hint="default" w:ascii="Times New Roman" w:hAnsi="Times New Roman" w:cs="Times New Roman"/>
                <w:sz w:val="24"/>
                <w:szCs w:val="24"/>
              </w:rPr>
            </w:pPr>
          </w:p>
        </w:tc>
        <w:tc>
          <w:tcPr>
            <w:tcW w:w="3261" w:type="dxa"/>
            <w:tcBorders>
              <w:left w:val="single" w:color="auto" w:sz="4" w:space="0"/>
            </w:tcBorders>
          </w:tcPr>
          <w:p w14:paraId="561FF377">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 xml:space="preserve">Мощность в режиме нагрева                     </w:t>
            </w:r>
          </w:p>
        </w:tc>
        <w:tc>
          <w:tcPr>
            <w:tcW w:w="2126" w:type="dxa"/>
            <w:shd w:val="clear" w:color="auto" w:fill="auto"/>
          </w:tcPr>
          <w:p w14:paraId="0BED5D3F">
            <w:pPr>
              <w:rPr>
                <w:rFonts w:hint="default" w:ascii="Times New Roman" w:hAnsi="Times New Roman" w:cs="Times New Roman"/>
                <w:bCs/>
                <w:sz w:val="24"/>
                <w:szCs w:val="24"/>
              </w:rPr>
            </w:pPr>
            <w:r>
              <w:rPr>
                <w:rFonts w:hint="default" w:ascii="Times New Roman" w:hAnsi="Times New Roman" w:cs="Times New Roman"/>
                <w:sz w:val="24"/>
                <w:szCs w:val="24"/>
                <w:shd w:val="clear" w:color="auto" w:fill="FFFFFF"/>
              </w:rPr>
              <w:t>≥ 5</w:t>
            </w:r>
          </w:p>
        </w:tc>
        <w:tc>
          <w:tcPr>
            <w:tcW w:w="1134" w:type="dxa"/>
            <w:tcBorders>
              <w:right w:val="single" w:color="auto" w:sz="4" w:space="0"/>
            </w:tcBorders>
          </w:tcPr>
          <w:p w14:paraId="550CCE49">
            <w:pPr>
              <w:jc w:val="center"/>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Киловатт</w:t>
            </w:r>
          </w:p>
        </w:tc>
        <w:tc>
          <w:tcPr>
            <w:tcW w:w="992" w:type="dxa"/>
            <w:vMerge w:val="continue"/>
            <w:tcBorders>
              <w:left w:val="single" w:color="auto" w:sz="4" w:space="0"/>
              <w:right w:val="single" w:color="auto" w:sz="4" w:space="0"/>
            </w:tcBorders>
            <w:vAlign w:val="center"/>
          </w:tcPr>
          <w:p w14:paraId="5A827087">
            <w:pPr>
              <w:jc w:val="center"/>
              <w:rPr>
                <w:rFonts w:hint="default" w:ascii="Times New Roman" w:hAnsi="Times New Roman" w:cs="Times New Roman"/>
                <w:b/>
                <w:color w:val="FF0000"/>
                <w:sz w:val="24"/>
                <w:szCs w:val="24"/>
              </w:rPr>
            </w:pPr>
          </w:p>
        </w:tc>
      </w:tr>
      <w:tr w14:paraId="1ADB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25" w:type="dxa"/>
            <w:vMerge w:val="continue"/>
            <w:tcBorders>
              <w:left w:val="single" w:color="auto" w:sz="4" w:space="0"/>
              <w:right w:val="single" w:color="auto" w:sz="4" w:space="0"/>
            </w:tcBorders>
          </w:tcPr>
          <w:p w14:paraId="00D1B18C">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71D227AD">
            <w:pPr>
              <w:jc w:val="center"/>
              <w:rPr>
                <w:rFonts w:hint="default" w:ascii="Times New Roman" w:hAnsi="Times New Roman" w:cs="Times New Roman"/>
                <w:sz w:val="24"/>
                <w:szCs w:val="24"/>
              </w:rPr>
            </w:pPr>
          </w:p>
        </w:tc>
        <w:tc>
          <w:tcPr>
            <w:tcW w:w="3261" w:type="dxa"/>
            <w:vMerge w:val="restart"/>
            <w:tcBorders>
              <w:left w:val="single" w:color="auto" w:sz="4" w:space="0"/>
            </w:tcBorders>
          </w:tcPr>
          <w:p w14:paraId="42132ED6">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Наличие пульта дистанционного управления</w:t>
            </w:r>
          </w:p>
        </w:tc>
        <w:tc>
          <w:tcPr>
            <w:tcW w:w="2126" w:type="dxa"/>
            <w:vMerge w:val="restart"/>
            <w:shd w:val="clear" w:color="auto" w:fill="auto"/>
          </w:tcPr>
          <w:p w14:paraId="7EC6D995">
            <w:pPr>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Да</w:t>
            </w:r>
          </w:p>
        </w:tc>
        <w:tc>
          <w:tcPr>
            <w:tcW w:w="1134" w:type="dxa"/>
            <w:tcBorders>
              <w:right w:val="single" w:color="auto" w:sz="4" w:space="0"/>
            </w:tcBorders>
          </w:tcPr>
          <w:p w14:paraId="00718370">
            <w:pPr>
              <w:jc w:val="center"/>
              <w:rPr>
                <w:rFonts w:hint="default" w:ascii="Times New Roman" w:hAnsi="Times New Roman" w:cs="Times New Roman"/>
                <w:sz w:val="24"/>
                <w:szCs w:val="24"/>
                <w:shd w:val="clear" w:color="auto" w:fill="FFFFFF"/>
              </w:rPr>
            </w:pPr>
          </w:p>
        </w:tc>
        <w:tc>
          <w:tcPr>
            <w:tcW w:w="992" w:type="dxa"/>
            <w:vMerge w:val="continue"/>
            <w:tcBorders>
              <w:left w:val="single" w:color="auto" w:sz="4" w:space="0"/>
              <w:right w:val="single" w:color="auto" w:sz="4" w:space="0"/>
            </w:tcBorders>
            <w:vAlign w:val="center"/>
          </w:tcPr>
          <w:p w14:paraId="6F4CDFD7">
            <w:pPr>
              <w:jc w:val="center"/>
              <w:rPr>
                <w:rFonts w:hint="default" w:ascii="Times New Roman" w:hAnsi="Times New Roman" w:cs="Times New Roman"/>
                <w:b/>
                <w:color w:val="FF0000"/>
                <w:sz w:val="24"/>
                <w:szCs w:val="24"/>
              </w:rPr>
            </w:pPr>
          </w:p>
        </w:tc>
      </w:tr>
      <w:tr w14:paraId="09FC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25" w:type="dxa"/>
            <w:vMerge w:val="continue"/>
            <w:tcBorders>
              <w:left w:val="single" w:color="auto" w:sz="4" w:space="0"/>
              <w:right w:val="single" w:color="auto" w:sz="4" w:space="0"/>
            </w:tcBorders>
          </w:tcPr>
          <w:p w14:paraId="7EC2065D">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6BDC4FE7">
            <w:pPr>
              <w:jc w:val="center"/>
              <w:rPr>
                <w:rFonts w:hint="default" w:ascii="Times New Roman" w:hAnsi="Times New Roman" w:cs="Times New Roman"/>
                <w:sz w:val="24"/>
                <w:szCs w:val="24"/>
              </w:rPr>
            </w:pPr>
          </w:p>
        </w:tc>
        <w:tc>
          <w:tcPr>
            <w:tcW w:w="3261" w:type="dxa"/>
            <w:vMerge w:val="continue"/>
            <w:tcBorders>
              <w:left w:val="single" w:color="auto" w:sz="4" w:space="0"/>
            </w:tcBorders>
          </w:tcPr>
          <w:p w14:paraId="20D93F58">
            <w:pPr>
              <w:pStyle w:val="147"/>
              <w:rPr>
                <w:rFonts w:hint="default" w:ascii="Times New Roman" w:hAnsi="Times New Roman" w:cs="Times New Roman"/>
                <w:sz w:val="24"/>
                <w:szCs w:val="24"/>
                <w:shd w:val="clear" w:color="auto" w:fill="FFFFFF"/>
              </w:rPr>
            </w:pPr>
          </w:p>
        </w:tc>
        <w:tc>
          <w:tcPr>
            <w:tcW w:w="2126" w:type="dxa"/>
            <w:vMerge w:val="continue"/>
            <w:shd w:val="clear" w:color="auto" w:fill="auto"/>
          </w:tcPr>
          <w:p w14:paraId="4C1D89FB">
            <w:pPr>
              <w:rPr>
                <w:rFonts w:hint="default" w:ascii="Times New Roman" w:hAnsi="Times New Roman" w:cs="Times New Roman"/>
                <w:sz w:val="24"/>
                <w:szCs w:val="24"/>
                <w:shd w:val="clear" w:color="auto" w:fill="FFFFFF"/>
              </w:rPr>
            </w:pPr>
          </w:p>
        </w:tc>
        <w:tc>
          <w:tcPr>
            <w:tcW w:w="1134" w:type="dxa"/>
            <w:tcBorders>
              <w:bottom w:val="single" w:color="auto" w:sz="4" w:space="0"/>
              <w:right w:val="single" w:color="auto" w:sz="4" w:space="0"/>
            </w:tcBorders>
          </w:tcPr>
          <w:p w14:paraId="6C443E1F">
            <w:pPr>
              <w:jc w:val="center"/>
              <w:rPr>
                <w:rFonts w:hint="default" w:ascii="Times New Roman" w:hAnsi="Times New Roman" w:cs="Times New Roman"/>
                <w:sz w:val="24"/>
                <w:szCs w:val="24"/>
                <w:shd w:val="clear" w:color="auto" w:fill="FFFFFF"/>
              </w:rPr>
            </w:pPr>
          </w:p>
        </w:tc>
        <w:tc>
          <w:tcPr>
            <w:tcW w:w="992" w:type="dxa"/>
            <w:vMerge w:val="continue"/>
            <w:tcBorders>
              <w:left w:val="single" w:color="auto" w:sz="4" w:space="0"/>
              <w:right w:val="single" w:color="auto" w:sz="4" w:space="0"/>
            </w:tcBorders>
            <w:vAlign w:val="center"/>
          </w:tcPr>
          <w:p w14:paraId="6D55482C">
            <w:pPr>
              <w:jc w:val="center"/>
              <w:rPr>
                <w:rFonts w:hint="default" w:ascii="Times New Roman" w:hAnsi="Times New Roman" w:cs="Times New Roman"/>
                <w:b/>
                <w:color w:val="FF0000"/>
                <w:sz w:val="24"/>
                <w:szCs w:val="24"/>
              </w:rPr>
            </w:pPr>
          </w:p>
        </w:tc>
      </w:tr>
      <w:tr w14:paraId="1657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25" w:type="dxa"/>
            <w:vMerge w:val="continue"/>
            <w:tcBorders>
              <w:left w:val="single" w:color="auto" w:sz="4" w:space="0"/>
              <w:right w:val="single" w:color="auto" w:sz="4" w:space="0"/>
            </w:tcBorders>
          </w:tcPr>
          <w:p w14:paraId="0E897A0A">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5A760AF1">
            <w:pPr>
              <w:jc w:val="center"/>
              <w:rPr>
                <w:rFonts w:hint="default" w:ascii="Times New Roman" w:hAnsi="Times New Roman" w:cs="Times New Roman"/>
                <w:sz w:val="24"/>
                <w:szCs w:val="24"/>
              </w:rPr>
            </w:pPr>
          </w:p>
        </w:tc>
        <w:tc>
          <w:tcPr>
            <w:tcW w:w="3261" w:type="dxa"/>
            <w:tcBorders>
              <w:left w:val="single" w:color="auto" w:sz="4" w:space="0"/>
            </w:tcBorders>
          </w:tcPr>
          <w:p w14:paraId="604C4DCF">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Режим работы кондиционера</w:t>
            </w:r>
          </w:p>
        </w:tc>
        <w:tc>
          <w:tcPr>
            <w:tcW w:w="2126" w:type="dxa"/>
            <w:shd w:val="clear" w:color="auto" w:fill="auto"/>
          </w:tcPr>
          <w:p w14:paraId="659A4432">
            <w:pPr>
              <w:rPr>
                <w:rFonts w:hint="default" w:ascii="Times New Roman" w:hAnsi="Times New Roman" w:cs="Times New Roman"/>
                <w:bCs/>
                <w:sz w:val="24"/>
                <w:szCs w:val="24"/>
              </w:rPr>
            </w:pPr>
            <w:r>
              <w:rPr>
                <w:rFonts w:hint="default" w:ascii="Times New Roman" w:hAnsi="Times New Roman" w:cs="Times New Roman"/>
                <w:bCs/>
                <w:sz w:val="24"/>
                <w:szCs w:val="24"/>
              </w:rPr>
              <w:t>Обогрев/ охлаждение</w:t>
            </w:r>
          </w:p>
        </w:tc>
        <w:tc>
          <w:tcPr>
            <w:tcW w:w="1134" w:type="dxa"/>
            <w:tcBorders>
              <w:bottom w:val="single" w:color="auto" w:sz="4" w:space="0"/>
              <w:right w:val="single" w:color="auto" w:sz="4" w:space="0"/>
            </w:tcBorders>
          </w:tcPr>
          <w:p w14:paraId="528105EE">
            <w:pPr>
              <w:jc w:val="center"/>
              <w:rPr>
                <w:rFonts w:hint="default" w:ascii="Times New Roman" w:hAnsi="Times New Roman" w:cs="Times New Roman"/>
                <w:color w:val="FF0000"/>
                <w:sz w:val="24"/>
                <w:szCs w:val="24"/>
              </w:rPr>
            </w:pPr>
          </w:p>
        </w:tc>
        <w:tc>
          <w:tcPr>
            <w:tcW w:w="992" w:type="dxa"/>
            <w:vMerge w:val="continue"/>
            <w:tcBorders>
              <w:left w:val="single" w:color="auto" w:sz="4" w:space="0"/>
              <w:right w:val="single" w:color="auto" w:sz="4" w:space="0"/>
            </w:tcBorders>
            <w:vAlign w:val="center"/>
          </w:tcPr>
          <w:p w14:paraId="661FC888">
            <w:pPr>
              <w:jc w:val="center"/>
              <w:rPr>
                <w:rFonts w:hint="default" w:ascii="Times New Roman" w:hAnsi="Times New Roman" w:cs="Times New Roman"/>
                <w:b/>
                <w:color w:val="FF0000"/>
                <w:sz w:val="24"/>
                <w:szCs w:val="24"/>
              </w:rPr>
            </w:pPr>
          </w:p>
        </w:tc>
      </w:tr>
      <w:tr w14:paraId="3492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25" w:type="dxa"/>
            <w:vMerge w:val="continue"/>
            <w:tcBorders>
              <w:left w:val="single" w:color="auto" w:sz="4" w:space="0"/>
              <w:right w:val="single" w:color="auto" w:sz="4" w:space="0"/>
            </w:tcBorders>
          </w:tcPr>
          <w:p w14:paraId="2C9F5DBA">
            <w:pPr>
              <w:jc w:val="center"/>
              <w:rPr>
                <w:rFonts w:hint="default" w:ascii="Times New Roman" w:hAnsi="Times New Roman" w:cs="Times New Roman"/>
                <w:sz w:val="24"/>
                <w:szCs w:val="24"/>
              </w:rPr>
            </w:pPr>
          </w:p>
        </w:tc>
        <w:tc>
          <w:tcPr>
            <w:tcW w:w="2405" w:type="dxa"/>
            <w:vMerge w:val="continue"/>
            <w:tcBorders>
              <w:left w:val="single" w:color="auto" w:sz="4" w:space="0"/>
              <w:right w:val="single" w:color="auto" w:sz="4" w:space="0"/>
            </w:tcBorders>
            <w:vAlign w:val="center"/>
          </w:tcPr>
          <w:p w14:paraId="6399D36D">
            <w:pPr>
              <w:jc w:val="center"/>
              <w:rPr>
                <w:rFonts w:hint="default" w:ascii="Times New Roman" w:hAnsi="Times New Roman" w:cs="Times New Roman"/>
                <w:sz w:val="24"/>
                <w:szCs w:val="24"/>
              </w:rPr>
            </w:pPr>
          </w:p>
        </w:tc>
        <w:tc>
          <w:tcPr>
            <w:tcW w:w="3261" w:type="dxa"/>
            <w:tcBorders>
              <w:left w:val="single" w:color="auto" w:sz="4" w:space="0"/>
            </w:tcBorders>
          </w:tcPr>
          <w:p w14:paraId="2EB27048">
            <w:pPr>
              <w:pStyle w:val="147"/>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 xml:space="preserve">Тип внутреннего блока: </w:t>
            </w:r>
          </w:p>
        </w:tc>
        <w:tc>
          <w:tcPr>
            <w:tcW w:w="2126" w:type="dxa"/>
            <w:shd w:val="clear" w:color="auto" w:fill="auto"/>
          </w:tcPr>
          <w:p w14:paraId="7D978332">
            <w:pPr>
              <w:rPr>
                <w:rFonts w:hint="default" w:ascii="Times New Roman" w:hAnsi="Times New Roman" w:cs="Times New Roman"/>
                <w:bCs/>
                <w:sz w:val="24"/>
                <w:szCs w:val="24"/>
              </w:rPr>
            </w:pPr>
            <w:r>
              <w:rPr>
                <w:rFonts w:hint="default" w:ascii="Times New Roman" w:hAnsi="Times New Roman" w:cs="Times New Roman"/>
                <w:sz w:val="24"/>
                <w:szCs w:val="24"/>
                <w:shd w:val="clear" w:color="auto" w:fill="FFFFFF"/>
              </w:rPr>
              <w:t>Настенный</w:t>
            </w:r>
          </w:p>
        </w:tc>
        <w:tc>
          <w:tcPr>
            <w:tcW w:w="1134" w:type="dxa"/>
            <w:tcBorders>
              <w:right w:val="single" w:color="auto" w:sz="4" w:space="0"/>
            </w:tcBorders>
          </w:tcPr>
          <w:p w14:paraId="62BCEBE7">
            <w:pPr>
              <w:jc w:val="center"/>
              <w:rPr>
                <w:rFonts w:hint="default" w:ascii="Times New Roman" w:hAnsi="Times New Roman" w:cs="Times New Roman"/>
                <w:color w:val="FF0000"/>
                <w:sz w:val="24"/>
                <w:szCs w:val="24"/>
              </w:rPr>
            </w:pPr>
            <w:r>
              <w:rPr>
                <w:rFonts w:hint="default" w:ascii="Times New Roman" w:hAnsi="Times New Roman" w:cs="Times New Roman"/>
                <w:sz w:val="24"/>
                <w:szCs w:val="24"/>
              </w:rPr>
              <w:t>-</w:t>
            </w:r>
          </w:p>
        </w:tc>
        <w:tc>
          <w:tcPr>
            <w:tcW w:w="992" w:type="dxa"/>
            <w:vMerge w:val="continue"/>
            <w:tcBorders>
              <w:left w:val="single" w:color="auto" w:sz="4" w:space="0"/>
              <w:right w:val="single" w:color="auto" w:sz="4" w:space="0"/>
            </w:tcBorders>
            <w:vAlign w:val="center"/>
          </w:tcPr>
          <w:p w14:paraId="1B361DD2">
            <w:pPr>
              <w:jc w:val="center"/>
              <w:rPr>
                <w:rFonts w:hint="default" w:ascii="Times New Roman" w:hAnsi="Times New Roman" w:cs="Times New Roman"/>
                <w:b/>
                <w:color w:val="FF0000"/>
                <w:sz w:val="24"/>
                <w:szCs w:val="24"/>
              </w:rPr>
            </w:pPr>
          </w:p>
        </w:tc>
      </w:tr>
    </w:tbl>
    <w:p w14:paraId="2C12B682">
      <w:pPr>
        <w:rPr>
          <w:rFonts w:hint="default" w:ascii="Times New Roman" w:hAnsi="Times New Roman" w:cs="Times New Roman"/>
          <w:sz w:val="24"/>
          <w:szCs w:val="24"/>
          <w:shd w:val="clear" w:color="auto" w:fill="FFFFFF"/>
        </w:rPr>
      </w:pPr>
    </w:p>
    <w:p w14:paraId="0BE237BB">
      <w:pPr>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Длина дренажной трассы до 3 метров</w:t>
      </w:r>
    </w:p>
    <w:p w14:paraId="12C7EC4B">
      <w:pPr>
        <w:rPr>
          <w:rFonts w:hint="default" w:ascii="Times New Roman" w:hAnsi="Times New Roman" w:cs="Times New Roman"/>
          <w:sz w:val="24"/>
          <w:szCs w:val="24"/>
          <w:shd w:val="clear" w:color="auto" w:fill="FFFFFF"/>
        </w:rPr>
      </w:pPr>
    </w:p>
    <w:p w14:paraId="5F5B2635">
      <w:pPr>
        <w:ind w:left="-851" w:firstLine="851"/>
        <w:rPr>
          <w:rFonts w:hint="default" w:ascii="Times New Roman" w:hAnsi="Times New Roman" w:cs="Times New Roman"/>
          <w:b/>
          <w:sz w:val="24"/>
          <w:szCs w:val="24"/>
          <w:lang w:eastAsia="ar-SA"/>
        </w:rPr>
      </w:pPr>
      <w:r>
        <w:rPr>
          <w:rFonts w:hint="default" w:ascii="Times New Roman" w:hAnsi="Times New Roman" w:cs="Times New Roman"/>
          <w:b/>
          <w:sz w:val="24"/>
          <w:szCs w:val="24"/>
          <w:lang w:eastAsia="ar-SA"/>
        </w:rPr>
        <w:t>2. Место поставки и установки Товара:</w:t>
      </w:r>
    </w:p>
    <w:p w14:paraId="57E9D948">
      <w:pPr>
        <w:ind w:firstLine="567"/>
        <w:jc w:val="both"/>
        <w:rPr>
          <w:rFonts w:hint="default" w:ascii="Times New Roman" w:hAnsi="Times New Roman" w:cs="Times New Roman"/>
          <w:sz w:val="24"/>
          <w:szCs w:val="24"/>
        </w:rPr>
      </w:pPr>
      <w:r>
        <w:rPr>
          <w:rFonts w:hint="default" w:ascii="Times New Roman" w:hAnsi="Times New Roman" w:cs="Times New Roman"/>
          <w:sz w:val="24"/>
          <w:szCs w:val="24"/>
          <w:lang w:eastAsia="ar-SA"/>
        </w:rPr>
        <w:t>2.1. Демонтаж старого кондиционера, поставка нового, разгрузка, поднятие на этаж и установка Товара производятся за счет Поставщика по адресу: г. Хабаровск, ул. Ким Ю Чена, 65</w:t>
      </w:r>
      <w:r>
        <w:rPr>
          <w:rFonts w:hint="default" w:ascii="Times New Roman" w:hAnsi="Times New Roman" w:cs="Times New Roman"/>
          <w:sz w:val="24"/>
          <w:szCs w:val="24"/>
        </w:rPr>
        <w:t xml:space="preserve">: </w:t>
      </w:r>
    </w:p>
    <w:tbl>
      <w:tblPr>
        <w:tblStyle w:val="6"/>
        <w:tblW w:w="955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48"/>
        <w:gridCol w:w="2409"/>
        <w:gridCol w:w="1701"/>
        <w:gridCol w:w="1588"/>
      </w:tblGrid>
      <w:tr w14:paraId="3489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Pr>
          <w:p w14:paraId="1A30FA75">
            <w:pPr>
              <w:spacing w:line="240" w:lineRule="exact"/>
              <w:ind w:right="-1"/>
              <w:jc w:val="center"/>
              <w:rPr>
                <w:rFonts w:hint="default" w:ascii="Times New Roman" w:hAnsi="Times New Roman" w:cs="Times New Roman"/>
                <w:smallCaps/>
                <w:sz w:val="24"/>
                <w:szCs w:val="24"/>
              </w:rPr>
            </w:pPr>
            <w:r>
              <w:rPr>
                <w:rFonts w:hint="default" w:ascii="Times New Roman" w:hAnsi="Times New Roman" w:cs="Times New Roman"/>
                <w:b/>
                <w:sz w:val="24"/>
                <w:szCs w:val="24"/>
              </w:rPr>
              <w:t>№ п/п</w:t>
            </w:r>
          </w:p>
        </w:tc>
        <w:tc>
          <w:tcPr>
            <w:tcW w:w="3148" w:type="dxa"/>
          </w:tcPr>
          <w:p w14:paraId="3FD78C52">
            <w:pPr>
              <w:spacing w:line="240" w:lineRule="exact"/>
              <w:ind w:right="-1"/>
              <w:jc w:val="center"/>
              <w:rPr>
                <w:rFonts w:hint="default" w:ascii="Times New Roman" w:hAnsi="Times New Roman" w:cs="Times New Roman"/>
                <w:smallCaps/>
                <w:sz w:val="24"/>
                <w:szCs w:val="24"/>
              </w:rPr>
            </w:pPr>
            <w:r>
              <w:rPr>
                <w:rFonts w:hint="default" w:ascii="Times New Roman" w:hAnsi="Times New Roman" w:cs="Times New Roman"/>
                <w:b/>
                <w:sz w:val="24"/>
                <w:szCs w:val="24"/>
              </w:rPr>
              <w:t>Место (адрес) доставки, монтажа Товара</w:t>
            </w:r>
          </w:p>
        </w:tc>
        <w:tc>
          <w:tcPr>
            <w:tcW w:w="2409" w:type="dxa"/>
          </w:tcPr>
          <w:p w14:paraId="171A64E2">
            <w:pPr>
              <w:spacing w:line="240" w:lineRule="exact"/>
              <w:ind w:right="-1"/>
              <w:jc w:val="center"/>
              <w:rPr>
                <w:rFonts w:hint="default" w:ascii="Times New Roman" w:hAnsi="Times New Roman" w:cs="Times New Roman"/>
                <w:b/>
                <w:smallCaps/>
                <w:sz w:val="24"/>
                <w:szCs w:val="24"/>
              </w:rPr>
            </w:pPr>
            <w:r>
              <w:rPr>
                <w:rFonts w:hint="default" w:ascii="Times New Roman" w:hAnsi="Times New Roman" w:cs="Times New Roman"/>
                <w:b/>
                <w:sz w:val="24"/>
                <w:szCs w:val="24"/>
              </w:rPr>
              <w:t>Помещения, №</w:t>
            </w:r>
          </w:p>
        </w:tc>
        <w:tc>
          <w:tcPr>
            <w:tcW w:w="1701" w:type="dxa"/>
          </w:tcPr>
          <w:p w14:paraId="57269666">
            <w:pPr>
              <w:spacing w:line="24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Кол-во </w:t>
            </w:r>
          </w:p>
          <w:p w14:paraId="2979AB6A">
            <w:pPr>
              <w:spacing w:line="240" w:lineRule="exact"/>
              <w:jc w:val="center"/>
              <w:rPr>
                <w:rFonts w:hint="default" w:ascii="Times New Roman" w:hAnsi="Times New Roman" w:cs="Times New Roman"/>
                <w:smallCaps/>
                <w:sz w:val="24"/>
                <w:szCs w:val="24"/>
              </w:rPr>
            </w:pPr>
            <w:r>
              <w:rPr>
                <w:rFonts w:hint="default" w:ascii="Times New Roman" w:hAnsi="Times New Roman" w:cs="Times New Roman"/>
                <w:b/>
                <w:sz w:val="24"/>
                <w:szCs w:val="24"/>
              </w:rPr>
              <w:t>Товара, шт</w:t>
            </w:r>
          </w:p>
        </w:tc>
        <w:tc>
          <w:tcPr>
            <w:tcW w:w="1588" w:type="dxa"/>
          </w:tcPr>
          <w:p w14:paraId="15022C62">
            <w:pPr>
              <w:spacing w:line="24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Этаж монтажа</w:t>
            </w:r>
          </w:p>
        </w:tc>
      </w:tr>
      <w:tr w14:paraId="1937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09" w:type="dxa"/>
          </w:tcPr>
          <w:p w14:paraId="2BFAA01C">
            <w:pPr>
              <w:tabs>
                <w:tab w:val="left" w:pos="540"/>
              </w:tabs>
              <w:spacing w:line="240" w:lineRule="exact"/>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3148" w:type="dxa"/>
            <w:vAlign w:val="center"/>
          </w:tcPr>
          <w:p w14:paraId="61DC8903">
            <w:pPr>
              <w:spacing w:line="240" w:lineRule="exact"/>
              <w:jc w:val="center"/>
              <w:rPr>
                <w:rFonts w:hint="default" w:ascii="Times New Roman" w:hAnsi="Times New Roman" w:eastAsia="Calibri" w:cs="Times New Roman"/>
                <w:bCs/>
                <w:sz w:val="24"/>
                <w:szCs w:val="24"/>
                <w:lang w:eastAsia="en-US"/>
              </w:rPr>
            </w:pPr>
            <w:r>
              <w:rPr>
                <w:rFonts w:hint="default" w:ascii="Times New Roman" w:hAnsi="Times New Roman" w:eastAsia="Calibri" w:cs="Times New Roman"/>
                <w:bCs/>
                <w:sz w:val="24"/>
                <w:szCs w:val="24"/>
                <w:lang w:eastAsia="en-US"/>
              </w:rPr>
              <w:t xml:space="preserve">г. Хабаровск, </w:t>
            </w:r>
          </w:p>
          <w:p w14:paraId="4441E061">
            <w:pPr>
              <w:spacing w:line="240" w:lineRule="exact"/>
              <w:jc w:val="center"/>
              <w:rPr>
                <w:rFonts w:hint="default" w:ascii="Times New Roman" w:hAnsi="Times New Roman" w:eastAsia="Calibri" w:cs="Times New Roman"/>
                <w:bCs/>
                <w:sz w:val="24"/>
                <w:szCs w:val="24"/>
                <w:lang w:eastAsia="en-US"/>
              </w:rPr>
            </w:pPr>
            <w:r>
              <w:rPr>
                <w:rFonts w:hint="default" w:ascii="Times New Roman" w:hAnsi="Times New Roman" w:eastAsia="Calibri" w:cs="Times New Roman"/>
                <w:bCs/>
                <w:sz w:val="24"/>
                <w:szCs w:val="24"/>
                <w:lang w:eastAsia="en-US"/>
              </w:rPr>
              <w:t xml:space="preserve">ул. Ким Ю Чена, д. 65, </w:t>
            </w:r>
          </w:p>
        </w:tc>
        <w:tc>
          <w:tcPr>
            <w:tcW w:w="2409" w:type="dxa"/>
            <w:vAlign w:val="center"/>
          </w:tcPr>
          <w:p w14:paraId="29462711">
            <w:pPr>
              <w:spacing w:line="240" w:lineRule="exact"/>
              <w:jc w:val="center"/>
              <w:rPr>
                <w:rFonts w:hint="default" w:ascii="Times New Roman" w:hAnsi="Times New Roman" w:eastAsia="Calibri" w:cs="Times New Roman"/>
                <w:bCs/>
                <w:sz w:val="24"/>
                <w:szCs w:val="24"/>
                <w:lang w:eastAsia="en-US"/>
              </w:rPr>
            </w:pPr>
          </w:p>
          <w:p w14:paraId="14B7120F">
            <w:pPr>
              <w:spacing w:line="240" w:lineRule="exact"/>
              <w:jc w:val="center"/>
              <w:rPr>
                <w:rFonts w:hint="default" w:ascii="Times New Roman" w:hAnsi="Times New Roman" w:eastAsia="Calibri" w:cs="Times New Roman"/>
                <w:bCs/>
                <w:sz w:val="24"/>
                <w:szCs w:val="24"/>
                <w:lang w:eastAsia="en-US"/>
              </w:rPr>
            </w:pPr>
            <w:r>
              <w:rPr>
                <w:rFonts w:hint="default" w:ascii="Times New Roman" w:hAnsi="Times New Roman" w:eastAsia="Calibri" w:cs="Times New Roman"/>
                <w:bCs/>
                <w:sz w:val="24"/>
                <w:szCs w:val="24"/>
                <w:lang w:eastAsia="en-US"/>
              </w:rPr>
              <w:t>Кабинет 105</w:t>
            </w:r>
          </w:p>
          <w:p w14:paraId="2F73F61B">
            <w:pPr>
              <w:spacing w:line="240" w:lineRule="exact"/>
              <w:jc w:val="center"/>
              <w:rPr>
                <w:rFonts w:hint="default" w:ascii="Times New Roman" w:hAnsi="Times New Roman" w:eastAsia="Calibri" w:cs="Times New Roman"/>
                <w:bCs/>
                <w:sz w:val="24"/>
                <w:szCs w:val="24"/>
                <w:lang w:eastAsia="en-US"/>
              </w:rPr>
            </w:pPr>
          </w:p>
        </w:tc>
        <w:tc>
          <w:tcPr>
            <w:tcW w:w="1701" w:type="dxa"/>
            <w:vAlign w:val="center"/>
          </w:tcPr>
          <w:p w14:paraId="639A97A0">
            <w:pPr>
              <w:tabs>
                <w:tab w:val="left" w:pos="540"/>
              </w:tabs>
              <w:spacing w:line="240" w:lineRule="exact"/>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588" w:type="dxa"/>
            <w:vAlign w:val="center"/>
          </w:tcPr>
          <w:p w14:paraId="1EBF4ABE">
            <w:pPr>
              <w:tabs>
                <w:tab w:val="left" w:pos="540"/>
              </w:tabs>
              <w:spacing w:line="240" w:lineRule="exact"/>
              <w:jc w:val="center"/>
              <w:rPr>
                <w:rFonts w:hint="default" w:ascii="Times New Roman" w:hAnsi="Times New Roman" w:cs="Times New Roman"/>
                <w:sz w:val="24"/>
                <w:szCs w:val="24"/>
              </w:rPr>
            </w:pPr>
            <w:r>
              <w:rPr>
                <w:rFonts w:hint="default" w:ascii="Times New Roman" w:hAnsi="Times New Roman" w:cs="Times New Roman"/>
                <w:sz w:val="24"/>
                <w:szCs w:val="24"/>
              </w:rPr>
              <w:t xml:space="preserve">1 этаж, высота размещения наружного блока 5,5 метров </w:t>
            </w:r>
          </w:p>
        </w:tc>
      </w:tr>
    </w:tbl>
    <w:p w14:paraId="0B28F087">
      <w:pPr>
        <w:ind w:left="-851" w:firstLine="851"/>
        <w:rPr>
          <w:rFonts w:hint="default" w:ascii="Times New Roman" w:hAnsi="Times New Roman" w:cs="Times New Roman"/>
          <w:b/>
          <w:sz w:val="24"/>
          <w:szCs w:val="24"/>
          <w:lang w:eastAsia="ar-SA"/>
        </w:rPr>
      </w:pPr>
    </w:p>
    <w:p w14:paraId="2CF0B7A1">
      <w:pPr>
        <w:suppressAutoHyphens/>
        <w:rPr>
          <w:rFonts w:hint="default" w:ascii="Times New Roman" w:hAnsi="Times New Roman" w:cs="Times New Roman"/>
          <w:sz w:val="24"/>
          <w:szCs w:val="24"/>
          <w:lang w:eastAsia="ar-SA"/>
        </w:rPr>
      </w:pPr>
      <w:r>
        <w:rPr>
          <w:rFonts w:hint="default" w:ascii="Times New Roman" w:hAnsi="Times New Roman" w:cs="Times New Roman"/>
          <w:b/>
          <w:sz w:val="24"/>
          <w:szCs w:val="24"/>
          <w:lang w:eastAsia="ar-SA"/>
        </w:rPr>
        <w:t>4. Срок поставки и установки Товара:</w:t>
      </w:r>
      <w:r>
        <w:rPr>
          <w:rFonts w:hint="default" w:ascii="Times New Roman" w:hAnsi="Times New Roman" w:cs="Times New Roman"/>
          <w:sz w:val="24"/>
          <w:szCs w:val="24"/>
          <w:lang w:eastAsia="ar-SA"/>
        </w:rPr>
        <w:t xml:space="preserve"> </w:t>
      </w:r>
    </w:p>
    <w:p w14:paraId="1F55881E">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3.1. Поставщик самостоятельно доставляет Товар Заказчику по адресу, указанному в п. 2.1 </w:t>
      </w:r>
      <w:r>
        <w:rPr>
          <w:rFonts w:hint="default" w:ascii="Times New Roman" w:hAnsi="Times New Roman" w:cs="Times New Roman" w:eastAsiaTheme="minorHAnsi"/>
          <w:color w:val="000000"/>
          <w:sz w:val="24"/>
          <w:szCs w:val="24"/>
          <w:lang w:eastAsia="en-US"/>
        </w:rPr>
        <w:t>настоящего технического задания</w:t>
      </w:r>
      <w:r>
        <w:rPr>
          <w:rFonts w:hint="default" w:ascii="Times New Roman" w:hAnsi="Times New Roman" w:cs="Times New Roman"/>
          <w:sz w:val="24"/>
          <w:szCs w:val="24"/>
        </w:rPr>
        <w:t xml:space="preserve"> (далее – место доставки), в течении 14 календарного дня с момента заключения Контакта. </w:t>
      </w:r>
    </w:p>
    <w:p w14:paraId="610F157A">
      <w:pPr>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       </w:t>
      </w:r>
      <w:r>
        <w:rPr>
          <w:rFonts w:hint="default" w:ascii="Times New Roman" w:hAnsi="Times New Roman" w:cs="Times New Roman"/>
          <w:sz w:val="24"/>
          <w:szCs w:val="24"/>
        </w:rPr>
        <w:t xml:space="preserve"> 3.2. 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14:paraId="4AE2DE85">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3.3. Поставка Товара включает в себя его установку, в том числе все необходимые материалы, необходимые для установки, подготовку мест для установки и осуществляется за счет средств Поставщика.</w:t>
      </w:r>
      <w:r>
        <w:rPr>
          <w:rFonts w:hint="default" w:ascii="Times New Roman" w:hAnsi="Times New Roman" w:eastAsia="Calibri" w:cs="Times New Roman"/>
          <w:color w:val="000000"/>
          <w:sz w:val="24"/>
          <w:szCs w:val="24"/>
        </w:rPr>
        <w:t xml:space="preserve"> Поставщик должен осуществить установку Товара (кондиционера) в установленные для поставки Товара сроки. </w:t>
      </w:r>
    </w:p>
    <w:p w14:paraId="09C0EB26">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3.4. Поставщик должен производить работы по установке Товара с учетом требований Приказ Минтруда России от 16.11.2020 № 782н «Об утверждении Правил по охране труда при работе на высоте».</w:t>
      </w:r>
    </w:p>
    <w:p w14:paraId="7AF31DE7">
      <w:pPr>
        <w:autoSpaceDE w:val="0"/>
        <w:autoSpaceDN w:val="0"/>
        <w:adjustRightInd w:val="0"/>
        <w:spacing w:line="240" w:lineRule="atLeast"/>
        <w:jc w:val="both"/>
        <w:rPr>
          <w:rFonts w:hint="default" w:ascii="Times New Roman" w:hAnsi="Times New Roman" w:cs="Times New Roman" w:eastAsiaTheme="minorHAnsi"/>
          <w:color w:val="000000"/>
          <w:sz w:val="24"/>
          <w:szCs w:val="24"/>
          <w:lang w:eastAsia="en-US"/>
        </w:rPr>
      </w:pPr>
      <w:r>
        <w:rPr>
          <w:rFonts w:hint="default" w:ascii="Times New Roman" w:hAnsi="Times New Roman" w:cs="Times New Roman" w:eastAsiaTheme="minorHAnsi"/>
          <w:color w:val="000000"/>
          <w:sz w:val="24"/>
          <w:szCs w:val="24"/>
          <w:lang w:eastAsia="en-US"/>
        </w:rPr>
        <w:t xml:space="preserve">        3.5. Места, этажи установки внешних и внутренних блоков, удаленность оборудования до точки подключения к электрической сети и другая информация необходимая для монтажа оборудования в помещениях Заказчика согласовывается с уполномоченным представителем Заказчика</w:t>
      </w:r>
      <w:r>
        <w:rPr>
          <w:rFonts w:hint="default" w:ascii="Times New Roman" w:hAnsi="Times New Roman" w:cs="Times New Roman"/>
          <w:sz w:val="24"/>
          <w:szCs w:val="24"/>
        </w:rPr>
        <w:t xml:space="preserve">. </w:t>
      </w:r>
    </w:p>
    <w:p w14:paraId="3903A6AC">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3.6. Доставка Товара должна осуществляется транспортом Поставщика.</w:t>
      </w:r>
    </w:p>
    <w:p w14:paraId="4B591E67">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3.7. Разгрузка Товара в месте установки должна осуществляться силами Поставщика.</w:t>
      </w:r>
    </w:p>
    <w:p w14:paraId="0C5CCB27">
      <w:pPr>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        3.8. Работоспособность Товара должна быть проверена в присутствии Заказчика.</w:t>
      </w:r>
    </w:p>
    <w:p w14:paraId="0FB9C06A">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3.9. Поставщик за свой счет и своими силами должен произвести уборку упаковки и прочего мусора, образовавшегося в ходе приемки и установки Товара.</w:t>
      </w:r>
    </w:p>
    <w:p w14:paraId="62151D14">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3.10. Для сборки Товара Поставщик должен использовать собственный инструмент.</w:t>
      </w:r>
    </w:p>
    <w:p w14:paraId="4AD21E53">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3.11. Установка Товара в помещениях Заказчика должна проводиться в течение рабочего дня и рабочего времени Заказчика (понедельник - пятница с 10:00 до 17:00).</w:t>
      </w:r>
    </w:p>
    <w:p w14:paraId="05EBE2A2">
      <w:pPr>
        <w:jc w:val="both"/>
        <w:rPr>
          <w:rFonts w:hint="default" w:ascii="Times New Roman" w:hAnsi="Times New Roman" w:cs="Times New Roman"/>
          <w:sz w:val="24"/>
          <w:szCs w:val="24"/>
        </w:rPr>
      </w:pPr>
    </w:p>
    <w:p w14:paraId="6D4299D2">
      <w:pPr>
        <w:suppressAutoHyphens/>
        <w:jc w:val="both"/>
        <w:rPr>
          <w:rFonts w:hint="default" w:ascii="Times New Roman" w:hAnsi="Times New Roman" w:cs="Times New Roman"/>
          <w:b/>
          <w:sz w:val="24"/>
          <w:szCs w:val="24"/>
        </w:rPr>
      </w:pPr>
      <w:r>
        <w:rPr>
          <w:rFonts w:hint="default" w:ascii="Times New Roman" w:hAnsi="Times New Roman" w:cs="Times New Roman"/>
          <w:b/>
          <w:sz w:val="24"/>
          <w:szCs w:val="24"/>
        </w:rPr>
        <w:t>4. Общие требования к Т</w:t>
      </w:r>
      <w:r>
        <w:rPr>
          <w:rFonts w:hint="default" w:ascii="Times New Roman" w:hAnsi="Times New Roman" w:cs="Times New Roman"/>
          <w:b/>
          <w:sz w:val="24"/>
          <w:szCs w:val="24"/>
          <w:lang w:eastAsia="ar-SA"/>
        </w:rPr>
        <w:t>овару и расходным материалам:</w:t>
      </w:r>
    </w:p>
    <w:p w14:paraId="60AAFA83">
      <w:pPr>
        <w:suppressAutoHyphens/>
        <w:ind w:firstLine="56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4.1. Поставляемый Т</w:t>
      </w:r>
      <w:r>
        <w:rPr>
          <w:rFonts w:hint="default" w:ascii="Times New Roman" w:hAnsi="Times New Roman" w:cs="Times New Roman"/>
          <w:sz w:val="24"/>
          <w:szCs w:val="24"/>
          <w:lang w:eastAsia="ar-SA"/>
        </w:rPr>
        <w:t>овар должен быть новым, произведенным не ранее 2022 года, ранее не испол</w:t>
      </w:r>
      <w:r>
        <w:rPr>
          <w:rFonts w:hint="default" w:ascii="Times New Roman" w:hAnsi="Times New Roman" w:cs="Times New Roman"/>
          <w:sz w:val="24"/>
          <w:szCs w:val="24"/>
        </w:rPr>
        <w:t>ьзованным (все составные части Т</w:t>
      </w:r>
      <w:r>
        <w:rPr>
          <w:rFonts w:hint="default" w:ascii="Times New Roman" w:hAnsi="Times New Roman" w:cs="Times New Roman"/>
          <w:sz w:val="24"/>
          <w:szCs w:val="24"/>
          <w:lang w:eastAsia="ar-SA"/>
        </w:rPr>
        <w:t>овара должны быть новыми), не восстановленным и не содержать восстановленных элементов, не должен иметь дефектов, связанных с конструкцией, материалами или функционированием при штатном их использовании</w:t>
      </w:r>
      <w:r>
        <w:rPr>
          <w:rFonts w:hint="default" w:ascii="Times New Roman" w:hAnsi="Times New Roman" w:cs="Times New Roman"/>
          <w:sz w:val="24"/>
          <w:szCs w:val="24"/>
        </w:rPr>
        <w:t>, иметь средства идентификации, используемые производителем для защиты от подделки.</w:t>
      </w:r>
      <w:r>
        <w:rPr>
          <w:rFonts w:hint="default" w:ascii="Times New Roman" w:hAnsi="Times New Roman" w:cs="Times New Roman"/>
          <w:sz w:val="24"/>
          <w:szCs w:val="24"/>
          <w:lang w:eastAsia="ar-SA"/>
        </w:rPr>
        <w:t xml:space="preserve"> </w:t>
      </w:r>
    </w:p>
    <w:p w14:paraId="5DC27278">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4</w:t>
      </w:r>
      <w:r>
        <w:rPr>
          <w:rFonts w:hint="default" w:ascii="Times New Roman" w:hAnsi="Times New Roman" w:cs="Times New Roman"/>
          <w:sz w:val="24"/>
          <w:szCs w:val="24"/>
          <w:lang w:eastAsia="ar-SA"/>
        </w:rPr>
        <w:t>.2.</w:t>
      </w:r>
      <w:r>
        <w:rPr>
          <w:rFonts w:hint="default" w:ascii="Times New Roman" w:hAnsi="Times New Roman" w:cs="Times New Roman"/>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8C9FE92">
      <w:pPr>
        <w:suppressAutoHyphens/>
        <w:ind w:firstLine="56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 xml:space="preserve">4.3. </w:t>
      </w:r>
      <w:r>
        <w:rPr>
          <w:rFonts w:hint="default" w:ascii="Times New Roman" w:hAnsi="Times New Roman" w:cs="Times New Roman"/>
          <w:sz w:val="24"/>
          <w:szCs w:val="24"/>
          <w:lang w:eastAsia="ar-SA"/>
        </w:rPr>
        <w:t>Товар должен быть в свободном использовании на территории Российской Федерации.</w:t>
      </w:r>
    </w:p>
    <w:p w14:paraId="4E548289">
      <w:pPr>
        <w:suppressAutoHyphens/>
        <w:ind w:firstLine="56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4</w:t>
      </w:r>
      <w:r>
        <w:rPr>
          <w:rFonts w:hint="default" w:ascii="Times New Roman" w:hAnsi="Times New Roman" w:cs="Times New Roman"/>
          <w:sz w:val="24"/>
          <w:szCs w:val="24"/>
          <w:lang w:eastAsia="ar-SA"/>
        </w:rPr>
        <w:t>.4. Товар должен быть свободен от прав и притязаний третьих лиц, не находиться под запретом (арестом), в залоге.</w:t>
      </w:r>
    </w:p>
    <w:p w14:paraId="05899687">
      <w:pPr>
        <w:suppressAutoHyphens/>
        <w:ind w:firstLine="56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4</w:t>
      </w:r>
      <w:r>
        <w:rPr>
          <w:rFonts w:hint="default" w:ascii="Times New Roman" w:hAnsi="Times New Roman" w:cs="Times New Roman"/>
          <w:sz w:val="24"/>
          <w:szCs w:val="24"/>
          <w:lang w:eastAsia="ar-SA"/>
        </w:rPr>
        <w:t>.5. Не допуск</w:t>
      </w:r>
      <w:r>
        <w:rPr>
          <w:rFonts w:hint="default" w:ascii="Times New Roman" w:hAnsi="Times New Roman" w:cs="Times New Roman"/>
          <w:sz w:val="24"/>
          <w:szCs w:val="24"/>
        </w:rPr>
        <w:t>аются механические повреждения Т</w:t>
      </w:r>
      <w:r>
        <w:rPr>
          <w:rFonts w:hint="default" w:ascii="Times New Roman" w:hAnsi="Times New Roman" w:cs="Times New Roman"/>
          <w:sz w:val="24"/>
          <w:szCs w:val="24"/>
          <w:lang w:eastAsia="ar-SA"/>
        </w:rPr>
        <w:t>овара - царапины, сколы, трещины, в том числе допущенные при транспортировке, разгрузке и</w:t>
      </w:r>
      <w:r>
        <w:rPr>
          <w:rFonts w:hint="default" w:ascii="Times New Roman" w:hAnsi="Times New Roman" w:cs="Times New Roman"/>
          <w:sz w:val="24"/>
          <w:szCs w:val="24"/>
        </w:rPr>
        <w:t xml:space="preserve"> установке Т</w:t>
      </w:r>
      <w:r>
        <w:rPr>
          <w:rFonts w:hint="default" w:ascii="Times New Roman" w:hAnsi="Times New Roman" w:cs="Times New Roman"/>
          <w:sz w:val="24"/>
          <w:szCs w:val="24"/>
          <w:lang w:eastAsia="ar-SA"/>
        </w:rPr>
        <w:t>овара.</w:t>
      </w:r>
    </w:p>
    <w:p w14:paraId="0978A6AA">
      <w:pPr>
        <w:suppressAutoHyphens/>
        <w:ind w:firstLine="56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4</w:t>
      </w:r>
      <w:r>
        <w:rPr>
          <w:rFonts w:hint="default" w:ascii="Times New Roman" w:hAnsi="Times New Roman" w:cs="Times New Roman"/>
          <w:sz w:val="24"/>
          <w:szCs w:val="24"/>
          <w:lang w:eastAsia="ar-SA"/>
        </w:rPr>
        <w:t xml:space="preserve">.6. При исполнении </w:t>
      </w:r>
      <w:r>
        <w:rPr>
          <w:rFonts w:hint="default" w:ascii="Times New Roman" w:hAnsi="Times New Roman" w:cs="Times New Roman"/>
          <w:sz w:val="24"/>
          <w:szCs w:val="24"/>
        </w:rPr>
        <w:t>К</w:t>
      </w:r>
      <w:r>
        <w:rPr>
          <w:rFonts w:hint="default" w:ascii="Times New Roman" w:hAnsi="Times New Roman" w:cs="Times New Roman"/>
          <w:sz w:val="24"/>
          <w:szCs w:val="24"/>
          <w:lang w:eastAsia="ar-SA"/>
        </w:rPr>
        <w:t xml:space="preserve">онтракта (за исключением случаев, которые предусмотрены нормативными правовыми актами, принятыми в соответствии с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"consultantplus://offline/ref=D6F294179751615EB2A64ADF9C4D1FFCF8B07E8516B4AA9EA662F4786F43E36380C2E1CB059BBFEDDD71F57FB2BB989150F68A4521DF65E"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eastAsia="ar-SA"/>
        </w:rPr>
        <w:t>частью 6 статьи 14</w:t>
      </w:r>
      <w:r>
        <w:rPr>
          <w:rFonts w:hint="default" w:ascii="Times New Roman" w:hAnsi="Times New Roman" w:cs="Times New Roman"/>
          <w:sz w:val="24"/>
          <w:szCs w:val="24"/>
          <w:lang w:eastAsia="ar-SA"/>
        </w:rPr>
        <w:fldChar w:fldCharType="end"/>
      </w:r>
      <w:r>
        <w:rPr>
          <w:rFonts w:hint="default" w:ascii="Times New Roman" w:hAnsi="Times New Roman" w:cs="Times New Roman"/>
          <w:sz w:val="24"/>
          <w:szCs w:val="24"/>
          <w:lang w:eastAsia="ar-SA"/>
        </w:rPr>
        <w:t xml:space="preserve"> </w:t>
      </w:r>
      <w:r>
        <w:rPr>
          <w:rFonts w:hint="default" w:ascii="Times New Roman" w:hAnsi="Times New Roman" w:cs="Times New Roman"/>
          <w:sz w:val="24"/>
          <w:szCs w:val="24"/>
        </w:rPr>
        <w:t>З</w:t>
      </w:r>
      <w:r>
        <w:rPr>
          <w:rFonts w:hint="default" w:ascii="Times New Roman" w:hAnsi="Times New Roman" w:cs="Times New Roman"/>
          <w:sz w:val="24"/>
          <w:szCs w:val="24"/>
          <w:lang w:eastAsia="ar-SA"/>
        </w:rPr>
        <w:t>акона № 44-ФЗ) по согласованию Заказчика с По</w:t>
      </w:r>
      <w:r>
        <w:rPr>
          <w:rFonts w:hint="default" w:ascii="Times New Roman" w:hAnsi="Times New Roman" w:cs="Times New Roman"/>
          <w:sz w:val="24"/>
          <w:szCs w:val="24"/>
        </w:rPr>
        <w:t>ставщиком допускается поставка Т</w:t>
      </w:r>
      <w:r>
        <w:rPr>
          <w:rFonts w:hint="default" w:ascii="Times New Roman" w:hAnsi="Times New Roman" w:cs="Times New Roman"/>
          <w:sz w:val="24"/>
          <w:szCs w:val="24"/>
          <w:lang w:eastAsia="ar-SA"/>
        </w:rPr>
        <w:t xml:space="preserve">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hint="default" w:ascii="Times New Roman" w:hAnsi="Times New Roman" w:cs="Times New Roman"/>
          <w:sz w:val="24"/>
          <w:szCs w:val="24"/>
        </w:rPr>
        <w:t>К</w:t>
      </w:r>
      <w:r>
        <w:rPr>
          <w:rFonts w:hint="default" w:ascii="Times New Roman" w:hAnsi="Times New Roman" w:cs="Times New Roman"/>
          <w:sz w:val="24"/>
          <w:szCs w:val="24"/>
          <w:lang w:eastAsia="ar-SA"/>
        </w:rPr>
        <w:t xml:space="preserve">онтракте. </w:t>
      </w:r>
    </w:p>
    <w:p w14:paraId="47745314">
      <w:pPr>
        <w:suppressAutoHyphens/>
        <w:ind w:firstLine="567"/>
        <w:jc w:val="both"/>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lang w:eastAsia="ar-SA"/>
        </w:rPr>
        <w:t xml:space="preserve">.7. </w:t>
      </w:r>
      <w:r>
        <w:rPr>
          <w:rFonts w:hint="default" w:ascii="Times New Roman" w:hAnsi="Times New Roman" w:cs="Times New Roman"/>
          <w:sz w:val="24"/>
          <w:szCs w:val="24"/>
        </w:rPr>
        <w:t>Требование к энергоэффективности в соответствии с п. 7 Правил установления энергетической эффективности, утвержденных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2D32C953">
      <w:pPr>
        <w:suppressAutoHyphens/>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4.8. Требования к энергоэффективности в соответствии с разделом </w:t>
      </w:r>
      <w:r>
        <w:rPr>
          <w:rFonts w:hint="default" w:ascii="Times New Roman" w:hAnsi="Times New Roman" w:cs="Times New Roman"/>
          <w:sz w:val="24"/>
          <w:szCs w:val="24"/>
          <w:lang w:val="en-US"/>
        </w:rPr>
        <w:t>IV</w:t>
      </w:r>
      <w:r>
        <w:rPr>
          <w:rFonts w:hint="default" w:ascii="Times New Roman" w:hAnsi="Times New Roman" w:cs="Times New Roman"/>
          <w:sz w:val="24"/>
          <w:szCs w:val="24"/>
        </w:rPr>
        <w:t xml:space="preserve"> Приказа Минэкономразвития России от 22.03.2021 № 131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г. N 1221" (Зарегистрировано в Минюсте России 20.05.2021 № 63533)</w:t>
      </w:r>
    </w:p>
    <w:p w14:paraId="5E50F577">
      <w:pPr>
        <w:shd w:val="clear" w:color="auto" w:fill="FFFFFF"/>
        <w:jc w:val="both"/>
        <w:rPr>
          <w:rFonts w:hint="default" w:ascii="Times New Roman" w:hAnsi="Times New Roman" w:cs="Times New Roman"/>
          <w:b/>
          <w:sz w:val="24"/>
          <w:szCs w:val="24"/>
        </w:rPr>
      </w:pPr>
      <w:r>
        <w:rPr>
          <w:rFonts w:hint="default" w:ascii="Times New Roman" w:hAnsi="Times New Roman" w:cs="Times New Roman"/>
          <w:b/>
          <w:sz w:val="24"/>
          <w:szCs w:val="24"/>
        </w:rPr>
        <w:t>5. Требования к упаковке Товара.</w:t>
      </w:r>
    </w:p>
    <w:p w14:paraId="0F58D570">
      <w:pPr>
        <w:suppressAutoHyphens/>
        <w:ind w:firstLine="567"/>
        <w:jc w:val="both"/>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sz w:val="24"/>
          <w:szCs w:val="24"/>
          <w:lang w:eastAsia="ar-SA"/>
        </w:rPr>
        <w:t xml:space="preserve">.1. </w:t>
      </w:r>
      <w:r>
        <w:rPr>
          <w:rFonts w:hint="default" w:ascii="Times New Roman" w:hAnsi="Times New Roman" w:cs="Times New Roman"/>
          <w:sz w:val="24"/>
          <w:szCs w:val="24"/>
        </w:rPr>
        <w:t>Товар должен быть упакован и замаркирован в соответствии с действующими стандартами и с учетом требований Постановления Правительства РФ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14:paraId="748B6F3F">
      <w:pPr>
        <w:pStyle w:val="28"/>
        <w:ind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         5.2. Товар должен быть упакован и замаркирован в соответствии с действующими стандартами.</w:t>
      </w:r>
    </w:p>
    <w:p w14:paraId="510A6349">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CE2185">
      <w:pPr>
        <w:keepNext/>
        <w:tabs>
          <w:tab w:val="left" w:pos="-142"/>
        </w:tabs>
        <w:ind w:right="-2"/>
        <w:jc w:val="both"/>
        <w:outlineLvl w:val="0"/>
        <w:rPr>
          <w:rFonts w:hint="default" w:ascii="Times New Roman" w:hAnsi="Times New Roman" w:cs="Times New Roman"/>
          <w:sz w:val="24"/>
          <w:szCs w:val="24"/>
        </w:rPr>
      </w:pPr>
      <w:r>
        <w:rPr>
          <w:rFonts w:hint="default" w:ascii="Times New Roman" w:hAnsi="Times New Roman" w:cs="Times New Roman"/>
          <w:sz w:val="24"/>
          <w:szCs w:val="24"/>
        </w:rPr>
        <w:t xml:space="preserve">         5.3. Внутри упаковки должны быть приложены инструкции по использованию на русском языке, а также другая сопроводительная документация, которая должна включать в себя информацию о правилах эксплуатации, безопасности, условиях предоставления потребителю гарантии производителя.</w:t>
      </w:r>
    </w:p>
    <w:p w14:paraId="1231F892">
      <w:pPr>
        <w:shd w:val="clear" w:color="auto" w:fill="FFFFFF"/>
        <w:ind w:firstLine="567"/>
        <w:jc w:val="both"/>
        <w:rPr>
          <w:rFonts w:hint="default" w:ascii="Times New Roman" w:hAnsi="Times New Roman" w:cs="Times New Roman"/>
          <w:sz w:val="24"/>
          <w:szCs w:val="24"/>
        </w:rPr>
      </w:pPr>
      <w:r>
        <w:rPr>
          <w:rFonts w:hint="default" w:ascii="Times New Roman" w:hAnsi="Times New Roman" w:cs="Times New Roman"/>
          <w:sz w:val="24"/>
          <w:szCs w:val="24"/>
        </w:rPr>
        <w:t>5.4. Места, требующие специального обращения, должны иметь дополнительную маркировку: «Осторожно», «Верх», «Не кантовать».</w:t>
      </w:r>
    </w:p>
    <w:p w14:paraId="7918341C">
      <w:pPr>
        <w:shd w:val="clear" w:color="auto" w:fill="FFFFFF"/>
        <w:ind w:firstLine="567"/>
        <w:jc w:val="both"/>
        <w:rPr>
          <w:rFonts w:hint="default" w:ascii="Times New Roman" w:hAnsi="Times New Roman" w:cs="Times New Roman"/>
          <w:sz w:val="24"/>
          <w:szCs w:val="24"/>
        </w:rPr>
      </w:pPr>
      <w:r>
        <w:rPr>
          <w:rFonts w:hint="default" w:ascii="Times New Roman" w:hAnsi="Times New Roman" w:cs="Times New Roman"/>
          <w:sz w:val="24"/>
          <w:szCs w:val="24"/>
        </w:rPr>
        <w:t>5.5. Поставщик несет ответственность за все потери и или повреждения, вызванные неправильной упаковкой Товара.</w:t>
      </w:r>
    </w:p>
    <w:p w14:paraId="3F99185B">
      <w:pPr>
        <w:shd w:val="clear" w:color="auto" w:fill="FFFFFF"/>
        <w:ind w:firstLine="567"/>
        <w:jc w:val="both"/>
        <w:rPr>
          <w:rFonts w:hint="default" w:ascii="Times New Roman" w:hAnsi="Times New Roman" w:cs="Times New Roman"/>
          <w:sz w:val="24"/>
          <w:szCs w:val="24"/>
        </w:rPr>
      </w:pPr>
    </w:p>
    <w:p w14:paraId="7E31741B">
      <w:pPr>
        <w:shd w:val="clear" w:color="auto" w:fill="FFFFFF"/>
        <w:jc w:val="both"/>
        <w:rPr>
          <w:rFonts w:hint="default" w:ascii="Times New Roman" w:hAnsi="Times New Roman" w:cs="Times New Roman"/>
          <w:b/>
          <w:bCs/>
          <w:sz w:val="24"/>
          <w:szCs w:val="24"/>
          <w:lang w:eastAsia="ar-SA"/>
        </w:rPr>
      </w:pPr>
      <w:r>
        <w:rPr>
          <w:rFonts w:hint="default" w:ascii="Times New Roman" w:hAnsi="Times New Roman" w:cs="Times New Roman"/>
          <w:b/>
          <w:bCs/>
          <w:sz w:val="24"/>
          <w:szCs w:val="24"/>
        </w:rPr>
        <w:t>6</w:t>
      </w:r>
      <w:r>
        <w:rPr>
          <w:rFonts w:hint="default" w:ascii="Times New Roman" w:hAnsi="Times New Roman" w:cs="Times New Roman"/>
          <w:b/>
          <w:bCs/>
          <w:sz w:val="24"/>
          <w:szCs w:val="24"/>
          <w:lang w:eastAsia="ar-SA"/>
        </w:rPr>
        <w:t xml:space="preserve">. Гарантийные обязательства. </w:t>
      </w:r>
    </w:p>
    <w:p w14:paraId="50945DBD">
      <w:pPr>
        <w:shd w:val="clear" w:color="auto" w:fill="FFFFFF"/>
        <w:ind w:firstLine="567"/>
        <w:jc w:val="both"/>
        <w:rPr>
          <w:rFonts w:hint="default" w:ascii="Times New Roman" w:hAnsi="Times New Roman" w:cs="Times New Roman"/>
          <w:sz w:val="24"/>
          <w:szCs w:val="24"/>
        </w:rPr>
      </w:pPr>
      <w:r>
        <w:rPr>
          <w:rFonts w:hint="default" w:ascii="Times New Roman" w:hAnsi="Times New Roman" w:cs="Times New Roman"/>
          <w:bCs/>
          <w:sz w:val="24"/>
          <w:szCs w:val="24"/>
        </w:rPr>
        <w:t>6</w:t>
      </w:r>
      <w:r>
        <w:rPr>
          <w:rFonts w:hint="default" w:ascii="Times New Roman" w:hAnsi="Times New Roman" w:cs="Times New Roman"/>
          <w:bCs/>
          <w:sz w:val="24"/>
          <w:szCs w:val="24"/>
          <w:lang w:eastAsia="ar-SA"/>
        </w:rPr>
        <w:t xml:space="preserve">.1. </w:t>
      </w:r>
      <w:r>
        <w:rPr>
          <w:rFonts w:hint="default" w:ascii="Times New Roman" w:hAnsi="Times New Roman" w:cs="Times New Roman"/>
          <w:sz w:val="24"/>
          <w:szCs w:val="24"/>
        </w:rPr>
        <w:t>Поставщик гарантирует качество поставляемого Товара и качество его установки.</w:t>
      </w:r>
    </w:p>
    <w:p w14:paraId="086293EE">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6.2. Гарантийный срок от Поставщика на установку Товара по Контракту составляет не менее 24 (Двадцати четырех) месяцев и начинает исчисляться с даты размещения в единой информационной системе документа о приемке, подписанного Заказчиком.</w:t>
      </w:r>
    </w:p>
    <w:p w14:paraId="6E9E6F87">
      <w:pPr>
        <w:shd w:val="clear" w:color="auto" w:fill="FFFFFF"/>
        <w:ind w:firstLine="567"/>
        <w:jc w:val="both"/>
        <w:rPr>
          <w:rFonts w:hint="default" w:ascii="Times New Roman" w:hAnsi="Times New Roman" w:cs="Times New Roman"/>
          <w:bCs/>
          <w:sz w:val="24"/>
          <w:szCs w:val="24"/>
          <w:lang w:eastAsia="ar-SA"/>
        </w:rPr>
      </w:pPr>
      <w:r>
        <w:rPr>
          <w:rFonts w:hint="default" w:ascii="Times New Roman" w:hAnsi="Times New Roman" w:cs="Times New Roman"/>
          <w:sz w:val="24"/>
          <w:szCs w:val="24"/>
        </w:rPr>
        <w:t>Гарантийный срок от производителя на поставленный Товар по Контракту составляет не менее 12 (Двенадцати) месяцев и начинает исчисляться с даты размещения в единой информационной системе документа о приемке, подписанного Заказчиком.</w:t>
      </w:r>
    </w:p>
    <w:p w14:paraId="3AE60612">
      <w:pPr>
        <w:shd w:val="clear" w:color="auto" w:fill="FFFFFF"/>
        <w:ind w:firstLine="567"/>
        <w:jc w:val="both"/>
        <w:rPr>
          <w:rFonts w:hint="default" w:ascii="Times New Roman" w:hAnsi="Times New Roman" w:cs="Times New Roman"/>
          <w:bCs/>
          <w:sz w:val="24"/>
          <w:szCs w:val="24"/>
          <w:lang w:eastAsia="ar-SA"/>
        </w:rPr>
      </w:pPr>
      <w:r>
        <w:rPr>
          <w:rFonts w:hint="default" w:ascii="Times New Roman" w:hAnsi="Times New Roman" w:cs="Times New Roman"/>
          <w:bCs/>
          <w:sz w:val="24"/>
          <w:szCs w:val="24"/>
        </w:rPr>
        <w:t>6</w:t>
      </w:r>
      <w:r>
        <w:rPr>
          <w:rFonts w:hint="default" w:ascii="Times New Roman" w:hAnsi="Times New Roman" w:cs="Times New Roman"/>
          <w:bCs/>
          <w:sz w:val="24"/>
          <w:szCs w:val="24"/>
          <w:lang w:eastAsia="ar-SA"/>
        </w:rPr>
        <w:t>.</w:t>
      </w:r>
      <w:r>
        <w:rPr>
          <w:rFonts w:hint="default" w:ascii="Times New Roman" w:hAnsi="Times New Roman" w:cs="Times New Roman"/>
          <w:bCs/>
          <w:sz w:val="24"/>
          <w:szCs w:val="24"/>
        </w:rPr>
        <w:t>3</w:t>
      </w:r>
      <w:r>
        <w:rPr>
          <w:rFonts w:hint="default" w:ascii="Times New Roman" w:hAnsi="Times New Roman" w:cs="Times New Roman"/>
          <w:bCs/>
          <w:sz w:val="24"/>
          <w:szCs w:val="24"/>
          <w:lang w:eastAsia="ar-SA"/>
        </w:rPr>
        <w:t>. Под гарантийным обязательством подразум</w:t>
      </w:r>
      <w:r>
        <w:rPr>
          <w:rFonts w:hint="default" w:ascii="Times New Roman" w:hAnsi="Times New Roman" w:cs="Times New Roman"/>
          <w:bCs/>
          <w:sz w:val="24"/>
          <w:szCs w:val="24"/>
        </w:rPr>
        <w:t>евается замена некачественного Т</w:t>
      </w:r>
      <w:r>
        <w:rPr>
          <w:rFonts w:hint="default" w:ascii="Times New Roman" w:hAnsi="Times New Roman" w:cs="Times New Roman"/>
          <w:bCs/>
          <w:sz w:val="24"/>
          <w:szCs w:val="24"/>
          <w:lang w:eastAsia="ar-SA"/>
        </w:rPr>
        <w:t>овара, ремонт и (или) устранение недостатков по установке, в том числе устранение недостатков установки (подключени</w:t>
      </w:r>
      <w:r>
        <w:rPr>
          <w:rFonts w:hint="default" w:ascii="Times New Roman" w:hAnsi="Times New Roman" w:cs="Times New Roman"/>
          <w:bCs/>
          <w:sz w:val="24"/>
          <w:szCs w:val="24"/>
        </w:rPr>
        <w:t>я) каждой поставленной единицы Т</w:t>
      </w:r>
      <w:r>
        <w:rPr>
          <w:rFonts w:hint="default" w:ascii="Times New Roman" w:hAnsi="Times New Roman" w:cs="Times New Roman"/>
          <w:bCs/>
          <w:sz w:val="24"/>
          <w:szCs w:val="24"/>
          <w:lang w:eastAsia="ar-SA"/>
        </w:rPr>
        <w:t>овара за счёт средств и силами Поставщика.</w:t>
      </w:r>
      <w:r>
        <w:rPr>
          <w:rFonts w:hint="default" w:ascii="Times New Roman" w:hAnsi="Times New Roman" w:cs="Times New Roman"/>
          <w:bCs/>
          <w:sz w:val="24"/>
          <w:szCs w:val="24"/>
        </w:rPr>
        <w:t xml:space="preserve"> Поставщик обеспечивает замену Т</w:t>
      </w:r>
      <w:r>
        <w:rPr>
          <w:rFonts w:hint="default" w:ascii="Times New Roman" w:hAnsi="Times New Roman" w:cs="Times New Roman"/>
          <w:bCs/>
          <w:sz w:val="24"/>
          <w:szCs w:val="24"/>
          <w:lang w:eastAsia="ar-SA"/>
        </w:rPr>
        <w:t>овара на новый с аналогичными техническими и функциональными характеристиками в случае невозможности ремонта.</w:t>
      </w:r>
    </w:p>
    <w:p w14:paraId="19A409E9">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6.4. Если в течение гарантийного срока будут обнаружены недостатки Товара, Поставщик (в случае если не докажет отсутствие своей вины) обязан за свой счет в течение 10 (десяти) рабочих дней со дня поступления соответствующего уведомления от Заказчика произвести замену Товара или обеспечить его ремонт на месте эксплуатации Товара или в сервисном центре без каких-либо дополнительных затрат со стороны Заказчика. </w:t>
      </w:r>
    </w:p>
    <w:p w14:paraId="5148BEF6">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Общий срок гарантийного ремонта или замены каждой единицы Товара не должен превышать 10 (десять) рабочих дней со дня получения уведомления от Заказчика. </w:t>
      </w:r>
    </w:p>
    <w:p w14:paraId="4DC8198A">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Если в течение гарантийного срока Заказчиком будут обнаружены недостатки по установке, подключению Товара, Поставщик обязан за свой счёт в течение 10 (десяти) рабочих дней со дня поступления уведомления от Заказчика, устранить недостатки по установке и (или) подключению Товара. </w:t>
      </w:r>
    </w:p>
    <w:p w14:paraId="05E6C640">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В случае неудачной попытки вручения уведомления, при условии, что адресат указан верно, такое уведомление считается полученным Поставщиком по истечении 10 рабочих дней с момента отметки Почты России о неудачной попытке вручения.</w:t>
      </w:r>
    </w:p>
    <w:p w14:paraId="43993D66">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6.5. При замене каждой единицы Товара гарантийный срок исчисляется заново со дня передачи Товара Грузополучателем по акту приёмки-передачи заменённого Товара.</w:t>
      </w:r>
    </w:p>
    <w:p w14:paraId="012EF3D6">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Доставка каждой единицы Товара после замены или ремонта Товара до Заказчика осуществляется Поставщиком своими силами и за свой счёт.</w:t>
      </w:r>
    </w:p>
    <w:p w14:paraId="278B62AB">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6.6. При отказе выполнить гарантийные обязательства, установленные п. 6.3. Поставщик обязан в течение 2 (двух) рабочих дней со дня принятия такого решения письменно уведомить об этом Заказчика с указанием мотивированных причин такого отказа. При этом причинами отказа от выполнения гарантийных обязательств могут служить лишь нарушения Заказчиком правил эксплуатации и/или условий хранения Товара.</w:t>
      </w:r>
    </w:p>
    <w:p w14:paraId="00DEA05E">
      <w:pPr>
        <w:jc w:val="both"/>
        <w:rPr>
          <w:rFonts w:hint="default" w:ascii="Times New Roman" w:hAnsi="Times New Roman" w:cs="Times New Roman"/>
          <w:b/>
          <w:sz w:val="24"/>
          <w:szCs w:val="24"/>
        </w:rPr>
      </w:pPr>
    </w:p>
    <w:p w14:paraId="7F9305B9">
      <w:pPr>
        <w:jc w:val="both"/>
        <w:rPr>
          <w:rFonts w:hint="default" w:ascii="Times New Roman" w:hAnsi="Times New Roman" w:cs="Times New Roman"/>
          <w:b/>
          <w:sz w:val="24"/>
          <w:szCs w:val="24"/>
        </w:rPr>
      </w:pPr>
      <w:r>
        <w:rPr>
          <w:rFonts w:hint="default" w:ascii="Times New Roman" w:hAnsi="Times New Roman" w:cs="Times New Roman"/>
          <w:b/>
          <w:sz w:val="24"/>
          <w:szCs w:val="24"/>
        </w:rPr>
        <w:t>7. Требования к безопасности Товара</w:t>
      </w:r>
    </w:p>
    <w:p w14:paraId="6832E8E9">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7.1. При обычных условиях использования, хранения, транспортировки и утилизации Товар должен быть безопасен для жизни, здоровья потребителя, окружающей среды, а также не должен причинять вред имуществу потребителя, не должен являться источником выделения вредных веществ. </w:t>
      </w:r>
    </w:p>
    <w:p w14:paraId="3ADB33E4">
      <w:pPr>
        <w:ind w:firstLine="567"/>
        <w:jc w:val="both"/>
        <w:rPr>
          <w:rFonts w:hint="default" w:ascii="Times New Roman" w:hAnsi="Times New Roman" w:cs="Times New Roman"/>
          <w:sz w:val="24"/>
          <w:szCs w:val="24"/>
        </w:rPr>
      </w:pPr>
      <w:r>
        <w:rPr>
          <w:rFonts w:hint="default" w:ascii="Times New Roman" w:hAnsi="Times New Roman" w:cs="Times New Roman"/>
          <w:bCs/>
          <w:sz w:val="24"/>
          <w:szCs w:val="24"/>
          <w:lang w:eastAsia="ar-SA"/>
        </w:rPr>
        <w:t xml:space="preserve">7.2. </w:t>
      </w:r>
      <w:r>
        <w:rPr>
          <w:rFonts w:hint="default" w:ascii="Times New Roman" w:hAnsi="Times New Roman" w:cs="Times New Roman"/>
          <w:sz w:val="24"/>
          <w:szCs w:val="24"/>
        </w:rPr>
        <w:t>Безопасность Товара должна соответствовать требованиям ГОСТ Р 51125-98 «Оборудование бытовое для кондиционирования и очистки воздуха. Требования безопасности и методы испытаний».</w:t>
      </w:r>
    </w:p>
    <w:p w14:paraId="11DB9793">
      <w:pPr>
        <w:rPr>
          <w:rFonts w:hint="default" w:ascii="Times New Roman" w:hAnsi="Times New Roman" w:cs="Times New Roman"/>
          <w:sz w:val="24"/>
          <w:szCs w:val="24"/>
        </w:rPr>
      </w:pPr>
      <w:r>
        <w:rPr>
          <w:rFonts w:hint="default" w:ascii="Times New Roman" w:hAnsi="Times New Roman" w:cs="Times New Roman"/>
          <w:sz w:val="24"/>
          <w:szCs w:val="24"/>
        </w:rPr>
        <w:t xml:space="preserve">          7.3. Поставщик должен производить работы по установке кондиционера с учетом требований Приказ Минтруда России от 16.11.2020 N 782н «Об утверждении Правил по охране труда при работе на высоте».</w:t>
      </w:r>
    </w:p>
    <w:p w14:paraId="5B2C05EB">
      <w:pPr>
        <w:rPr>
          <w:rFonts w:hint="default" w:ascii="Times New Roman" w:hAnsi="Times New Roman" w:cs="Times New Roman"/>
          <w:sz w:val="24"/>
          <w:szCs w:val="24"/>
        </w:rPr>
      </w:pPr>
    </w:p>
    <w:p w14:paraId="58CF76A8">
      <w:pPr>
        <w:jc w:val="both"/>
        <w:rPr>
          <w:rFonts w:hint="default" w:ascii="Times New Roman" w:hAnsi="Times New Roman" w:cs="Times New Roman"/>
          <w:b/>
          <w:sz w:val="24"/>
          <w:szCs w:val="24"/>
        </w:rPr>
      </w:pPr>
      <w:r>
        <w:rPr>
          <w:rFonts w:hint="default" w:ascii="Times New Roman" w:hAnsi="Times New Roman" w:cs="Times New Roman"/>
          <w:b/>
          <w:sz w:val="24"/>
          <w:szCs w:val="24"/>
        </w:rPr>
        <w:t>8. Требования к монтажу:</w:t>
      </w:r>
    </w:p>
    <w:p w14:paraId="090578BB">
      <w:pPr>
        <w:suppressAutoHyphens/>
        <w:ind w:firstLine="56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8</w:t>
      </w:r>
      <w:r>
        <w:rPr>
          <w:rFonts w:hint="default" w:ascii="Times New Roman" w:hAnsi="Times New Roman" w:cs="Times New Roman"/>
          <w:sz w:val="24"/>
          <w:szCs w:val="24"/>
          <w:lang w:eastAsia="ar-SA"/>
        </w:rPr>
        <w:t>.1. Поставщик берет на себя обязательства произвести демонтаж старого кондиционера и монтаж нового</w:t>
      </w:r>
      <w:r>
        <w:rPr>
          <w:rFonts w:hint="default" w:ascii="Times New Roman" w:hAnsi="Times New Roman" w:cs="Times New Roman"/>
          <w:sz w:val="24"/>
          <w:szCs w:val="24"/>
        </w:rPr>
        <w:t>.</w:t>
      </w:r>
    </w:p>
    <w:p w14:paraId="484A44F2">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8.2. Поставщик при поставке Товара должен представить документы, подтверждающие соответствие Товара требованиям настоящего Контракта.</w:t>
      </w:r>
    </w:p>
    <w:p w14:paraId="11108F6C">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8.3. При монтаже кондиционера Поставщик обязан:</w:t>
      </w:r>
    </w:p>
    <w:p w14:paraId="3B94B397">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произвести демонтаж старого кондиционера, внутреннего и наружного блока;</w:t>
      </w:r>
    </w:p>
    <w:p w14:paraId="423D4E8D">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согласовать с Заказчиком место расположения кондиционера его внутреннего и (или) наружного блока;</w:t>
      </w:r>
    </w:p>
    <w:p w14:paraId="09358150">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осуществить установку кондиционера, его внутреннего и (или) наружного блок на достаточно прочной стене в месте, удобном для последующего сервисного обслуживания;</w:t>
      </w:r>
    </w:p>
    <w:p w14:paraId="661E3236">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уложить электрические кабели для питания кондиционера в негорючие металлополимерные рукава;</w:t>
      </w:r>
    </w:p>
    <w:p w14:paraId="7CA1FC78">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уложить трубопровода и электрические кабели для питания кондиционера в пластиковые короба белого цвета;</w:t>
      </w:r>
    </w:p>
    <w:p w14:paraId="7F358C5B">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выполнить подключение кондиционера к электрическому щиту или к ближайшей розетке установленных у Заказчика (по месту, с возможностью наращивания провода и кабель – канала не более 10 м.);</w:t>
      </w:r>
    </w:p>
    <w:p w14:paraId="6E067FF9">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в ходе демонтажа/монтажа не допускается повреждение внутренней и внешней отделки помещений, в которых они производятся. Поставщик обязан обеспечить полную сохранность конструкции здания, в котором производится установка, а также инженерных сетей;</w:t>
      </w:r>
    </w:p>
    <w:p w14:paraId="13571BA7">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при прокладке кабельных и фреоновых коммуникаций должны учитываться существующие архитектурно-строительные решения, позволяющие вести скрытую проводку (фальш-полы, подвесные потолки и т.п.);</w:t>
      </w:r>
    </w:p>
    <w:p w14:paraId="4F761A62">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наружный блок кондиционера установить на фасаде, при необходимости допускается привлечение промышленного альпиниста или использование автовышки за счет Поставщика;</w:t>
      </w:r>
    </w:p>
    <w:p w14:paraId="4B4D263E">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Поставщик должен обеспечить монтаж кондиционера с использованием своих материалов (кронштейн, трубка медная, кабель силовой, кабель-канал, гофра самозатухающая);</w:t>
      </w:r>
    </w:p>
    <w:p w14:paraId="31F208EE">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сбор и вывоз отходов, строительного мусора, образовавшегося в процессе монтажа кондиционера, производится силами и за счет Поставщика.</w:t>
      </w:r>
    </w:p>
    <w:p w14:paraId="48D94FD9">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работы должны выполняться в соответствии с эксплуатационно-технической документацией завода-изготовителя кондиционера. В ходе выполнения работ Поставщик несет полную ответственность за повреждение или порчу находящихся в помещении инженерных сетей и коммуникаций, электропроводки, электроприборов, мебели, санитарно-технического оборудования, остекления и другого имущества Заказчика.</w:t>
      </w:r>
    </w:p>
    <w:p w14:paraId="16B62311">
      <w:pPr>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в случае обнаружения дефектов после монтажа, исправление дефектов производиться за счет Поставщика в течение всего гарантийного периода;</w:t>
      </w:r>
    </w:p>
    <w:p w14:paraId="2D6CDBE6">
      <w:pPr>
        <w:suppressAutoHyphens/>
        <w:ind w:firstLine="567"/>
        <w:jc w:val="both"/>
        <w:rPr>
          <w:rFonts w:hint="default" w:ascii="Times New Roman" w:hAnsi="Times New Roman" w:cs="Times New Roman"/>
          <w:sz w:val="24"/>
          <w:szCs w:val="24"/>
        </w:rPr>
      </w:pPr>
      <w:r>
        <w:rPr>
          <w:rFonts w:hint="default" w:ascii="Times New Roman" w:hAnsi="Times New Roman" w:cs="Times New Roman"/>
          <w:sz w:val="24"/>
          <w:szCs w:val="24"/>
        </w:rPr>
        <w:t>- сроки монтажа и наладки входят в установленный Контрактом срок поставки. Доставка Товара считается выполненной в день окончания монтажа и наладки Товара.</w:t>
      </w:r>
    </w:p>
    <w:p w14:paraId="7B2F6F21">
      <w:pPr>
        <w:pStyle w:val="31"/>
        <w:ind w:left="0"/>
        <w:jc w:val="center"/>
        <w:rPr>
          <w:rFonts w:hint="default" w:ascii="Times New Roman" w:hAnsi="Times New Roman" w:cs="Times New Roman"/>
          <w:b/>
          <w:bCs/>
          <w:sz w:val="24"/>
          <w:szCs w:val="24"/>
          <w:lang w:val="ru-RU"/>
        </w:rPr>
      </w:pPr>
    </w:p>
    <w:sectPr>
      <w:headerReference r:id="rId3" w:type="default"/>
      <w:pgSz w:w="11906" w:h="16838"/>
      <w:pgMar w:top="850" w:right="680" w:bottom="850" w:left="1191" w:header="709" w:footer="709" w:gutter="0"/>
      <w:pgNumType w:start="1"/>
      <w:cols w:space="0" w:num="1"/>
      <w:titlePg/>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CC"/>
    <w:family w:val="roman"/>
    <w:pitch w:val="default"/>
    <w:sig w:usb0="00000000" w:usb1="00000000" w:usb2="00000009" w:usb3="00000000" w:csb0="0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2969774"/>
      <w:docPartObj>
        <w:docPartGallery w:val="autotext"/>
      </w:docPartObj>
    </w:sdtPr>
    <w:sdtEndPr>
      <w:rPr>
        <w:sz w:val="20"/>
        <w:szCs w:val="20"/>
      </w:rPr>
    </w:sdtEndPr>
    <w:sdtContent>
      <w:p w14:paraId="6A12DC36">
        <w:pPr>
          <w:pStyle w:val="17"/>
          <w:jc w:val="center"/>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rPr>
          <w:t>9</w:t>
        </w:r>
        <w:r>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BDDC88"/>
    <w:multiLevelType w:val="singleLevel"/>
    <w:tmpl w:val="D4BDDC88"/>
    <w:lvl w:ilvl="0" w:tentative="0">
      <w:start w:val="5"/>
      <w:numFmt w:val="decimal"/>
      <w:suff w:val="space"/>
      <w:lvlText w:val="%1."/>
      <w:lvlJc w:val="left"/>
    </w:lvl>
  </w:abstractNum>
  <w:abstractNum w:abstractNumId="1">
    <w:nsid w:val="65EAA750"/>
    <w:multiLevelType w:val="singleLevel"/>
    <w:tmpl w:val="65EAA75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E17"/>
    <w:rsid w:val="000007FE"/>
    <w:rsid w:val="00004D2B"/>
    <w:rsid w:val="000053F3"/>
    <w:rsid w:val="000060F2"/>
    <w:rsid w:val="000062E4"/>
    <w:rsid w:val="00006368"/>
    <w:rsid w:val="00013EF5"/>
    <w:rsid w:val="0001419A"/>
    <w:rsid w:val="00020183"/>
    <w:rsid w:val="000205DA"/>
    <w:rsid w:val="00020FC7"/>
    <w:rsid w:val="00021A84"/>
    <w:rsid w:val="000232AB"/>
    <w:rsid w:val="000250A2"/>
    <w:rsid w:val="000315C1"/>
    <w:rsid w:val="00034A4B"/>
    <w:rsid w:val="000351F6"/>
    <w:rsid w:val="00037093"/>
    <w:rsid w:val="00040948"/>
    <w:rsid w:val="00042155"/>
    <w:rsid w:val="000426C6"/>
    <w:rsid w:val="000449FC"/>
    <w:rsid w:val="00053671"/>
    <w:rsid w:val="000565EE"/>
    <w:rsid w:val="00056D92"/>
    <w:rsid w:val="00061C94"/>
    <w:rsid w:val="000620AC"/>
    <w:rsid w:val="00070313"/>
    <w:rsid w:val="000733D5"/>
    <w:rsid w:val="0007370B"/>
    <w:rsid w:val="00075FC8"/>
    <w:rsid w:val="00076180"/>
    <w:rsid w:val="00080C15"/>
    <w:rsid w:val="0008290E"/>
    <w:rsid w:val="000836B1"/>
    <w:rsid w:val="00083EAB"/>
    <w:rsid w:val="00086AC2"/>
    <w:rsid w:val="00090F2F"/>
    <w:rsid w:val="0009215A"/>
    <w:rsid w:val="0009496F"/>
    <w:rsid w:val="000A0E08"/>
    <w:rsid w:val="000A3A27"/>
    <w:rsid w:val="000A5350"/>
    <w:rsid w:val="000A7787"/>
    <w:rsid w:val="000B2684"/>
    <w:rsid w:val="000C07CB"/>
    <w:rsid w:val="000C24A7"/>
    <w:rsid w:val="000C308F"/>
    <w:rsid w:val="000C3235"/>
    <w:rsid w:val="000D6ECA"/>
    <w:rsid w:val="000D7C50"/>
    <w:rsid w:val="000E1A85"/>
    <w:rsid w:val="000E5CAA"/>
    <w:rsid w:val="000E7250"/>
    <w:rsid w:val="000F035E"/>
    <w:rsid w:val="000F7C5E"/>
    <w:rsid w:val="00104D54"/>
    <w:rsid w:val="00110961"/>
    <w:rsid w:val="001117ED"/>
    <w:rsid w:val="00115A56"/>
    <w:rsid w:val="00117978"/>
    <w:rsid w:val="00122F93"/>
    <w:rsid w:val="00131830"/>
    <w:rsid w:val="001318AB"/>
    <w:rsid w:val="0013509D"/>
    <w:rsid w:val="001356AC"/>
    <w:rsid w:val="00137F19"/>
    <w:rsid w:val="00142C7C"/>
    <w:rsid w:val="0014420A"/>
    <w:rsid w:val="00150B16"/>
    <w:rsid w:val="001521FF"/>
    <w:rsid w:val="0015348E"/>
    <w:rsid w:val="001538AD"/>
    <w:rsid w:val="00161E42"/>
    <w:rsid w:val="001634B6"/>
    <w:rsid w:val="00164F8C"/>
    <w:rsid w:val="001659A4"/>
    <w:rsid w:val="00165D95"/>
    <w:rsid w:val="001661BF"/>
    <w:rsid w:val="00170546"/>
    <w:rsid w:val="00171B5D"/>
    <w:rsid w:val="00174883"/>
    <w:rsid w:val="001750A7"/>
    <w:rsid w:val="00187616"/>
    <w:rsid w:val="001903CA"/>
    <w:rsid w:val="00190603"/>
    <w:rsid w:val="00192113"/>
    <w:rsid w:val="00193101"/>
    <w:rsid w:val="001936AA"/>
    <w:rsid w:val="001967A0"/>
    <w:rsid w:val="001A3716"/>
    <w:rsid w:val="001A48DD"/>
    <w:rsid w:val="001B291D"/>
    <w:rsid w:val="001B43FF"/>
    <w:rsid w:val="001B596B"/>
    <w:rsid w:val="001B7C72"/>
    <w:rsid w:val="001C4914"/>
    <w:rsid w:val="001C4B48"/>
    <w:rsid w:val="001C6D6E"/>
    <w:rsid w:val="001D4F94"/>
    <w:rsid w:val="001E2B5F"/>
    <w:rsid w:val="001E55DA"/>
    <w:rsid w:val="001E607E"/>
    <w:rsid w:val="001F09C2"/>
    <w:rsid w:val="001F10DE"/>
    <w:rsid w:val="0020104F"/>
    <w:rsid w:val="002022CD"/>
    <w:rsid w:val="002036B0"/>
    <w:rsid w:val="00206F5C"/>
    <w:rsid w:val="002073A3"/>
    <w:rsid w:val="00211BE2"/>
    <w:rsid w:val="00212366"/>
    <w:rsid w:val="002155CA"/>
    <w:rsid w:val="00216347"/>
    <w:rsid w:val="0021660F"/>
    <w:rsid w:val="00220228"/>
    <w:rsid w:val="002206D4"/>
    <w:rsid w:val="00222C49"/>
    <w:rsid w:val="00223631"/>
    <w:rsid w:val="002246D2"/>
    <w:rsid w:val="00225252"/>
    <w:rsid w:val="002330B9"/>
    <w:rsid w:val="002351EA"/>
    <w:rsid w:val="002379BD"/>
    <w:rsid w:val="00245F3F"/>
    <w:rsid w:val="00246262"/>
    <w:rsid w:val="00246550"/>
    <w:rsid w:val="0025147E"/>
    <w:rsid w:val="00252B4A"/>
    <w:rsid w:val="002548FC"/>
    <w:rsid w:val="00256B2C"/>
    <w:rsid w:val="002576BD"/>
    <w:rsid w:val="00257DA1"/>
    <w:rsid w:val="00261689"/>
    <w:rsid w:val="00261C5D"/>
    <w:rsid w:val="002630EF"/>
    <w:rsid w:val="00263F10"/>
    <w:rsid w:val="002656C2"/>
    <w:rsid w:val="002730D9"/>
    <w:rsid w:val="00274A7D"/>
    <w:rsid w:val="00281EED"/>
    <w:rsid w:val="00283287"/>
    <w:rsid w:val="002951BB"/>
    <w:rsid w:val="002956DC"/>
    <w:rsid w:val="00296C3B"/>
    <w:rsid w:val="002A3D10"/>
    <w:rsid w:val="002B00BF"/>
    <w:rsid w:val="002B145F"/>
    <w:rsid w:val="002B4B75"/>
    <w:rsid w:val="002B5D61"/>
    <w:rsid w:val="002B697A"/>
    <w:rsid w:val="002C54AA"/>
    <w:rsid w:val="002D04B0"/>
    <w:rsid w:val="002D0723"/>
    <w:rsid w:val="002D1069"/>
    <w:rsid w:val="002D1CCE"/>
    <w:rsid w:val="002D522C"/>
    <w:rsid w:val="002D54BD"/>
    <w:rsid w:val="002D62E3"/>
    <w:rsid w:val="002E06F8"/>
    <w:rsid w:val="002E0FE0"/>
    <w:rsid w:val="002F078F"/>
    <w:rsid w:val="002F26E7"/>
    <w:rsid w:val="002F4DCF"/>
    <w:rsid w:val="002F5924"/>
    <w:rsid w:val="00300065"/>
    <w:rsid w:val="0030184C"/>
    <w:rsid w:val="00307254"/>
    <w:rsid w:val="00311707"/>
    <w:rsid w:val="003118B5"/>
    <w:rsid w:val="00322B3E"/>
    <w:rsid w:val="00322E3F"/>
    <w:rsid w:val="00323B8F"/>
    <w:rsid w:val="0032422D"/>
    <w:rsid w:val="003308FE"/>
    <w:rsid w:val="0033223E"/>
    <w:rsid w:val="00334A3E"/>
    <w:rsid w:val="0033642E"/>
    <w:rsid w:val="003415F1"/>
    <w:rsid w:val="00341B98"/>
    <w:rsid w:val="00345FAD"/>
    <w:rsid w:val="003536BF"/>
    <w:rsid w:val="0035490D"/>
    <w:rsid w:val="00355915"/>
    <w:rsid w:val="00356DBA"/>
    <w:rsid w:val="003604CE"/>
    <w:rsid w:val="00360E06"/>
    <w:rsid w:val="003648B1"/>
    <w:rsid w:val="003727AE"/>
    <w:rsid w:val="00375859"/>
    <w:rsid w:val="003811C1"/>
    <w:rsid w:val="00382944"/>
    <w:rsid w:val="0038615C"/>
    <w:rsid w:val="00391039"/>
    <w:rsid w:val="003A1C0A"/>
    <w:rsid w:val="003A1E7F"/>
    <w:rsid w:val="003A237A"/>
    <w:rsid w:val="003B22C0"/>
    <w:rsid w:val="003C05F4"/>
    <w:rsid w:val="003C24E1"/>
    <w:rsid w:val="003C397E"/>
    <w:rsid w:val="003C57D8"/>
    <w:rsid w:val="003D503C"/>
    <w:rsid w:val="003E0EEE"/>
    <w:rsid w:val="003E4335"/>
    <w:rsid w:val="003E4DFF"/>
    <w:rsid w:val="003F1019"/>
    <w:rsid w:val="003F138B"/>
    <w:rsid w:val="003F39EB"/>
    <w:rsid w:val="004007EC"/>
    <w:rsid w:val="004078C5"/>
    <w:rsid w:val="00414F4C"/>
    <w:rsid w:val="00416F88"/>
    <w:rsid w:val="00417D8C"/>
    <w:rsid w:val="00421049"/>
    <w:rsid w:val="00421551"/>
    <w:rsid w:val="00424BFF"/>
    <w:rsid w:val="0042772D"/>
    <w:rsid w:val="00431656"/>
    <w:rsid w:val="00437543"/>
    <w:rsid w:val="004377E9"/>
    <w:rsid w:val="00452141"/>
    <w:rsid w:val="00456D21"/>
    <w:rsid w:val="00460C51"/>
    <w:rsid w:val="00466C1A"/>
    <w:rsid w:val="00466FC6"/>
    <w:rsid w:val="00471F6F"/>
    <w:rsid w:val="004755B7"/>
    <w:rsid w:val="00477369"/>
    <w:rsid w:val="0048215B"/>
    <w:rsid w:val="00483B58"/>
    <w:rsid w:val="00486049"/>
    <w:rsid w:val="004A099E"/>
    <w:rsid w:val="004A54E3"/>
    <w:rsid w:val="004A5ECF"/>
    <w:rsid w:val="004A7776"/>
    <w:rsid w:val="004B1505"/>
    <w:rsid w:val="004B2E25"/>
    <w:rsid w:val="004B5B0C"/>
    <w:rsid w:val="004B68AC"/>
    <w:rsid w:val="004C22B6"/>
    <w:rsid w:val="004C42A8"/>
    <w:rsid w:val="004C44E5"/>
    <w:rsid w:val="004C6EAD"/>
    <w:rsid w:val="004D7B3B"/>
    <w:rsid w:val="004E0642"/>
    <w:rsid w:val="004E1916"/>
    <w:rsid w:val="004E21C3"/>
    <w:rsid w:val="004F1013"/>
    <w:rsid w:val="004F3A03"/>
    <w:rsid w:val="004F5E6E"/>
    <w:rsid w:val="005041B9"/>
    <w:rsid w:val="0050677C"/>
    <w:rsid w:val="0051260D"/>
    <w:rsid w:val="005144FA"/>
    <w:rsid w:val="00515FD0"/>
    <w:rsid w:val="00532055"/>
    <w:rsid w:val="00541C94"/>
    <w:rsid w:val="005434BF"/>
    <w:rsid w:val="0054585D"/>
    <w:rsid w:val="005465F0"/>
    <w:rsid w:val="0054791C"/>
    <w:rsid w:val="00552381"/>
    <w:rsid w:val="005534E8"/>
    <w:rsid w:val="00553E1B"/>
    <w:rsid w:val="005615DB"/>
    <w:rsid w:val="0056323F"/>
    <w:rsid w:val="005647EE"/>
    <w:rsid w:val="00567F43"/>
    <w:rsid w:val="005705BA"/>
    <w:rsid w:val="00570EAF"/>
    <w:rsid w:val="00571A2E"/>
    <w:rsid w:val="00575614"/>
    <w:rsid w:val="0058080C"/>
    <w:rsid w:val="00582705"/>
    <w:rsid w:val="00582C46"/>
    <w:rsid w:val="00591538"/>
    <w:rsid w:val="00592228"/>
    <w:rsid w:val="00592734"/>
    <w:rsid w:val="00594613"/>
    <w:rsid w:val="00597206"/>
    <w:rsid w:val="005977E0"/>
    <w:rsid w:val="005A23A3"/>
    <w:rsid w:val="005A3F25"/>
    <w:rsid w:val="005A7DC4"/>
    <w:rsid w:val="005B6DF3"/>
    <w:rsid w:val="005C1CD7"/>
    <w:rsid w:val="005C6FF0"/>
    <w:rsid w:val="005D2C71"/>
    <w:rsid w:val="005D4FE5"/>
    <w:rsid w:val="005E0729"/>
    <w:rsid w:val="005E1EF3"/>
    <w:rsid w:val="005E3F9D"/>
    <w:rsid w:val="005E582E"/>
    <w:rsid w:val="005F47B8"/>
    <w:rsid w:val="0060145D"/>
    <w:rsid w:val="006017E8"/>
    <w:rsid w:val="00606187"/>
    <w:rsid w:val="00610D80"/>
    <w:rsid w:val="00611AAC"/>
    <w:rsid w:val="00612133"/>
    <w:rsid w:val="00614B38"/>
    <w:rsid w:val="00614EB1"/>
    <w:rsid w:val="00615453"/>
    <w:rsid w:val="00622B35"/>
    <w:rsid w:val="00623A85"/>
    <w:rsid w:val="006378D3"/>
    <w:rsid w:val="00650F8F"/>
    <w:rsid w:val="006510DC"/>
    <w:rsid w:val="006531F3"/>
    <w:rsid w:val="0066027B"/>
    <w:rsid w:val="00662308"/>
    <w:rsid w:val="006623E9"/>
    <w:rsid w:val="00663E00"/>
    <w:rsid w:val="006655FC"/>
    <w:rsid w:val="006661FA"/>
    <w:rsid w:val="00666320"/>
    <w:rsid w:val="00666A6C"/>
    <w:rsid w:val="006674D2"/>
    <w:rsid w:val="00673914"/>
    <w:rsid w:val="00694E7F"/>
    <w:rsid w:val="006A0F84"/>
    <w:rsid w:val="006A27D3"/>
    <w:rsid w:val="006A2FA2"/>
    <w:rsid w:val="006A4CDD"/>
    <w:rsid w:val="006A5DA3"/>
    <w:rsid w:val="006A7EC9"/>
    <w:rsid w:val="006B0A7D"/>
    <w:rsid w:val="006B1CCB"/>
    <w:rsid w:val="006B296D"/>
    <w:rsid w:val="006B3883"/>
    <w:rsid w:val="006B41DD"/>
    <w:rsid w:val="006B7BBE"/>
    <w:rsid w:val="006C3741"/>
    <w:rsid w:val="006C3F93"/>
    <w:rsid w:val="006C4B40"/>
    <w:rsid w:val="006D4FB2"/>
    <w:rsid w:val="006E1713"/>
    <w:rsid w:val="006E1A78"/>
    <w:rsid w:val="006E26AF"/>
    <w:rsid w:val="006E32BE"/>
    <w:rsid w:val="006E516A"/>
    <w:rsid w:val="006F114D"/>
    <w:rsid w:val="007029E2"/>
    <w:rsid w:val="00706710"/>
    <w:rsid w:val="00715734"/>
    <w:rsid w:val="007167A2"/>
    <w:rsid w:val="00721A5C"/>
    <w:rsid w:val="00724298"/>
    <w:rsid w:val="00730403"/>
    <w:rsid w:val="0073171E"/>
    <w:rsid w:val="0073221C"/>
    <w:rsid w:val="00737BDC"/>
    <w:rsid w:val="007519E8"/>
    <w:rsid w:val="00755F20"/>
    <w:rsid w:val="0076177E"/>
    <w:rsid w:val="00763C37"/>
    <w:rsid w:val="0077046A"/>
    <w:rsid w:val="007709E0"/>
    <w:rsid w:val="00781F07"/>
    <w:rsid w:val="00783705"/>
    <w:rsid w:val="007844DA"/>
    <w:rsid w:val="00785F24"/>
    <w:rsid w:val="007876BB"/>
    <w:rsid w:val="00793DB8"/>
    <w:rsid w:val="00794F37"/>
    <w:rsid w:val="0079618A"/>
    <w:rsid w:val="007964AC"/>
    <w:rsid w:val="007A0CF7"/>
    <w:rsid w:val="007A69A0"/>
    <w:rsid w:val="007A6F2E"/>
    <w:rsid w:val="007B3047"/>
    <w:rsid w:val="007C6CD5"/>
    <w:rsid w:val="007C7473"/>
    <w:rsid w:val="007C7AD9"/>
    <w:rsid w:val="007D27CF"/>
    <w:rsid w:val="007D680D"/>
    <w:rsid w:val="007D7996"/>
    <w:rsid w:val="007E05DB"/>
    <w:rsid w:val="007E08C8"/>
    <w:rsid w:val="007E23CD"/>
    <w:rsid w:val="007F0D3F"/>
    <w:rsid w:val="007F2950"/>
    <w:rsid w:val="007F53A7"/>
    <w:rsid w:val="007F72BF"/>
    <w:rsid w:val="00805A09"/>
    <w:rsid w:val="00820D18"/>
    <w:rsid w:val="008223EC"/>
    <w:rsid w:val="008274D7"/>
    <w:rsid w:val="008336E1"/>
    <w:rsid w:val="00833B9C"/>
    <w:rsid w:val="00833BFA"/>
    <w:rsid w:val="00837B5B"/>
    <w:rsid w:val="00841C32"/>
    <w:rsid w:val="00845693"/>
    <w:rsid w:val="00854537"/>
    <w:rsid w:val="008572EC"/>
    <w:rsid w:val="00860DC9"/>
    <w:rsid w:val="00862263"/>
    <w:rsid w:val="00863F4A"/>
    <w:rsid w:val="00867421"/>
    <w:rsid w:val="0086743A"/>
    <w:rsid w:val="008678C9"/>
    <w:rsid w:val="00872438"/>
    <w:rsid w:val="0087630F"/>
    <w:rsid w:val="008920FF"/>
    <w:rsid w:val="0089484B"/>
    <w:rsid w:val="008A03A2"/>
    <w:rsid w:val="008B0449"/>
    <w:rsid w:val="008B18E7"/>
    <w:rsid w:val="008B33F9"/>
    <w:rsid w:val="008B4399"/>
    <w:rsid w:val="008B4EED"/>
    <w:rsid w:val="008B672E"/>
    <w:rsid w:val="008B6D4F"/>
    <w:rsid w:val="008C2234"/>
    <w:rsid w:val="008C314B"/>
    <w:rsid w:val="008C75D6"/>
    <w:rsid w:val="008C7EEE"/>
    <w:rsid w:val="008D0E8E"/>
    <w:rsid w:val="008F0C45"/>
    <w:rsid w:val="008F4B61"/>
    <w:rsid w:val="008F6B4C"/>
    <w:rsid w:val="009004AF"/>
    <w:rsid w:val="00907F1D"/>
    <w:rsid w:val="00910DE3"/>
    <w:rsid w:val="00912E52"/>
    <w:rsid w:val="00913C64"/>
    <w:rsid w:val="00915635"/>
    <w:rsid w:val="009300CD"/>
    <w:rsid w:val="00935324"/>
    <w:rsid w:val="009354E9"/>
    <w:rsid w:val="0093680A"/>
    <w:rsid w:val="009460DD"/>
    <w:rsid w:val="009536A8"/>
    <w:rsid w:val="00955CDE"/>
    <w:rsid w:val="00961816"/>
    <w:rsid w:val="009638E7"/>
    <w:rsid w:val="00964181"/>
    <w:rsid w:val="00964F5B"/>
    <w:rsid w:val="00965585"/>
    <w:rsid w:val="0096635B"/>
    <w:rsid w:val="00972580"/>
    <w:rsid w:val="009829D6"/>
    <w:rsid w:val="00983CA5"/>
    <w:rsid w:val="00993617"/>
    <w:rsid w:val="009A6F44"/>
    <w:rsid w:val="009B322C"/>
    <w:rsid w:val="009B3F18"/>
    <w:rsid w:val="009B5BBF"/>
    <w:rsid w:val="009B7105"/>
    <w:rsid w:val="009C0DBE"/>
    <w:rsid w:val="009C5E4D"/>
    <w:rsid w:val="009D049E"/>
    <w:rsid w:val="009D05AA"/>
    <w:rsid w:val="009D310A"/>
    <w:rsid w:val="009D370E"/>
    <w:rsid w:val="009D53AD"/>
    <w:rsid w:val="009D58B8"/>
    <w:rsid w:val="009D7852"/>
    <w:rsid w:val="009E3C41"/>
    <w:rsid w:val="009E438B"/>
    <w:rsid w:val="009E4CC1"/>
    <w:rsid w:val="009E55AA"/>
    <w:rsid w:val="009F3F07"/>
    <w:rsid w:val="00A032EF"/>
    <w:rsid w:val="00A04072"/>
    <w:rsid w:val="00A04436"/>
    <w:rsid w:val="00A05505"/>
    <w:rsid w:val="00A10702"/>
    <w:rsid w:val="00A10FC2"/>
    <w:rsid w:val="00A12D12"/>
    <w:rsid w:val="00A14BA7"/>
    <w:rsid w:val="00A17C0B"/>
    <w:rsid w:val="00A17D97"/>
    <w:rsid w:val="00A26267"/>
    <w:rsid w:val="00A278BB"/>
    <w:rsid w:val="00A3390B"/>
    <w:rsid w:val="00A40D3A"/>
    <w:rsid w:val="00A41095"/>
    <w:rsid w:val="00A4219B"/>
    <w:rsid w:val="00A422EA"/>
    <w:rsid w:val="00A43D19"/>
    <w:rsid w:val="00A46C60"/>
    <w:rsid w:val="00A47664"/>
    <w:rsid w:val="00A47907"/>
    <w:rsid w:val="00A54079"/>
    <w:rsid w:val="00A655E2"/>
    <w:rsid w:val="00A657EE"/>
    <w:rsid w:val="00A65CF9"/>
    <w:rsid w:val="00A72A40"/>
    <w:rsid w:val="00A731E4"/>
    <w:rsid w:val="00A82B85"/>
    <w:rsid w:val="00A83400"/>
    <w:rsid w:val="00A846EF"/>
    <w:rsid w:val="00A85416"/>
    <w:rsid w:val="00A87D28"/>
    <w:rsid w:val="00A9345F"/>
    <w:rsid w:val="00AA064B"/>
    <w:rsid w:val="00AA611C"/>
    <w:rsid w:val="00AA617E"/>
    <w:rsid w:val="00AA6350"/>
    <w:rsid w:val="00AA6354"/>
    <w:rsid w:val="00AA713A"/>
    <w:rsid w:val="00AA732A"/>
    <w:rsid w:val="00AA73A1"/>
    <w:rsid w:val="00AB15F0"/>
    <w:rsid w:val="00AB2797"/>
    <w:rsid w:val="00AB4E1B"/>
    <w:rsid w:val="00AB514D"/>
    <w:rsid w:val="00AC32C5"/>
    <w:rsid w:val="00AC5291"/>
    <w:rsid w:val="00AD7E55"/>
    <w:rsid w:val="00AF4BB8"/>
    <w:rsid w:val="00AF613A"/>
    <w:rsid w:val="00B00411"/>
    <w:rsid w:val="00B043BC"/>
    <w:rsid w:val="00B07CE4"/>
    <w:rsid w:val="00B07D8A"/>
    <w:rsid w:val="00B16D58"/>
    <w:rsid w:val="00B22CAC"/>
    <w:rsid w:val="00B230E2"/>
    <w:rsid w:val="00B258B8"/>
    <w:rsid w:val="00B328B0"/>
    <w:rsid w:val="00B32C6D"/>
    <w:rsid w:val="00B35BD0"/>
    <w:rsid w:val="00B37E0B"/>
    <w:rsid w:val="00B435C1"/>
    <w:rsid w:val="00B4551E"/>
    <w:rsid w:val="00B46AEB"/>
    <w:rsid w:val="00B505B3"/>
    <w:rsid w:val="00B50863"/>
    <w:rsid w:val="00B545B1"/>
    <w:rsid w:val="00B5614E"/>
    <w:rsid w:val="00B603B3"/>
    <w:rsid w:val="00B619AC"/>
    <w:rsid w:val="00B64A4A"/>
    <w:rsid w:val="00B67C53"/>
    <w:rsid w:val="00B73F12"/>
    <w:rsid w:val="00B754E9"/>
    <w:rsid w:val="00B8215D"/>
    <w:rsid w:val="00B84614"/>
    <w:rsid w:val="00B90483"/>
    <w:rsid w:val="00B93A92"/>
    <w:rsid w:val="00B93B9C"/>
    <w:rsid w:val="00B94A33"/>
    <w:rsid w:val="00BA0B2D"/>
    <w:rsid w:val="00BA37CB"/>
    <w:rsid w:val="00BA4A7B"/>
    <w:rsid w:val="00BB055B"/>
    <w:rsid w:val="00BB6832"/>
    <w:rsid w:val="00BB7BF3"/>
    <w:rsid w:val="00BC08D1"/>
    <w:rsid w:val="00BC1CCE"/>
    <w:rsid w:val="00BC33EA"/>
    <w:rsid w:val="00BC770A"/>
    <w:rsid w:val="00BD05D8"/>
    <w:rsid w:val="00BD0B52"/>
    <w:rsid w:val="00BD3CA3"/>
    <w:rsid w:val="00BD66D6"/>
    <w:rsid w:val="00BD6E25"/>
    <w:rsid w:val="00BD6E56"/>
    <w:rsid w:val="00BD7006"/>
    <w:rsid w:val="00BE2DC8"/>
    <w:rsid w:val="00BE43EA"/>
    <w:rsid w:val="00BE461F"/>
    <w:rsid w:val="00BE567B"/>
    <w:rsid w:val="00BE6DF8"/>
    <w:rsid w:val="00BE7255"/>
    <w:rsid w:val="00BF2EDB"/>
    <w:rsid w:val="00BF376B"/>
    <w:rsid w:val="00BF38FB"/>
    <w:rsid w:val="00BF4E17"/>
    <w:rsid w:val="00BF70E0"/>
    <w:rsid w:val="00BF7993"/>
    <w:rsid w:val="00BF7FB1"/>
    <w:rsid w:val="00C05B2B"/>
    <w:rsid w:val="00C107FF"/>
    <w:rsid w:val="00C1293E"/>
    <w:rsid w:val="00C21328"/>
    <w:rsid w:val="00C221F0"/>
    <w:rsid w:val="00C22CDB"/>
    <w:rsid w:val="00C22EB5"/>
    <w:rsid w:val="00C246E4"/>
    <w:rsid w:val="00C26B7F"/>
    <w:rsid w:val="00C26F38"/>
    <w:rsid w:val="00C277EE"/>
    <w:rsid w:val="00C36F47"/>
    <w:rsid w:val="00C409A7"/>
    <w:rsid w:val="00C412CD"/>
    <w:rsid w:val="00C51117"/>
    <w:rsid w:val="00C53853"/>
    <w:rsid w:val="00C572A7"/>
    <w:rsid w:val="00C60943"/>
    <w:rsid w:val="00C62447"/>
    <w:rsid w:val="00C66663"/>
    <w:rsid w:val="00C7302C"/>
    <w:rsid w:val="00C743DD"/>
    <w:rsid w:val="00C7777D"/>
    <w:rsid w:val="00C80193"/>
    <w:rsid w:val="00C817B7"/>
    <w:rsid w:val="00C94720"/>
    <w:rsid w:val="00C97697"/>
    <w:rsid w:val="00CA615A"/>
    <w:rsid w:val="00CB54F7"/>
    <w:rsid w:val="00CB58F4"/>
    <w:rsid w:val="00CB71CF"/>
    <w:rsid w:val="00CB7BB6"/>
    <w:rsid w:val="00CC00D6"/>
    <w:rsid w:val="00CC3696"/>
    <w:rsid w:val="00CC64E4"/>
    <w:rsid w:val="00CD274B"/>
    <w:rsid w:val="00CD354F"/>
    <w:rsid w:val="00CD7831"/>
    <w:rsid w:val="00CD791C"/>
    <w:rsid w:val="00CE48D9"/>
    <w:rsid w:val="00CF208A"/>
    <w:rsid w:val="00CF2CDB"/>
    <w:rsid w:val="00CF2E2A"/>
    <w:rsid w:val="00CF67BA"/>
    <w:rsid w:val="00CF6FF0"/>
    <w:rsid w:val="00CF782D"/>
    <w:rsid w:val="00CF78C8"/>
    <w:rsid w:val="00D05A87"/>
    <w:rsid w:val="00D0633C"/>
    <w:rsid w:val="00D06C7D"/>
    <w:rsid w:val="00D06E6C"/>
    <w:rsid w:val="00D06EC8"/>
    <w:rsid w:val="00D14180"/>
    <w:rsid w:val="00D20004"/>
    <w:rsid w:val="00D20282"/>
    <w:rsid w:val="00D21D61"/>
    <w:rsid w:val="00D2442A"/>
    <w:rsid w:val="00D25F2A"/>
    <w:rsid w:val="00D33697"/>
    <w:rsid w:val="00D361E2"/>
    <w:rsid w:val="00D36E7C"/>
    <w:rsid w:val="00D36F69"/>
    <w:rsid w:val="00D40D8E"/>
    <w:rsid w:val="00D44E0C"/>
    <w:rsid w:val="00D50662"/>
    <w:rsid w:val="00D54914"/>
    <w:rsid w:val="00D55447"/>
    <w:rsid w:val="00D569BB"/>
    <w:rsid w:val="00D61623"/>
    <w:rsid w:val="00D672E8"/>
    <w:rsid w:val="00D71103"/>
    <w:rsid w:val="00D75F15"/>
    <w:rsid w:val="00D765E3"/>
    <w:rsid w:val="00D774AA"/>
    <w:rsid w:val="00D81693"/>
    <w:rsid w:val="00D82DA0"/>
    <w:rsid w:val="00D8485C"/>
    <w:rsid w:val="00D849BF"/>
    <w:rsid w:val="00D86052"/>
    <w:rsid w:val="00D958E5"/>
    <w:rsid w:val="00D97B3F"/>
    <w:rsid w:val="00DA78E0"/>
    <w:rsid w:val="00DB1D80"/>
    <w:rsid w:val="00DB2425"/>
    <w:rsid w:val="00DB602F"/>
    <w:rsid w:val="00DC215E"/>
    <w:rsid w:val="00DC33ED"/>
    <w:rsid w:val="00DC50DE"/>
    <w:rsid w:val="00DC5426"/>
    <w:rsid w:val="00DE562D"/>
    <w:rsid w:val="00DE6402"/>
    <w:rsid w:val="00DE6FFC"/>
    <w:rsid w:val="00DF1B3D"/>
    <w:rsid w:val="00E01747"/>
    <w:rsid w:val="00E021AB"/>
    <w:rsid w:val="00E03CD0"/>
    <w:rsid w:val="00E1079D"/>
    <w:rsid w:val="00E11BA0"/>
    <w:rsid w:val="00E12328"/>
    <w:rsid w:val="00E12E82"/>
    <w:rsid w:val="00E141BE"/>
    <w:rsid w:val="00E21399"/>
    <w:rsid w:val="00E2409C"/>
    <w:rsid w:val="00E26CE0"/>
    <w:rsid w:val="00E26E16"/>
    <w:rsid w:val="00E27D0F"/>
    <w:rsid w:val="00E31DC7"/>
    <w:rsid w:val="00E3343D"/>
    <w:rsid w:val="00E3658A"/>
    <w:rsid w:val="00E37AB4"/>
    <w:rsid w:val="00E405A6"/>
    <w:rsid w:val="00E40A82"/>
    <w:rsid w:val="00E41F6A"/>
    <w:rsid w:val="00E423AF"/>
    <w:rsid w:val="00E460D3"/>
    <w:rsid w:val="00E46360"/>
    <w:rsid w:val="00E4769B"/>
    <w:rsid w:val="00E47C7E"/>
    <w:rsid w:val="00E72E19"/>
    <w:rsid w:val="00E7402A"/>
    <w:rsid w:val="00E74F92"/>
    <w:rsid w:val="00E7709E"/>
    <w:rsid w:val="00E80898"/>
    <w:rsid w:val="00E8314C"/>
    <w:rsid w:val="00E866A2"/>
    <w:rsid w:val="00E91A1C"/>
    <w:rsid w:val="00E93096"/>
    <w:rsid w:val="00E947A8"/>
    <w:rsid w:val="00E95D60"/>
    <w:rsid w:val="00E961B5"/>
    <w:rsid w:val="00E979BD"/>
    <w:rsid w:val="00EA158B"/>
    <w:rsid w:val="00EA30B8"/>
    <w:rsid w:val="00EA518B"/>
    <w:rsid w:val="00EA638C"/>
    <w:rsid w:val="00EB1CEC"/>
    <w:rsid w:val="00EB2541"/>
    <w:rsid w:val="00EB28F4"/>
    <w:rsid w:val="00EB709F"/>
    <w:rsid w:val="00EB72BC"/>
    <w:rsid w:val="00EC0014"/>
    <w:rsid w:val="00EC25EE"/>
    <w:rsid w:val="00EC2F35"/>
    <w:rsid w:val="00EC42C0"/>
    <w:rsid w:val="00ED21A4"/>
    <w:rsid w:val="00ED37A1"/>
    <w:rsid w:val="00ED39E6"/>
    <w:rsid w:val="00ED3CC8"/>
    <w:rsid w:val="00ED62A3"/>
    <w:rsid w:val="00ED6FCE"/>
    <w:rsid w:val="00EE0DE3"/>
    <w:rsid w:val="00EE179E"/>
    <w:rsid w:val="00F026E0"/>
    <w:rsid w:val="00F04F59"/>
    <w:rsid w:val="00F11132"/>
    <w:rsid w:val="00F1377B"/>
    <w:rsid w:val="00F13EED"/>
    <w:rsid w:val="00F15B07"/>
    <w:rsid w:val="00F166A9"/>
    <w:rsid w:val="00F21B24"/>
    <w:rsid w:val="00F21D26"/>
    <w:rsid w:val="00F305C7"/>
    <w:rsid w:val="00F30B52"/>
    <w:rsid w:val="00F31367"/>
    <w:rsid w:val="00F313DB"/>
    <w:rsid w:val="00F340EB"/>
    <w:rsid w:val="00F348AE"/>
    <w:rsid w:val="00F47F4B"/>
    <w:rsid w:val="00F52382"/>
    <w:rsid w:val="00F54560"/>
    <w:rsid w:val="00F56289"/>
    <w:rsid w:val="00F60981"/>
    <w:rsid w:val="00F61824"/>
    <w:rsid w:val="00F641AD"/>
    <w:rsid w:val="00F647BC"/>
    <w:rsid w:val="00F64E47"/>
    <w:rsid w:val="00F66050"/>
    <w:rsid w:val="00F711BE"/>
    <w:rsid w:val="00F71DAA"/>
    <w:rsid w:val="00F73DC8"/>
    <w:rsid w:val="00F75526"/>
    <w:rsid w:val="00F76494"/>
    <w:rsid w:val="00F8635D"/>
    <w:rsid w:val="00F9175E"/>
    <w:rsid w:val="00F91C75"/>
    <w:rsid w:val="00F9313C"/>
    <w:rsid w:val="00F97F0C"/>
    <w:rsid w:val="00FA0619"/>
    <w:rsid w:val="00FA78BA"/>
    <w:rsid w:val="00FA7D78"/>
    <w:rsid w:val="00FB23A1"/>
    <w:rsid w:val="00FB25B3"/>
    <w:rsid w:val="00FB3820"/>
    <w:rsid w:val="00FB3FC5"/>
    <w:rsid w:val="00FB4A77"/>
    <w:rsid w:val="00FB78AE"/>
    <w:rsid w:val="00FC0EED"/>
    <w:rsid w:val="00FC426F"/>
    <w:rsid w:val="00FD1442"/>
    <w:rsid w:val="00FD71D2"/>
    <w:rsid w:val="00FD7411"/>
    <w:rsid w:val="00FE4880"/>
    <w:rsid w:val="00FE7040"/>
    <w:rsid w:val="065777DA"/>
    <w:rsid w:val="0A9405E9"/>
    <w:rsid w:val="1F98094E"/>
    <w:rsid w:val="26A722AF"/>
    <w:rsid w:val="50CB3402"/>
    <w:rsid w:val="543A4FD2"/>
    <w:rsid w:val="59982D53"/>
    <w:rsid w:val="5D405F82"/>
    <w:rsid w:val="5DBC1802"/>
    <w:rsid w:val="5E623ECC"/>
    <w:rsid w:val="65441E87"/>
    <w:rsid w:val="6F7F1E08"/>
    <w:rsid w:val="7711682C"/>
    <w:rsid w:val="79B56FB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8"/>
      <w:szCs w:val="24"/>
      <w:lang w:val="ru-RU" w:eastAsia="ru-RU" w:bidi="ar-SA"/>
    </w:rPr>
  </w:style>
  <w:style w:type="paragraph" w:styleId="2">
    <w:name w:val="heading 1"/>
    <w:basedOn w:val="1"/>
    <w:next w:val="1"/>
    <w:link w:val="41"/>
    <w:qFormat/>
    <w:uiPriority w:val="0"/>
    <w:pPr>
      <w:keepNext/>
      <w:jc w:val="center"/>
      <w:outlineLvl w:val="0"/>
    </w:pPr>
  </w:style>
  <w:style w:type="paragraph" w:styleId="3">
    <w:name w:val="heading 2"/>
    <w:basedOn w:val="1"/>
    <w:link w:val="40"/>
    <w:qFormat/>
    <w:uiPriority w:val="9"/>
    <w:pPr>
      <w:spacing w:before="100" w:beforeAutospacing="1" w:after="100" w:afterAutospacing="1"/>
      <w:outlineLvl w:val="1"/>
    </w:pPr>
    <w:rPr>
      <w:b/>
      <w:bCs/>
      <w:sz w:val="36"/>
      <w:szCs w:val="36"/>
    </w:rPr>
  </w:style>
  <w:style w:type="paragraph" w:styleId="4">
    <w:name w:val="heading 4"/>
    <w:basedOn w:val="1"/>
    <w:next w:val="1"/>
    <w:link w:val="42"/>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basedOn w:val="5"/>
    <w:semiHidden/>
    <w:unhideWhenUsed/>
    <w:qFormat/>
    <w:uiPriority w:val="99"/>
    <w:rPr>
      <w:color w:val="800080"/>
      <w:u w:val="single"/>
    </w:rPr>
  </w:style>
  <w:style w:type="character" w:styleId="8">
    <w:name w:val="footnote reference"/>
    <w:qFormat/>
    <w:uiPriority w:val="99"/>
    <w:rPr>
      <w:vertAlign w:val="superscript"/>
    </w:rPr>
  </w:style>
  <w:style w:type="character" w:styleId="9">
    <w:name w:val="annotation reference"/>
    <w:basedOn w:val="5"/>
    <w:semiHidden/>
    <w:unhideWhenUsed/>
    <w:qFormat/>
    <w:uiPriority w:val="99"/>
    <w:rPr>
      <w:sz w:val="16"/>
      <w:szCs w:val="16"/>
    </w:rPr>
  </w:style>
  <w:style w:type="character" w:styleId="10">
    <w:name w:val="Emphasis"/>
    <w:basedOn w:val="5"/>
    <w:qFormat/>
    <w:uiPriority w:val="20"/>
    <w:rPr>
      <w:i/>
      <w:iCs/>
    </w:rPr>
  </w:style>
  <w:style w:type="character" w:styleId="11">
    <w:name w:val="Hyperlink"/>
    <w:basedOn w:val="5"/>
    <w:qFormat/>
    <w:uiPriority w:val="99"/>
    <w:rPr>
      <w:color w:val="0000FF"/>
      <w:u w:val="single"/>
    </w:rPr>
  </w:style>
  <w:style w:type="paragraph" w:styleId="12">
    <w:name w:val="Balloon Text"/>
    <w:basedOn w:val="1"/>
    <w:link w:val="32"/>
    <w:semiHidden/>
    <w:unhideWhenUsed/>
    <w:qFormat/>
    <w:uiPriority w:val="99"/>
    <w:rPr>
      <w:rFonts w:ascii="Tahoma" w:hAnsi="Tahoma" w:cs="Tahoma"/>
      <w:sz w:val="16"/>
      <w:szCs w:val="16"/>
    </w:rPr>
  </w:style>
  <w:style w:type="paragraph" w:styleId="13">
    <w:name w:val="Body Text 2"/>
    <w:basedOn w:val="1"/>
    <w:link w:val="30"/>
    <w:unhideWhenUsed/>
    <w:qFormat/>
    <w:uiPriority w:val="99"/>
    <w:pPr>
      <w:spacing w:after="120" w:line="480" w:lineRule="auto"/>
    </w:pPr>
  </w:style>
  <w:style w:type="paragraph" w:styleId="14">
    <w:name w:val="annotation text"/>
    <w:basedOn w:val="1"/>
    <w:link w:val="142"/>
    <w:semiHidden/>
    <w:unhideWhenUsed/>
    <w:qFormat/>
    <w:uiPriority w:val="99"/>
    <w:rPr>
      <w:sz w:val="20"/>
      <w:szCs w:val="20"/>
    </w:rPr>
  </w:style>
  <w:style w:type="paragraph" w:styleId="15">
    <w:name w:val="annotation subject"/>
    <w:basedOn w:val="14"/>
    <w:next w:val="14"/>
    <w:link w:val="143"/>
    <w:semiHidden/>
    <w:unhideWhenUsed/>
    <w:qFormat/>
    <w:uiPriority w:val="99"/>
    <w:rPr>
      <w:b/>
      <w:bCs/>
    </w:rPr>
  </w:style>
  <w:style w:type="paragraph" w:styleId="16">
    <w:name w:val="footnote text"/>
    <w:basedOn w:val="1"/>
    <w:link w:val="39"/>
    <w:qFormat/>
    <w:uiPriority w:val="99"/>
    <w:pPr>
      <w:suppressAutoHyphens/>
    </w:pPr>
    <w:rPr>
      <w:sz w:val="20"/>
      <w:szCs w:val="20"/>
      <w:lang w:eastAsia="ar-SA"/>
    </w:rPr>
  </w:style>
  <w:style w:type="paragraph" w:styleId="17">
    <w:name w:val="header"/>
    <w:basedOn w:val="1"/>
    <w:link w:val="34"/>
    <w:unhideWhenUsed/>
    <w:qFormat/>
    <w:uiPriority w:val="99"/>
    <w:pPr>
      <w:tabs>
        <w:tab w:val="center" w:pos="4677"/>
        <w:tab w:val="right" w:pos="9355"/>
      </w:tabs>
    </w:pPr>
  </w:style>
  <w:style w:type="paragraph" w:styleId="18">
    <w:name w:val="Body Text"/>
    <w:basedOn w:val="1"/>
    <w:link w:val="25"/>
    <w:qFormat/>
    <w:uiPriority w:val="99"/>
    <w:pPr>
      <w:spacing w:after="120"/>
    </w:pPr>
  </w:style>
  <w:style w:type="paragraph" w:styleId="19">
    <w:name w:val="Body Text Indent"/>
    <w:basedOn w:val="1"/>
    <w:link w:val="24"/>
    <w:qFormat/>
    <w:uiPriority w:val="0"/>
    <w:pPr>
      <w:ind w:firstLine="709"/>
      <w:jc w:val="both"/>
    </w:pPr>
    <w:rPr>
      <w:szCs w:val="20"/>
    </w:rPr>
  </w:style>
  <w:style w:type="paragraph" w:styleId="20">
    <w:name w:val="footer"/>
    <w:basedOn w:val="1"/>
    <w:link w:val="35"/>
    <w:unhideWhenUsed/>
    <w:qFormat/>
    <w:uiPriority w:val="99"/>
    <w:pPr>
      <w:tabs>
        <w:tab w:val="center" w:pos="4677"/>
        <w:tab w:val="right" w:pos="9355"/>
      </w:tabs>
    </w:pPr>
  </w:style>
  <w:style w:type="paragraph" w:styleId="21">
    <w:name w:val="Normal (Web)"/>
    <w:basedOn w:val="1"/>
    <w:semiHidden/>
    <w:unhideWhenUsed/>
    <w:qFormat/>
    <w:uiPriority w:val="99"/>
    <w:pPr>
      <w:spacing w:before="100" w:beforeAutospacing="1" w:after="100" w:afterAutospacing="1"/>
    </w:pPr>
    <w:rPr>
      <w:sz w:val="24"/>
    </w:rPr>
  </w:style>
  <w:style w:type="paragraph" w:styleId="22">
    <w:name w:val="Body Text Indent 2"/>
    <w:basedOn w:val="1"/>
    <w:link w:val="26"/>
    <w:unhideWhenUsed/>
    <w:qFormat/>
    <w:uiPriority w:val="0"/>
    <w:pPr>
      <w:spacing w:after="120" w:line="480" w:lineRule="auto"/>
      <w:ind w:left="283"/>
    </w:pPr>
  </w:style>
  <w:style w:type="table" w:styleId="23">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Основной текст с отступом Знак"/>
    <w:basedOn w:val="5"/>
    <w:link w:val="19"/>
    <w:qFormat/>
    <w:uiPriority w:val="0"/>
    <w:rPr>
      <w:rFonts w:ascii="Times New Roman" w:hAnsi="Times New Roman" w:eastAsia="Times New Roman" w:cs="Times New Roman"/>
      <w:sz w:val="28"/>
      <w:szCs w:val="20"/>
      <w:lang w:eastAsia="ru-RU"/>
    </w:rPr>
  </w:style>
  <w:style w:type="character" w:customStyle="1" w:styleId="25">
    <w:name w:val="Основной текст Знак"/>
    <w:basedOn w:val="5"/>
    <w:link w:val="18"/>
    <w:qFormat/>
    <w:uiPriority w:val="99"/>
    <w:rPr>
      <w:rFonts w:ascii="Times New Roman" w:hAnsi="Times New Roman" w:eastAsia="Times New Roman" w:cs="Times New Roman"/>
      <w:sz w:val="28"/>
      <w:szCs w:val="24"/>
      <w:lang w:eastAsia="ru-RU"/>
    </w:rPr>
  </w:style>
  <w:style w:type="character" w:customStyle="1" w:styleId="26">
    <w:name w:val="Основной текст с отступом 2 Знак"/>
    <w:basedOn w:val="5"/>
    <w:link w:val="22"/>
    <w:qFormat/>
    <w:uiPriority w:val="0"/>
    <w:rPr>
      <w:rFonts w:ascii="Times New Roman" w:hAnsi="Times New Roman" w:eastAsia="Times New Roman" w:cs="Times New Roman"/>
      <w:sz w:val="28"/>
      <w:szCs w:val="24"/>
      <w:lang w:eastAsia="ru-RU"/>
    </w:rPr>
  </w:style>
  <w:style w:type="paragraph" w:styleId="27">
    <w:name w:val="No Spacing"/>
    <w:link w:val="44"/>
    <w:qFormat/>
    <w:uiPriority w:val="1"/>
    <w:rPr>
      <w:rFonts w:ascii="Times New Roman" w:hAnsi="Times New Roman" w:eastAsia="Times New Roman" w:cs="Times New Roman"/>
      <w:sz w:val="28"/>
      <w:szCs w:val="24"/>
      <w:lang w:val="ru-RU" w:eastAsia="ru-RU" w:bidi="ar-SA"/>
    </w:rPr>
  </w:style>
  <w:style w:type="paragraph" w:customStyle="1" w:styleId="28">
    <w:name w:val="ConsPlusNormal"/>
    <w:link w:val="29"/>
    <w:qFormat/>
    <w:uiPriority w:val="99"/>
    <w:pPr>
      <w:widowControl w:val="0"/>
      <w:autoSpaceDE w:val="0"/>
      <w:autoSpaceDN w:val="0"/>
      <w:adjustRightInd w:val="0"/>
      <w:ind w:firstLine="720"/>
    </w:pPr>
    <w:rPr>
      <w:rFonts w:ascii="Arial" w:hAnsi="Arial" w:eastAsia="Times New Roman" w:cs="Arial"/>
      <w:sz w:val="20"/>
      <w:szCs w:val="20"/>
      <w:lang w:val="ru-RU" w:eastAsia="ru-RU" w:bidi="ar-SA"/>
    </w:rPr>
  </w:style>
  <w:style w:type="character" w:customStyle="1" w:styleId="29">
    <w:name w:val="ConsPlusNormal Знак"/>
    <w:link w:val="28"/>
    <w:qFormat/>
    <w:locked/>
    <w:uiPriority w:val="99"/>
    <w:rPr>
      <w:rFonts w:ascii="Arial" w:hAnsi="Arial" w:eastAsia="Times New Roman" w:cs="Arial"/>
      <w:sz w:val="20"/>
      <w:szCs w:val="20"/>
      <w:lang w:eastAsia="ru-RU"/>
    </w:rPr>
  </w:style>
  <w:style w:type="character" w:customStyle="1" w:styleId="30">
    <w:name w:val="Основной текст 2 Знак"/>
    <w:basedOn w:val="5"/>
    <w:link w:val="13"/>
    <w:qFormat/>
    <w:uiPriority w:val="99"/>
    <w:rPr>
      <w:rFonts w:ascii="Times New Roman" w:hAnsi="Times New Roman" w:eastAsia="Times New Roman" w:cs="Times New Roman"/>
      <w:sz w:val="28"/>
      <w:szCs w:val="24"/>
      <w:lang w:eastAsia="ru-RU"/>
    </w:rPr>
  </w:style>
  <w:style w:type="paragraph" w:styleId="31">
    <w:name w:val="List Paragraph"/>
    <w:basedOn w:val="1"/>
    <w:link w:val="43"/>
    <w:qFormat/>
    <w:uiPriority w:val="34"/>
    <w:pPr>
      <w:ind w:left="720"/>
      <w:contextualSpacing/>
    </w:pPr>
  </w:style>
  <w:style w:type="character" w:customStyle="1" w:styleId="32">
    <w:name w:val="Текст выноски Знак"/>
    <w:basedOn w:val="5"/>
    <w:link w:val="12"/>
    <w:semiHidden/>
    <w:qFormat/>
    <w:uiPriority w:val="99"/>
    <w:rPr>
      <w:rFonts w:ascii="Tahoma" w:hAnsi="Tahoma" w:eastAsia="Times New Roman" w:cs="Tahoma"/>
      <w:sz w:val="16"/>
      <w:szCs w:val="16"/>
      <w:lang w:eastAsia="ru-RU"/>
    </w:rPr>
  </w:style>
  <w:style w:type="character" w:customStyle="1" w:styleId="33">
    <w:name w:val="apple-converted-space"/>
    <w:basedOn w:val="5"/>
    <w:qFormat/>
    <w:uiPriority w:val="0"/>
  </w:style>
  <w:style w:type="character" w:customStyle="1" w:styleId="34">
    <w:name w:val="Верхний колонтитул Знак"/>
    <w:basedOn w:val="5"/>
    <w:link w:val="17"/>
    <w:qFormat/>
    <w:uiPriority w:val="99"/>
    <w:rPr>
      <w:rFonts w:ascii="Times New Roman" w:hAnsi="Times New Roman" w:eastAsia="Times New Roman" w:cs="Times New Roman"/>
      <w:sz w:val="28"/>
      <w:szCs w:val="24"/>
      <w:lang w:eastAsia="ru-RU"/>
    </w:rPr>
  </w:style>
  <w:style w:type="character" w:customStyle="1" w:styleId="35">
    <w:name w:val="Нижний колонтитул Знак"/>
    <w:basedOn w:val="5"/>
    <w:link w:val="20"/>
    <w:qFormat/>
    <w:uiPriority w:val="99"/>
    <w:rPr>
      <w:rFonts w:ascii="Times New Roman" w:hAnsi="Times New Roman" w:eastAsia="Times New Roman" w:cs="Times New Roman"/>
      <w:sz w:val="28"/>
      <w:szCs w:val="24"/>
      <w:lang w:eastAsia="ru-RU"/>
    </w:rPr>
  </w:style>
  <w:style w:type="paragraph" w:customStyle="1" w:styleId="36">
    <w:name w:val="Íàçâàíèå"/>
    <w:basedOn w:val="1"/>
    <w:qFormat/>
    <w:uiPriority w:val="99"/>
    <w:pPr>
      <w:tabs>
        <w:tab w:val="left" w:pos="426"/>
      </w:tabs>
      <w:spacing w:before="120" w:line="360" w:lineRule="auto"/>
      <w:jc w:val="center"/>
    </w:pPr>
    <w:rPr>
      <w:b/>
      <w:sz w:val="22"/>
      <w:szCs w:val="20"/>
    </w:rPr>
  </w:style>
  <w:style w:type="paragraph" w:customStyle="1" w:styleId="37">
    <w:name w:val="Подзаголовок1"/>
    <w:basedOn w:val="1"/>
    <w:qFormat/>
    <w:uiPriority w:val="0"/>
    <w:pPr>
      <w:spacing w:before="100" w:beforeAutospacing="1" w:after="100" w:afterAutospacing="1"/>
    </w:pPr>
    <w:rPr>
      <w:sz w:val="24"/>
    </w:rPr>
  </w:style>
  <w:style w:type="character" w:customStyle="1" w:styleId="38">
    <w:name w:val="text1"/>
    <w:qFormat/>
    <w:uiPriority w:val="0"/>
    <w:rPr>
      <w:rFonts w:hint="default" w:ascii="Tahoma" w:hAnsi="Tahoma" w:cs="Tahoma"/>
      <w:color w:val="000000"/>
      <w:sz w:val="18"/>
      <w:szCs w:val="18"/>
    </w:rPr>
  </w:style>
  <w:style w:type="character" w:customStyle="1" w:styleId="39">
    <w:name w:val="Текст сноски Знак"/>
    <w:basedOn w:val="5"/>
    <w:link w:val="16"/>
    <w:qFormat/>
    <w:uiPriority w:val="99"/>
    <w:rPr>
      <w:rFonts w:ascii="Times New Roman" w:hAnsi="Times New Roman" w:eastAsia="Times New Roman" w:cs="Times New Roman"/>
      <w:sz w:val="20"/>
      <w:szCs w:val="20"/>
      <w:lang w:eastAsia="ar-SA"/>
    </w:rPr>
  </w:style>
  <w:style w:type="character" w:customStyle="1" w:styleId="40">
    <w:name w:val="Заголовок 2 Знак"/>
    <w:basedOn w:val="5"/>
    <w:link w:val="3"/>
    <w:qFormat/>
    <w:uiPriority w:val="9"/>
    <w:rPr>
      <w:rFonts w:ascii="Times New Roman" w:hAnsi="Times New Roman" w:eastAsia="Times New Roman" w:cs="Times New Roman"/>
      <w:b/>
      <w:bCs/>
      <w:sz w:val="36"/>
      <w:szCs w:val="36"/>
      <w:lang w:eastAsia="ru-RU"/>
    </w:rPr>
  </w:style>
  <w:style w:type="character" w:customStyle="1" w:styleId="41">
    <w:name w:val="Заголовок 1 Знак"/>
    <w:basedOn w:val="5"/>
    <w:link w:val="2"/>
    <w:qFormat/>
    <w:uiPriority w:val="0"/>
    <w:rPr>
      <w:rFonts w:ascii="Times New Roman" w:hAnsi="Times New Roman" w:eastAsia="Times New Roman" w:cs="Times New Roman"/>
      <w:sz w:val="28"/>
      <w:szCs w:val="24"/>
      <w:lang w:eastAsia="ru-RU"/>
    </w:rPr>
  </w:style>
  <w:style w:type="character" w:customStyle="1" w:styleId="42">
    <w:name w:val="Заголовок 4 Знак"/>
    <w:basedOn w:val="5"/>
    <w:link w:val="4"/>
    <w:qFormat/>
    <w:uiPriority w:val="9"/>
    <w:rPr>
      <w:rFonts w:asciiTheme="majorHAnsi" w:hAnsiTheme="majorHAnsi" w:eastAsiaTheme="majorEastAsia" w:cstheme="majorBidi"/>
      <w:i/>
      <w:iCs/>
      <w:color w:val="376092" w:themeColor="accent1" w:themeShade="BF"/>
      <w:sz w:val="28"/>
      <w:szCs w:val="24"/>
      <w:lang w:eastAsia="ru-RU"/>
    </w:rPr>
  </w:style>
  <w:style w:type="character" w:customStyle="1" w:styleId="43">
    <w:name w:val="Абзац списка Знак"/>
    <w:basedOn w:val="5"/>
    <w:link w:val="31"/>
    <w:qFormat/>
    <w:locked/>
    <w:uiPriority w:val="34"/>
    <w:rPr>
      <w:rFonts w:ascii="Times New Roman" w:hAnsi="Times New Roman" w:eastAsia="Times New Roman" w:cs="Times New Roman"/>
      <w:sz w:val="28"/>
      <w:szCs w:val="24"/>
      <w:lang w:eastAsia="ru-RU"/>
    </w:rPr>
  </w:style>
  <w:style w:type="character" w:customStyle="1" w:styleId="44">
    <w:name w:val="Без интервала Знак"/>
    <w:link w:val="27"/>
    <w:qFormat/>
    <w:locked/>
    <w:uiPriority w:val="99"/>
    <w:rPr>
      <w:rFonts w:ascii="Times New Roman" w:hAnsi="Times New Roman" w:eastAsia="Times New Roman" w:cs="Times New Roman"/>
      <w:sz w:val="28"/>
      <w:szCs w:val="24"/>
      <w:lang w:eastAsia="ru-RU"/>
    </w:rPr>
  </w:style>
  <w:style w:type="paragraph" w:customStyle="1" w:styleId="45">
    <w:name w:val="font5"/>
    <w:basedOn w:val="1"/>
    <w:qFormat/>
    <w:uiPriority w:val="0"/>
    <w:pPr>
      <w:spacing w:before="100" w:beforeAutospacing="1" w:after="100" w:afterAutospacing="1"/>
    </w:pPr>
    <w:rPr>
      <w:color w:val="000000"/>
      <w:sz w:val="18"/>
      <w:szCs w:val="18"/>
    </w:rPr>
  </w:style>
  <w:style w:type="paragraph" w:customStyle="1" w:styleId="46">
    <w:name w:val="font6"/>
    <w:basedOn w:val="1"/>
    <w:qFormat/>
    <w:uiPriority w:val="0"/>
    <w:pPr>
      <w:spacing w:before="100" w:beforeAutospacing="1" w:after="100" w:afterAutospacing="1"/>
    </w:pPr>
    <w:rPr>
      <w:color w:val="000000"/>
      <w:sz w:val="20"/>
      <w:szCs w:val="20"/>
    </w:rPr>
  </w:style>
  <w:style w:type="paragraph" w:customStyle="1" w:styleId="47">
    <w:name w:val="font7"/>
    <w:basedOn w:val="1"/>
    <w:qFormat/>
    <w:uiPriority w:val="0"/>
    <w:pPr>
      <w:spacing w:before="100" w:beforeAutospacing="1" w:after="100" w:afterAutospacing="1"/>
    </w:pPr>
    <w:rPr>
      <w:b/>
      <w:bCs/>
      <w:color w:val="000000"/>
      <w:sz w:val="20"/>
      <w:szCs w:val="20"/>
    </w:rPr>
  </w:style>
  <w:style w:type="paragraph" w:customStyle="1" w:styleId="48">
    <w:name w:val="xl63"/>
    <w:basedOn w:val="1"/>
    <w:qFormat/>
    <w:uiPriority w:val="0"/>
    <w:pPr>
      <w:pBdr>
        <w:bottom w:val="single" w:color="auto" w:sz="8" w:space="0"/>
        <w:right w:val="single" w:color="auto" w:sz="8" w:space="0"/>
      </w:pBdr>
      <w:spacing w:before="100" w:beforeAutospacing="1" w:after="100" w:afterAutospacing="1"/>
      <w:jc w:val="center"/>
      <w:textAlignment w:val="center"/>
    </w:pPr>
    <w:rPr>
      <w:b/>
      <w:bCs/>
      <w:sz w:val="20"/>
      <w:szCs w:val="20"/>
    </w:rPr>
  </w:style>
  <w:style w:type="paragraph" w:customStyle="1" w:styleId="49">
    <w:name w:val="xl64"/>
    <w:basedOn w:val="1"/>
    <w:qFormat/>
    <w:uiPriority w:val="0"/>
    <w:pPr>
      <w:pBdr>
        <w:bottom w:val="single" w:color="auto" w:sz="8" w:space="0"/>
        <w:right w:val="single" w:color="auto" w:sz="8" w:space="0"/>
      </w:pBdr>
      <w:spacing w:before="100" w:beforeAutospacing="1" w:after="100" w:afterAutospacing="1"/>
      <w:textAlignment w:val="center"/>
    </w:pPr>
    <w:rPr>
      <w:b/>
      <w:bCs/>
      <w:sz w:val="20"/>
      <w:szCs w:val="20"/>
    </w:rPr>
  </w:style>
  <w:style w:type="paragraph" w:customStyle="1" w:styleId="50">
    <w:name w:val="xl65"/>
    <w:basedOn w:val="1"/>
    <w:qFormat/>
    <w:uiPriority w:val="0"/>
    <w:pPr>
      <w:pBdr>
        <w:bottom w:val="single" w:color="auto" w:sz="8" w:space="0"/>
        <w:right w:val="single" w:color="auto" w:sz="8" w:space="0"/>
      </w:pBdr>
      <w:spacing w:before="100" w:beforeAutospacing="1" w:after="100" w:afterAutospacing="1"/>
      <w:textAlignment w:val="center"/>
    </w:pPr>
    <w:rPr>
      <w:sz w:val="20"/>
      <w:szCs w:val="20"/>
    </w:rPr>
  </w:style>
  <w:style w:type="paragraph" w:customStyle="1" w:styleId="51">
    <w:name w:val="xl66"/>
    <w:basedOn w:val="1"/>
    <w:qFormat/>
    <w:uiPriority w:val="0"/>
    <w:pPr>
      <w:pBdr>
        <w:bottom w:val="single" w:color="auto" w:sz="8" w:space="0"/>
        <w:right w:val="single" w:color="auto" w:sz="8" w:space="0"/>
      </w:pBdr>
      <w:spacing w:before="100" w:beforeAutospacing="1" w:after="100" w:afterAutospacing="1"/>
      <w:jc w:val="right"/>
      <w:textAlignment w:val="center"/>
    </w:pPr>
    <w:rPr>
      <w:sz w:val="16"/>
      <w:szCs w:val="16"/>
    </w:rPr>
  </w:style>
  <w:style w:type="paragraph" w:customStyle="1" w:styleId="52">
    <w:name w:val="xl67"/>
    <w:basedOn w:val="1"/>
    <w:qFormat/>
    <w:uiPriority w:val="0"/>
    <w:pPr>
      <w:pBdr>
        <w:bottom w:val="single" w:color="auto" w:sz="8" w:space="0"/>
        <w:right w:val="single" w:color="auto" w:sz="8" w:space="0"/>
      </w:pBdr>
      <w:spacing w:before="100" w:beforeAutospacing="1" w:after="100" w:afterAutospacing="1"/>
      <w:jc w:val="center"/>
      <w:textAlignment w:val="center"/>
    </w:pPr>
    <w:rPr>
      <w:sz w:val="20"/>
      <w:szCs w:val="20"/>
    </w:rPr>
  </w:style>
  <w:style w:type="paragraph" w:customStyle="1" w:styleId="53">
    <w:name w:val="xl68"/>
    <w:basedOn w:val="1"/>
    <w:qFormat/>
    <w:uiPriority w:val="0"/>
    <w:pPr>
      <w:pBdr>
        <w:top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54">
    <w:name w:val="xl69"/>
    <w:basedOn w:val="1"/>
    <w:qFormat/>
    <w:uiPriority w:val="0"/>
    <w:pPr>
      <w:pBdr>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55">
    <w:name w:val="xl70"/>
    <w:basedOn w:val="1"/>
    <w:qFormat/>
    <w:uiPriority w:val="0"/>
    <w:pPr>
      <w:pBdr>
        <w:right w:val="single" w:color="auto" w:sz="8" w:space="0"/>
      </w:pBdr>
      <w:spacing w:before="100" w:beforeAutospacing="1" w:after="100" w:afterAutospacing="1"/>
      <w:textAlignment w:val="center"/>
    </w:pPr>
    <w:rPr>
      <w:b/>
      <w:bCs/>
      <w:sz w:val="20"/>
      <w:szCs w:val="20"/>
    </w:rPr>
  </w:style>
  <w:style w:type="paragraph" w:customStyle="1" w:styleId="56">
    <w:name w:val="xl71"/>
    <w:basedOn w:val="1"/>
    <w:qFormat/>
    <w:uiPriority w:val="0"/>
    <w:pPr>
      <w:pBdr>
        <w:bottom w:val="single" w:color="auto" w:sz="8" w:space="0"/>
        <w:right w:val="single" w:color="auto" w:sz="8" w:space="0"/>
      </w:pBdr>
      <w:spacing w:before="100" w:beforeAutospacing="1" w:after="100" w:afterAutospacing="1"/>
      <w:jc w:val="center"/>
      <w:textAlignment w:val="center"/>
    </w:pPr>
    <w:rPr>
      <w:sz w:val="16"/>
      <w:szCs w:val="16"/>
    </w:rPr>
  </w:style>
  <w:style w:type="paragraph" w:customStyle="1" w:styleId="57">
    <w:name w:val="xl72"/>
    <w:basedOn w:val="1"/>
    <w:qFormat/>
    <w:uiPriority w:val="0"/>
    <w:pPr>
      <w:pBdr>
        <w:bottom w:val="single" w:color="auto" w:sz="8" w:space="0"/>
        <w:right w:val="single" w:color="auto" w:sz="8" w:space="0"/>
      </w:pBdr>
      <w:spacing w:before="100" w:beforeAutospacing="1" w:after="100" w:afterAutospacing="1"/>
      <w:textAlignment w:val="center"/>
    </w:pPr>
    <w:rPr>
      <w:rFonts w:ascii="Calibri" w:hAnsi="Calibri"/>
      <w:sz w:val="24"/>
    </w:rPr>
  </w:style>
  <w:style w:type="paragraph" w:customStyle="1" w:styleId="58">
    <w:name w:val="xl73"/>
    <w:basedOn w:val="1"/>
    <w:qFormat/>
    <w:uiPriority w:val="0"/>
    <w:pPr>
      <w:pBdr>
        <w:bottom w:val="single" w:color="auto" w:sz="8" w:space="0"/>
        <w:right w:val="single" w:color="auto" w:sz="8" w:space="0"/>
      </w:pBdr>
      <w:spacing w:before="100" w:beforeAutospacing="1" w:after="100" w:afterAutospacing="1"/>
      <w:textAlignment w:val="center"/>
    </w:pPr>
    <w:rPr>
      <w:b/>
      <w:bCs/>
      <w:sz w:val="16"/>
      <w:szCs w:val="16"/>
    </w:rPr>
  </w:style>
  <w:style w:type="paragraph" w:customStyle="1" w:styleId="59">
    <w:name w:val="xl74"/>
    <w:basedOn w:val="1"/>
    <w:qFormat/>
    <w:uiPriority w:val="0"/>
    <w:pPr>
      <w:pBdr>
        <w:left w:val="single" w:color="auto" w:sz="8" w:space="0"/>
        <w:bottom w:val="single" w:color="auto" w:sz="8" w:space="0"/>
        <w:right w:val="single" w:color="auto" w:sz="8" w:space="0"/>
      </w:pBdr>
      <w:shd w:val="clear" w:color="000000" w:fill="FFFF00"/>
      <w:spacing w:before="100" w:beforeAutospacing="1" w:after="100" w:afterAutospacing="1"/>
      <w:jc w:val="center"/>
      <w:textAlignment w:val="center"/>
    </w:pPr>
    <w:rPr>
      <w:sz w:val="20"/>
      <w:szCs w:val="20"/>
    </w:rPr>
  </w:style>
  <w:style w:type="paragraph" w:customStyle="1" w:styleId="60">
    <w:name w:val="xl75"/>
    <w:basedOn w:val="1"/>
    <w:qFormat/>
    <w:uiPriority w:val="0"/>
    <w:pPr>
      <w:pBdr>
        <w:bottom w:val="single" w:color="auto" w:sz="8" w:space="0"/>
        <w:right w:val="single" w:color="auto" w:sz="8" w:space="0"/>
      </w:pBdr>
      <w:shd w:val="clear" w:color="000000" w:fill="FFFF00"/>
      <w:spacing w:before="100" w:beforeAutospacing="1" w:after="100" w:afterAutospacing="1"/>
      <w:textAlignment w:val="center"/>
    </w:pPr>
    <w:rPr>
      <w:sz w:val="20"/>
      <w:szCs w:val="20"/>
    </w:rPr>
  </w:style>
  <w:style w:type="paragraph" w:customStyle="1" w:styleId="61">
    <w:name w:val="xl76"/>
    <w:basedOn w:val="1"/>
    <w:qFormat/>
    <w:uiPriority w:val="0"/>
    <w:pPr>
      <w:pBdr>
        <w:left w:val="single" w:color="auto" w:sz="8" w:space="0"/>
        <w:right w:val="single" w:color="auto" w:sz="8" w:space="0"/>
      </w:pBdr>
      <w:spacing w:before="100" w:beforeAutospacing="1" w:after="100" w:afterAutospacing="1"/>
      <w:jc w:val="center"/>
      <w:textAlignment w:val="center"/>
    </w:pPr>
    <w:rPr>
      <w:sz w:val="20"/>
      <w:szCs w:val="20"/>
    </w:rPr>
  </w:style>
  <w:style w:type="paragraph" w:customStyle="1" w:styleId="62">
    <w:name w:val="xl77"/>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sz w:val="20"/>
      <w:szCs w:val="20"/>
    </w:rPr>
  </w:style>
  <w:style w:type="paragraph" w:customStyle="1" w:styleId="63">
    <w:name w:val="xl78"/>
    <w:basedOn w:val="1"/>
    <w:qFormat/>
    <w:uiPriority w:val="0"/>
    <w:pPr>
      <w:pBdr>
        <w:left w:val="single" w:color="auto" w:sz="8" w:space="0"/>
        <w:right w:val="single" w:color="auto" w:sz="8" w:space="0"/>
      </w:pBdr>
      <w:spacing w:before="100" w:beforeAutospacing="1" w:after="100" w:afterAutospacing="1"/>
      <w:jc w:val="right"/>
      <w:textAlignment w:val="center"/>
    </w:pPr>
    <w:rPr>
      <w:sz w:val="16"/>
      <w:szCs w:val="16"/>
    </w:rPr>
  </w:style>
  <w:style w:type="paragraph" w:customStyle="1" w:styleId="64">
    <w:name w:val="xl79"/>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65">
    <w:name w:val="xl80"/>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66">
    <w:name w:val="xl81"/>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b/>
      <w:bCs/>
      <w:sz w:val="20"/>
      <w:szCs w:val="20"/>
    </w:rPr>
  </w:style>
  <w:style w:type="paragraph" w:customStyle="1" w:styleId="67">
    <w:name w:val="xl82"/>
    <w:basedOn w:val="1"/>
    <w:qFormat/>
    <w:uiPriority w:val="0"/>
    <w:pPr>
      <w:pBdr>
        <w:left w:val="single" w:color="auto" w:sz="8" w:space="0"/>
        <w:right w:val="single" w:color="auto" w:sz="8" w:space="0"/>
      </w:pBdr>
      <w:spacing w:before="100" w:beforeAutospacing="1" w:after="100" w:afterAutospacing="1"/>
      <w:jc w:val="center"/>
      <w:textAlignment w:val="center"/>
    </w:pPr>
    <w:rPr>
      <w:sz w:val="16"/>
      <w:szCs w:val="16"/>
    </w:rPr>
  </w:style>
  <w:style w:type="paragraph" w:customStyle="1" w:styleId="68">
    <w:name w:val="xl83"/>
    <w:basedOn w:val="1"/>
    <w:qFormat/>
    <w:uiPriority w:val="0"/>
    <w:pPr>
      <w:pBdr>
        <w:left w:val="single" w:color="auto" w:sz="8" w:space="0"/>
        <w:bottom w:val="single" w:color="auto" w:sz="8" w:space="0"/>
        <w:right w:val="single" w:color="auto" w:sz="8" w:space="0"/>
      </w:pBdr>
      <w:spacing w:before="100" w:beforeAutospacing="1" w:after="100" w:afterAutospacing="1"/>
      <w:textAlignment w:val="center"/>
    </w:pPr>
    <w:rPr>
      <w:sz w:val="20"/>
      <w:szCs w:val="20"/>
    </w:rPr>
  </w:style>
  <w:style w:type="paragraph" w:customStyle="1" w:styleId="69">
    <w:name w:val="xl84"/>
    <w:basedOn w:val="1"/>
    <w:qFormat/>
    <w:uiPriority w:val="0"/>
    <w:pPr>
      <w:pBdr>
        <w:left w:val="single" w:color="auto" w:sz="8" w:space="0"/>
      </w:pBdr>
      <w:spacing w:before="100" w:beforeAutospacing="1" w:after="100" w:afterAutospacing="1"/>
      <w:jc w:val="center"/>
      <w:textAlignment w:val="center"/>
    </w:pPr>
    <w:rPr>
      <w:sz w:val="18"/>
      <w:szCs w:val="18"/>
    </w:rPr>
  </w:style>
  <w:style w:type="paragraph" w:customStyle="1" w:styleId="70">
    <w:name w:val="xl85"/>
    <w:basedOn w:val="1"/>
    <w:qFormat/>
    <w:uiPriority w:val="0"/>
    <w:pPr>
      <w:spacing w:before="100" w:beforeAutospacing="1" w:after="100" w:afterAutospacing="1"/>
      <w:jc w:val="center"/>
      <w:textAlignment w:val="center"/>
    </w:pPr>
    <w:rPr>
      <w:sz w:val="18"/>
      <w:szCs w:val="18"/>
    </w:rPr>
  </w:style>
  <w:style w:type="paragraph" w:customStyle="1" w:styleId="71">
    <w:name w:val="xl86"/>
    <w:basedOn w:val="1"/>
    <w:qFormat/>
    <w:uiPriority w:val="0"/>
    <w:pPr>
      <w:pBdr>
        <w:right w:val="single" w:color="000000" w:sz="8" w:space="0"/>
      </w:pBdr>
      <w:spacing w:before="100" w:beforeAutospacing="1" w:after="100" w:afterAutospacing="1"/>
      <w:jc w:val="center"/>
      <w:textAlignment w:val="center"/>
    </w:pPr>
    <w:rPr>
      <w:sz w:val="18"/>
      <w:szCs w:val="18"/>
    </w:rPr>
  </w:style>
  <w:style w:type="paragraph" w:customStyle="1" w:styleId="72">
    <w:name w:val="xl87"/>
    <w:basedOn w:val="1"/>
    <w:qFormat/>
    <w:uiPriority w:val="0"/>
    <w:pPr>
      <w:pBdr>
        <w:left w:val="single" w:color="auto" w:sz="8" w:space="0"/>
        <w:right w:val="single" w:color="auto" w:sz="8" w:space="0"/>
      </w:pBdr>
      <w:spacing w:before="100" w:beforeAutospacing="1" w:after="100" w:afterAutospacing="1"/>
      <w:jc w:val="right"/>
      <w:textAlignment w:val="center"/>
    </w:pPr>
    <w:rPr>
      <w:szCs w:val="28"/>
    </w:rPr>
  </w:style>
  <w:style w:type="paragraph" w:customStyle="1" w:styleId="73">
    <w:name w:val="xl88"/>
    <w:basedOn w:val="1"/>
    <w:qFormat/>
    <w:uiPriority w:val="0"/>
    <w:pPr>
      <w:spacing w:before="100" w:beforeAutospacing="1" w:after="100" w:afterAutospacing="1"/>
    </w:pPr>
    <w:rPr>
      <w:szCs w:val="28"/>
    </w:rPr>
  </w:style>
  <w:style w:type="paragraph" w:customStyle="1" w:styleId="74">
    <w:name w:val="xl89"/>
    <w:basedOn w:val="1"/>
    <w:qFormat/>
    <w:uiPriority w:val="0"/>
    <w:pPr>
      <w:pBdr>
        <w:top w:val="single" w:color="auto" w:sz="8" w:space="0"/>
        <w:right w:val="single" w:color="auto" w:sz="8" w:space="0"/>
      </w:pBdr>
      <w:spacing w:before="100" w:beforeAutospacing="1" w:after="100" w:afterAutospacing="1"/>
      <w:jc w:val="center"/>
      <w:textAlignment w:val="center"/>
    </w:pPr>
    <w:rPr>
      <w:szCs w:val="28"/>
    </w:rPr>
  </w:style>
  <w:style w:type="paragraph" w:customStyle="1" w:styleId="75">
    <w:name w:val="xl90"/>
    <w:basedOn w:val="1"/>
    <w:qFormat/>
    <w:uiPriority w:val="0"/>
    <w:pPr>
      <w:pBdr>
        <w:bottom w:val="single" w:color="auto" w:sz="8" w:space="0"/>
        <w:right w:val="single" w:color="auto" w:sz="8" w:space="0"/>
      </w:pBdr>
      <w:spacing w:before="100" w:beforeAutospacing="1" w:after="100" w:afterAutospacing="1"/>
      <w:jc w:val="center"/>
      <w:textAlignment w:val="center"/>
    </w:pPr>
    <w:rPr>
      <w:szCs w:val="28"/>
    </w:rPr>
  </w:style>
  <w:style w:type="paragraph" w:customStyle="1" w:styleId="76">
    <w:name w:val="xl91"/>
    <w:basedOn w:val="1"/>
    <w:qFormat/>
    <w:uiPriority w:val="0"/>
    <w:pPr>
      <w:spacing w:before="100" w:beforeAutospacing="1" w:after="100" w:afterAutospacing="1"/>
      <w:jc w:val="center"/>
      <w:textAlignment w:val="center"/>
    </w:pPr>
    <w:rPr>
      <w:szCs w:val="28"/>
    </w:rPr>
  </w:style>
  <w:style w:type="paragraph" w:customStyle="1" w:styleId="77">
    <w:name w:val="xl92"/>
    <w:basedOn w:val="1"/>
    <w:qFormat/>
    <w:uiPriority w:val="0"/>
    <w:pPr>
      <w:pBdr>
        <w:bottom w:val="single" w:color="000000" w:sz="8" w:space="0"/>
      </w:pBdr>
      <w:spacing w:before="100" w:beforeAutospacing="1" w:after="100" w:afterAutospacing="1"/>
      <w:jc w:val="center"/>
      <w:textAlignment w:val="center"/>
    </w:pPr>
    <w:rPr>
      <w:szCs w:val="28"/>
    </w:rPr>
  </w:style>
  <w:style w:type="paragraph" w:customStyle="1" w:styleId="78">
    <w:name w:val="xl93"/>
    <w:basedOn w:val="1"/>
    <w:qFormat/>
    <w:uiPriority w:val="0"/>
    <w:pPr>
      <w:pBdr>
        <w:left w:val="single" w:color="auto" w:sz="8" w:space="0"/>
        <w:right w:val="single" w:color="auto" w:sz="8" w:space="0"/>
      </w:pBdr>
      <w:spacing w:before="100" w:beforeAutospacing="1" w:after="100" w:afterAutospacing="1"/>
      <w:jc w:val="right"/>
      <w:textAlignment w:val="center"/>
    </w:pPr>
    <w:rPr>
      <w:szCs w:val="28"/>
    </w:rPr>
  </w:style>
  <w:style w:type="paragraph" w:customStyle="1" w:styleId="79">
    <w:name w:val="xl94"/>
    <w:basedOn w:val="1"/>
    <w:qFormat/>
    <w:uiPriority w:val="0"/>
    <w:pPr>
      <w:pBdr>
        <w:bottom w:val="single" w:color="auto" w:sz="8" w:space="0"/>
        <w:right w:val="single" w:color="auto" w:sz="8" w:space="0"/>
      </w:pBdr>
      <w:spacing w:before="100" w:beforeAutospacing="1" w:after="100" w:afterAutospacing="1"/>
      <w:jc w:val="right"/>
      <w:textAlignment w:val="center"/>
    </w:pPr>
    <w:rPr>
      <w:szCs w:val="28"/>
    </w:rPr>
  </w:style>
  <w:style w:type="paragraph" w:customStyle="1" w:styleId="80">
    <w:name w:val="xl95"/>
    <w:basedOn w:val="1"/>
    <w:qFormat/>
    <w:uiPriority w:val="0"/>
    <w:pPr>
      <w:pBdr>
        <w:bottom w:val="single" w:color="auto" w:sz="8" w:space="0"/>
        <w:right w:val="single" w:color="auto" w:sz="8" w:space="0"/>
      </w:pBdr>
      <w:spacing w:before="100" w:beforeAutospacing="1" w:after="100" w:afterAutospacing="1"/>
      <w:textAlignment w:val="center"/>
    </w:pPr>
    <w:rPr>
      <w:rFonts w:ascii="Calibri" w:hAnsi="Calibri"/>
      <w:szCs w:val="28"/>
    </w:rPr>
  </w:style>
  <w:style w:type="paragraph" w:customStyle="1" w:styleId="81">
    <w:name w:val="xl96"/>
    <w:basedOn w:val="1"/>
    <w:qFormat/>
    <w:uiPriority w:val="0"/>
    <w:pPr>
      <w:shd w:val="clear" w:color="000000" w:fill="D9D9D9"/>
      <w:spacing w:before="100" w:beforeAutospacing="1" w:after="100" w:afterAutospacing="1"/>
    </w:pPr>
    <w:rPr>
      <w:sz w:val="24"/>
    </w:rPr>
  </w:style>
  <w:style w:type="paragraph" w:customStyle="1" w:styleId="82">
    <w:name w:val="xl97"/>
    <w:basedOn w:val="1"/>
    <w:qFormat/>
    <w:uiPriority w:val="0"/>
    <w:pPr>
      <w:pBdr>
        <w:top w:val="single" w:color="auto" w:sz="8" w:space="0"/>
        <w:right w:val="single" w:color="auto" w:sz="8" w:space="0"/>
      </w:pBdr>
      <w:shd w:val="clear" w:color="000000" w:fill="D9D9D9"/>
      <w:spacing w:before="100" w:beforeAutospacing="1" w:after="100" w:afterAutospacing="1"/>
      <w:jc w:val="center"/>
      <w:textAlignment w:val="center"/>
    </w:pPr>
    <w:rPr>
      <w:sz w:val="18"/>
      <w:szCs w:val="18"/>
    </w:rPr>
  </w:style>
  <w:style w:type="paragraph" w:customStyle="1" w:styleId="83">
    <w:name w:val="xl98"/>
    <w:basedOn w:val="1"/>
    <w:qFormat/>
    <w:uiPriority w:val="0"/>
    <w:pPr>
      <w:pBdr>
        <w:bottom w:val="single" w:color="auto" w:sz="8" w:space="0"/>
        <w:right w:val="single" w:color="auto" w:sz="8" w:space="0"/>
      </w:pBdr>
      <w:shd w:val="clear" w:color="000000" w:fill="D9D9D9"/>
      <w:spacing w:before="100" w:beforeAutospacing="1" w:after="100" w:afterAutospacing="1"/>
      <w:jc w:val="center"/>
      <w:textAlignment w:val="center"/>
    </w:pPr>
    <w:rPr>
      <w:sz w:val="18"/>
      <w:szCs w:val="18"/>
    </w:rPr>
  </w:style>
  <w:style w:type="paragraph" w:customStyle="1" w:styleId="84">
    <w:name w:val="xl99"/>
    <w:basedOn w:val="1"/>
    <w:qFormat/>
    <w:uiPriority w:val="0"/>
    <w:pPr>
      <w:pBdr>
        <w:bottom w:val="single" w:color="auto" w:sz="8" w:space="0"/>
        <w:right w:val="single" w:color="auto" w:sz="8" w:space="0"/>
      </w:pBdr>
      <w:shd w:val="clear" w:color="000000" w:fill="D9D9D9"/>
      <w:spacing w:before="100" w:beforeAutospacing="1" w:after="100" w:afterAutospacing="1"/>
      <w:jc w:val="right"/>
      <w:textAlignment w:val="center"/>
    </w:pPr>
    <w:rPr>
      <w:sz w:val="16"/>
      <w:szCs w:val="16"/>
    </w:rPr>
  </w:style>
  <w:style w:type="paragraph" w:customStyle="1" w:styleId="85">
    <w:name w:val="xl100"/>
    <w:basedOn w:val="1"/>
    <w:qFormat/>
    <w:uiPriority w:val="0"/>
    <w:pPr>
      <w:pBdr>
        <w:bottom w:val="single" w:color="auto" w:sz="8" w:space="0"/>
        <w:right w:val="single" w:color="auto" w:sz="8" w:space="0"/>
      </w:pBdr>
      <w:shd w:val="clear" w:color="000000" w:fill="D9D9D9"/>
      <w:spacing w:before="100" w:beforeAutospacing="1" w:after="100" w:afterAutospacing="1"/>
      <w:jc w:val="center"/>
      <w:textAlignment w:val="center"/>
    </w:pPr>
    <w:rPr>
      <w:sz w:val="16"/>
      <w:szCs w:val="16"/>
    </w:rPr>
  </w:style>
  <w:style w:type="paragraph" w:customStyle="1" w:styleId="86">
    <w:name w:val="xl101"/>
    <w:basedOn w:val="1"/>
    <w:qFormat/>
    <w:uiPriority w:val="0"/>
    <w:pPr>
      <w:pBdr>
        <w:top w:val="single" w:color="auto" w:sz="8" w:space="0"/>
        <w:left w:val="single" w:color="auto" w:sz="8" w:space="0"/>
        <w:right w:val="single" w:color="auto" w:sz="8" w:space="0"/>
      </w:pBdr>
      <w:shd w:val="clear" w:color="000000" w:fill="D9D9D9"/>
      <w:spacing w:before="100" w:beforeAutospacing="1" w:after="100" w:afterAutospacing="1"/>
      <w:jc w:val="right"/>
      <w:textAlignment w:val="center"/>
    </w:pPr>
    <w:rPr>
      <w:sz w:val="16"/>
      <w:szCs w:val="16"/>
    </w:rPr>
  </w:style>
  <w:style w:type="paragraph" w:customStyle="1" w:styleId="87">
    <w:name w:val="xl102"/>
    <w:basedOn w:val="1"/>
    <w:qFormat/>
    <w:uiPriority w:val="0"/>
    <w:pPr>
      <w:pBdr>
        <w:left w:val="single" w:color="auto" w:sz="8" w:space="0"/>
        <w:right w:val="single" w:color="auto" w:sz="8" w:space="0"/>
      </w:pBdr>
      <w:shd w:val="clear" w:color="000000" w:fill="D9D9D9"/>
      <w:spacing w:before="100" w:beforeAutospacing="1" w:after="100" w:afterAutospacing="1"/>
      <w:jc w:val="right"/>
      <w:textAlignment w:val="center"/>
    </w:pPr>
    <w:rPr>
      <w:sz w:val="16"/>
      <w:szCs w:val="16"/>
    </w:rPr>
  </w:style>
  <w:style w:type="paragraph" w:customStyle="1" w:styleId="88">
    <w:name w:val="xl103"/>
    <w:basedOn w:val="1"/>
    <w:qFormat/>
    <w:uiPriority w:val="0"/>
    <w:pPr>
      <w:pBdr>
        <w:left w:val="single" w:color="auto" w:sz="8" w:space="0"/>
        <w:bottom w:val="single" w:color="auto" w:sz="8" w:space="0"/>
        <w:right w:val="single" w:color="auto" w:sz="8" w:space="0"/>
      </w:pBdr>
      <w:shd w:val="clear" w:color="000000" w:fill="D9D9D9"/>
      <w:spacing w:before="100" w:beforeAutospacing="1" w:after="100" w:afterAutospacing="1"/>
      <w:jc w:val="right"/>
      <w:textAlignment w:val="center"/>
    </w:pPr>
    <w:rPr>
      <w:sz w:val="16"/>
      <w:szCs w:val="16"/>
    </w:rPr>
  </w:style>
  <w:style w:type="paragraph" w:customStyle="1" w:styleId="89">
    <w:name w:val="xl104"/>
    <w:basedOn w:val="1"/>
    <w:qFormat/>
    <w:uiPriority w:val="0"/>
    <w:pPr>
      <w:pBdr>
        <w:bottom w:val="single" w:color="auto" w:sz="8" w:space="0"/>
        <w:right w:val="single" w:color="auto" w:sz="8" w:space="0"/>
      </w:pBdr>
      <w:shd w:val="clear" w:color="000000" w:fill="D9D9D9"/>
      <w:spacing w:before="100" w:beforeAutospacing="1" w:after="100" w:afterAutospacing="1"/>
      <w:textAlignment w:val="center"/>
    </w:pPr>
    <w:rPr>
      <w:b/>
      <w:bCs/>
      <w:sz w:val="16"/>
      <w:szCs w:val="16"/>
    </w:rPr>
  </w:style>
  <w:style w:type="paragraph" w:customStyle="1" w:styleId="90">
    <w:name w:val="xl105"/>
    <w:basedOn w:val="1"/>
    <w:qFormat/>
    <w:uiPriority w:val="0"/>
    <w:pPr>
      <w:pBdr>
        <w:bottom w:val="single" w:color="auto" w:sz="8" w:space="0"/>
        <w:right w:val="single" w:color="auto" w:sz="8" w:space="0"/>
      </w:pBdr>
      <w:shd w:val="clear" w:color="000000" w:fill="D9D9D9"/>
      <w:spacing w:before="100" w:beforeAutospacing="1" w:after="100" w:afterAutospacing="1"/>
      <w:jc w:val="right"/>
      <w:textAlignment w:val="center"/>
    </w:pPr>
    <w:rPr>
      <w:b/>
      <w:bCs/>
      <w:sz w:val="16"/>
      <w:szCs w:val="16"/>
    </w:rPr>
  </w:style>
  <w:style w:type="paragraph" w:customStyle="1" w:styleId="91">
    <w:name w:val="xl106"/>
    <w:basedOn w:val="1"/>
    <w:qFormat/>
    <w:uiPriority w:val="0"/>
    <w:pPr>
      <w:spacing w:before="100" w:beforeAutospacing="1" w:after="100" w:afterAutospacing="1"/>
    </w:pPr>
    <w:rPr>
      <w:sz w:val="24"/>
    </w:rPr>
  </w:style>
  <w:style w:type="paragraph" w:customStyle="1" w:styleId="92">
    <w:name w:val="xl107"/>
    <w:basedOn w:val="1"/>
    <w:qFormat/>
    <w:uiPriority w:val="0"/>
    <w:pPr>
      <w:pBdr>
        <w:top w:val="single" w:color="auto" w:sz="8" w:space="0"/>
        <w:right w:val="single" w:color="auto" w:sz="8" w:space="0"/>
      </w:pBdr>
      <w:spacing w:before="100" w:beforeAutospacing="1" w:after="100" w:afterAutospacing="1"/>
      <w:jc w:val="center"/>
      <w:textAlignment w:val="center"/>
    </w:pPr>
    <w:rPr>
      <w:sz w:val="24"/>
    </w:rPr>
  </w:style>
  <w:style w:type="paragraph" w:customStyle="1" w:styleId="93">
    <w:name w:val="xl108"/>
    <w:basedOn w:val="1"/>
    <w:qFormat/>
    <w:uiPriority w:val="0"/>
    <w:pPr>
      <w:pBdr>
        <w:bottom w:val="single" w:color="auto" w:sz="8" w:space="0"/>
        <w:right w:val="single" w:color="auto" w:sz="8" w:space="0"/>
      </w:pBdr>
      <w:spacing w:before="100" w:beforeAutospacing="1" w:after="100" w:afterAutospacing="1"/>
      <w:jc w:val="center"/>
      <w:textAlignment w:val="center"/>
    </w:pPr>
    <w:rPr>
      <w:sz w:val="24"/>
    </w:rPr>
  </w:style>
  <w:style w:type="paragraph" w:customStyle="1" w:styleId="94">
    <w:name w:val="xl109"/>
    <w:basedOn w:val="1"/>
    <w:qFormat/>
    <w:uiPriority w:val="0"/>
    <w:pPr>
      <w:pBdr>
        <w:left w:val="single" w:color="auto" w:sz="8" w:space="0"/>
        <w:right w:val="single" w:color="auto" w:sz="8" w:space="0"/>
      </w:pBdr>
      <w:spacing w:before="100" w:beforeAutospacing="1" w:after="100" w:afterAutospacing="1"/>
      <w:jc w:val="right"/>
      <w:textAlignment w:val="center"/>
    </w:pPr>
    <w:rPr>
      <w:sz w:val="24"/>
    </w:rPr>
  </w:style>
  <w:style w:type="paragraph" w:customStyle="1" w:styleId="95">
    <w:name w:val="xl110"/>
    <w:basedOn w:val="1"/>
    <w:qFormat/>
    <w:uiPriority w:val="0"/>
    <w:pPr>
      <w:pBdr>
        <w:bottom w:val="single" w:color="auto" w:sz="8" w:space="0"/>
        <w:right w:val="single" w:color="auto" w:sz="8" w:space="0"/>
      </w:pBdr>
      <w:spacing w:before="100" w:beforeAutospacing="1" w:after="100" w:afterAutospacing="1"/>
      <w:jc w:val="right"/>
      <w:textAlignment w:val="center"/>
    </w:pPr>
    <w:rPr>
      <w:sz w:val="24"/>
    </w:rPr>
  </w:style>
  <w:style w:type="paragraph" w:customStyle="1" w:styleId="96">
    <w:name w:val="xl111"/>
    <w:basedOn w:val="1"/>
    <w:qFormat/>
    <w:uiPriority w:val="0"/>
    <w:pPr>
      <w:pBdr>
        <w:bottom w:val="single" w:color="auto" w:sz="8" w:space="0"/>
        <w:right w:val="single" w:color="auto" w:sz="8" w:space="0"/>
      </w:pBdr>
      <w:spacing w:before="100" w:beforeAutospacing="1" w:after="100" w:afterAutospacing="1"/>
      <w:textAlignment w:val="center"/>
    </w:pPr>
    <w:rPr>
      <w:rFonts w:ascii="Calibri" w:hAnsi="Calibri"/>
      <w:sz w:val="24"/>
    </w:rPr>
  </w:style>
  <w:style w:type="paragraph" w:customStyle="1" w:styleId="97">
    <w:name w:val="xl112"/>
    <w:basedOn w:val="1"/>
    <w:qFormat/>
    <w:uiPriority w:val="0"/>
    <w:pPr>
      <w:pBdr>
        <w:bottom w:val="single" w:color="auto" w:sz="8" w:space="0"/>
        <w:right w:val="single" w:color="auto" w:sz="8" w:space="0"/>
      </w:pBdr>
      <w:shd w:val="clear" w:color="000000" w:fill="FFFF00"/>
      <w:spacing w:before="100" w:beforeAutospacing="1" w:after="100" w:afterAutospacing="1"/>
      <w:textAlignment w:val="center"/>
    </w:pPr>
    <w:rPr>
      <w:sz w:val="18"/>
      <w:szCs w:val="18"/>
    </w:rPr>
  </w:style>
  <w:style w:type="paragraph" w:customStyle="1" w:styleId="98">
    <w:name w:val="xl113"/>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sz w:val="20"/>
      <w:szCs w:val="20"/>
    </w:rPr>
  </w:style>
  <w:style w:type="paragraph" w:customStyle="1" w:styleId="99">
    <w:name w:val="xl114"/>
    <w:basedOn w:val="1"/>
    <w:qFormat/>
    <w:uiPriority w:val="0"/>
    <w:pPr>
      <w:pBdr>
        <w:top w:val="single" w:color="auto" w:sz="8" w:space="0"/>
        <w:left w:val="single" w:color="auto" w:sz="8" w:space="0"/>
        <w:right w:val="single" w:color="auto" w:sz="8" w:space="0"/>
      </w:pBdr>
      <w:spacing w:before="100" w:beforeAutospacing="1" w:after="100" w:afterAutospacing="1"/>
      <w:jc w:val="right"/>
      <w:textAlignment w:val="center"/>
    </w:pPr>
    <w:rPr>
      <w:sz w:val="16"/>
      <w:szCs w:val="16"/>
    </w:rPr>
  </w:style>
  <w:style w:type="paragraph" w:customStyle="1" w:styleId="100">
    <w:name w:val="xl115"/>
    <w:basedOn w:val="1"/>
    <w:qFormat/>
    <w:uiPriority w:val="0"/>
    <w:pPr>
      <w:pBdr>
        <w:left w:val="single" w:color="auto" w:sz="8" w:space="0"/>
        <w:bottom w:val="single" w:color="auto" w:sz="8" w:space="0"/>
        <w:right w:val="single" w:color="auto" w:sz="8" w:space="0"/>
      </w:pBdr>
      <w:spacing w:before="100" w:beforeAutospacing="1" w:after="100" w:afterAutospacing="1"/>
      <w:jc w:val="right"/>
      <w:textAlignment w:val="center"/>
    </w:pPr>
    <w:rPr>
      <w:sz w:val="16"/>
      <w:szCs w:val="16"/>
    </w:rPr>
  </w:style>
  <w:style w:type="paragraph" w:customStyle="1" w:styleId="101">
    <w:name w:val="xl116"/>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b/>
      <w:bCs/>
      <w:sz w:val="20"/>
      <w:szCs w:val="20"/>
    </w:rPr>
  </w:style>
  <w:style w:type="paragraph" w:customStyle="1" w:styleId="102">
    <w:name w:val="xl117"/>
    <w:basedOn w:val="1"/>
    <w:qFormat/>
    <w:uiPriority w:val="0"/>
    <w:pPr>
      <w:pBdr>
        <w:left w:val="single" w:color="auto" w:sz="8" w:space="0"/>
        <w:right w:val="single" w:color="auto" w:sz="8" w:space="0"/>
      </w:pBdr>
      <w:spacing w:before="100" w:beforeAutospacing="1" w:after="100" w:afterAutospacing="1"/>
      <w:jc w:val="center"/>
      <w:textAlignment w:val="center"/>
    </w:pPr>
    <w:rPr>
      <w:b/>
      <w:bCs/>
      <w:sz w:val="20"/>
      <w:szCs w:val="20"/>
    </w:rPr>
  </w:style>
  <w:style w:type="paragraph" w:customStyle="1" w:styleId="103">
    <w:name w:val="xl118"/>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sz w:val="16"/>
      <w:szCs w:val="16"/>
    </w:rPr>
  </w:style>
  <w:style w:type="paragraph" w:customStyle="1" w:styleId="104">
    <w:name w:val="xl119"/>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sz w:val="16"/>
      <w:szCs w:val="16"/>
    </w:rPr>
  </w:style>
  <w:style w:type="paragraph" w:customStyle="1" w:styleId="105">
    <w:name w:val="xl120"/>
    <w:basedOn w:val="1"/>
    <w:qFormat/>
    <w:uiPriority w:val="0"/>
    <w:pPr>
      <w:pBdr>
        <w:top w:val="single" w:color="auto" w:sz="8" w:space="0"/>
        <w:left w:val="single" w:color="auto" w:sz="8" w:space="0"/>
        <w:right w:val="single" w:color="auto" w:sz="8" w:space="0"/>
      </w:pBdr>
      <w:spacing w:before="100" w:beforeAutospacing="1" w:after="100" w:afterAutospacing="1"/>
      <w:textAlignment w:val="center"/>
    </w:pPr>
    <w:rPr>
      <w:sz w:val="16"/>
      <w:szCs w:val="16"/>
    </w:rPr>
  </w:style>
  <w:style w:type="paragraph" w:customStyle="1" w:styleId="106">
    <w:name w:val="xl121"/>
    <w:basedOn w:val="1"/>
    <w:qFormat/>
    <w:uiPriority w:val="0"/>
    <w:pPr>
      <w:pBdr>
        <w:left w:val="single" w:color="auto" w:sz="8" w:space="0"/>
        <w:right w:val="single" w:color="auto" w:sz="8" w:space="0"/>
      </w:pBdr>
      <w:spacing w:before="100" w:beforeAutospacing="1" w:after="100" w:afterAutospacing="1"/>
      <w:textAlignment w:val="center"/>
    </w:pPr>
    <w:rPr>
      <w:sz w:val="16"/>
      <w:szCs w:val="16"/>
    </w:rPr>
  </w:style>
  <w:style w:type="paragraph" w:customStyle="1" w:styleId="107">
    <w:name w:val="xl122"/>
    <w:basedOn w:val="1"/>
    <w:qFormat/>
    <w:uiPriority w:val="0"/>
    <w:pPr>
      <w:pBdr>
        <w:left w:val="single" w:color="auto" w:sz="8" w:space="0"/>
        <w:bottom w:val="single" w:color="auto" w:sz="8" w:space="0"/>
        <w:right w:val="single" w:color="auto" w:sz="8" w:space="0"/>
      </w:pBdr>
      <w:spacing w:before="100" w:beforeAutospacing="1" w:after="100" w:afterAutospacing="1"/>
      <w:textAlignment w:val="center"/>
    </w:pPr>
    <w:rPr>
      <w:sz w:val="16"/>
      <w:szCs w:val="16"/>
    </w:rPr>
  </w:style>
  <w:style w:type="paragraph" w:customStyle="1" w:styleId="108">
    <w:name w:val="xl123"/>
    <w:basedOn w:val="1"/>
    <w:qFormat/>
    <w:uiPriority w:val="0"/>
    <w:pPr>
      <w:pBdr>
        <w:top w:val="single" w:color="auto" w:sz="8" w:space="0"/>
        <w:left w:val="single" w:color="auto" w:sz="8" w:space="0"/>
        <w:right w:val="single" w:color="auto" w:sz="8" w:space="0"/>
      </w:pBdr>
      <w:spacing w:before="100" w:beforeAutospacing="1" w:after="100" w:afterAutospacing="1"/>
      <w:textAlignment w:val="center"/>
    </w:pPr>
    <w:rPr>
      <w:sz w:val="20"/>
      <w:szCs w:val="20"/>
    </w:rPr>
  </w:style>
  <w:style w:type="paragraph" w:customStyle="1" w:styleId="109">
    <w:name w:val="xl124"/>
    <w:basedOn w:val="1"/>
    <w:qFormat/>
    <w:uiPriority w:val="0"/>
    <w:pPr>
      <w:pBdr>
        <w:left w:val="single" w:color="auto" w:sz="8" w:space="0"/>
        <w:right w:val="single" w:color="auto" w:sz="8" w:space="0"/>
      </w:pBdr>
      <w:spacing w:before="100" w:beforeAutospacing="1" w:after="100" w:afterAutospacing="1"/>
      <w:textAlignment w:val="center"/>
    </w:pPr>
    <w:rPr>
      <w:sz w:val="20"/>
      <w:szCs w:val="20"/>
    </w:rPr>
  </w:style>
  <w:style w:type="paragraph" w:customStyle="1" w:styleId="110">
    <w:name w:val="xl125"/>
    <w:basedOn w:val="1"/>
    <w:qFormat/>
    <w:uiPriority w:val="0"/>
    <w:pPr>
      <w:pBdr>
        <w:top w:val="single" w:color="auto" w:sz="8" w:space="0"/>
        <w:left w:val="single" w:color="000000" w:sz="8" w:space="0"/>
        <w:right w:val="single" w:color="auto" w:sz="8" w:space="0"/>
      </w:pBdr>
      <w:spacing w:before="100" w:beforeAutospacing="1" w:after="100" w:afterAutospacing="1"/>
      <w:textAlignment w:val="center"/>
    </w:pPr>
    <w:rPr>
      <w:sz w:val="18"/>
      <w:szCs w:val="18"/>
    </w:rPr>
  </w:style>
  <w:style w:type="paragraph" w:customStyle="1" w:styleId="111">
    <w:name w:val="xl126"/>
    <w:basedOn w:val="1"/>
    <w:qFormat/>
    <w:uiPriority w:val="0"/>
    <w:pPr>
      <w:pBdr>
        <w:left w:val="single" w:color="000000" w:sz="8" w:space="0"/>
        <w:bottom w:val="single" w:color="000000" w:sz="8" w:space="0"/>
        <w:right w:val="single" w:color="auto" w:sz="8" w:space="0"/>
      </w:pBdr>
      <w:spacing w:before="100" w:beforeAutospacing="1" w:after="100" w:afterAutospacing="1"/>
      <w:textAlignment w:val="center"/>
    </w:pPr>
    <w:rPr>
      <w:sz w:val="18"/>
      <w:szCs w:val="18"/>
    </w:rPr>
  </w:style>
  <w:style w:type="paragraph" w:customStyle="1" w:styleId="112">
    <w:name w:val="xl127"/>
    <w:basedOn w:val="1"/>
    <w:qFormat/>
    <w:uiPriority w:val="0"/>
    <w:pPr>
      <w:pBdr>
        <w:left w:val="single" w:color="auto" w:sz="8" w:space="0"/>
        <w:bottom w:val="single" w:color="auto" w:sz="8" w:space="0"/>
      </w:pBdr>
      <w:spacing w:before="100" w:beforeAutospacing="1" w:after="100" w:afterAutospacing="1"/>
      <w:jc w:val="center"/>
      <w:textAlignment w:val="center"/>
    </w:pPr>
    <w:rPr>
      <w:sz w:val="18"/>
      <w:szCs w:val="18"/>
    </w:rPr>
  </w:style>
  <w:style w:type="paragraph" w:customStyle="1" w:styleId="113">
    <w:name w:val="xl128"/>
    <w:basedOn w:val="1"/>
    <w:qFormat/>
    <w:uiPriority w:val="0"/>
    <w:pPr>
      <w:pBdr>
        <w:bottom w:val="single" w:color="auto" w:sz="8" w:space="0"/>
      </w:pBdr>
      <w:spacing w:before="100" w:beforeAutospacing="1" w:after="100" w:afterAutospacing="1"/>
      <w:jc w:val="center"/>
      <w:textAlignment w:val="center"/>
    </w:pPr>
    <w:rPr>
      <w:sz w:val="18"/>
      <w:szCs w:val="18"/>
    </w:rPr>
  </w:style>
  <w:style w:type="paragraph" w:customStyle="1" w:styleId="114">
    <w:name w:val="xl129"/>
    <w:basedOn w:val="1"/>
    <w:qFormat/>
    <w:uiPriority w:val="0"/>
    <w:pPr>
      <w:pBdr>
        <w:bottom w:val="single" w:color="auto" w:sz="8" w:space="0"/>
        <w:right w:val="single" w:color="000000" w:sz="8" w:space="0"/>
      </w:pBdr>
      <w:spacing w:before="100" w:beforeAutospacing="1" w:after="100" w:afterAutospacing="1"/>
      <w:jc w:val="center"/>
      <w:textAlignment w:val="center"/>
    </w:pPr>
    <w:rPr>
      <w:sz w:val="18"/>
      <w:szCs w:val="18"/>
    </w:rPr>
  </w:style>
  <w:style w:type="paragraph" w:customStyle="1" w:styleId="115">
    <w:name w:val="xl130"/>
    <w:basedOn w:val="1"/>
    <w:qFormat/>
    <w:uiPriority w:val="0"/>
    <w:pPr>
      <w:pBdr>
        <w:left w:val="single" w:color="auto" w:sz="8" w:space="0"/>
        <w:bottom w:val="single" w:color="000000" w:sz="8" w:space="0"/>
        <w:right w:val="single" w:color="auto" w:sz="8" w:space="0"/>
      </w:pBdr>
      <w:spacing w:before="100" w:beforeAutospacing="1" w:after="100" w:afterAutospacing="1"/>
      <w:jc w:val="center"/>
      <w:textAlignment w:val="center"/>
    </w:pPr>
    <w:rPr>
      <w:sz w:val="18"/>
      <w:szCs w:val="18"/>
    </w:rPr>
  </w:style>
  <w:style w:type="paragraph" w:customStyle="1" w:styleId="116">
    <w:name w:val="xl131"/>
    <w:basedOn w:val="1"/>
    <w:qFormat/>
    <w:uiPriority w:val="0"/>
    <w:pPr>
      <w:pBdr>
        <w:left w:val="single" w:color="auto" w:sz="8" w:space="0"/>
        <w:bottom w:val="single" w:color="000000" w:sz="8" w:space="0"/>
        <w:right w:val="single" w:color="auto" w:sz="8" w:space="0"/>
      </w:pBdr>
      <w:spacing w:before="100" w:beforeAutospacing="1" w:after="100" w:afterAutospacing="1"/>
      <w:textAlignment w:val="center"/>
    </w:pPr>
    <w:rPr>
      <w:sz w:val="20"/>
      <w:szCs w:val="20"/>
    </w:rPr>
  </w:style>
  <w:style w:type="paragraph" w:customStyle="1" w:styleId="117">
    <w:name w:val="xl132"/>
    <w:basedOn w:val="1"/>
    <w:qFormat/>
    <w:uiPriority w:val="0"/>
    <w:pPr>
      <w:pBdr>
        <w:top w:val="single" w:color="000000" w:sz="8" w:space="0"/>
        <w:left w:val="single" w:color="auto" w:sz="8" w:space="0"/>
        <w:right w:val="single" w:color="auto" w:sz="8" w:space="0"/>
      </w:pBdr>
      <w:spacing w:before="100" w:beforeAutospacing="1" w:after="100" w:afterAutospacing="1"/>
      <w:textAlignment w:val="center"/>
    </w:pPr>
    <w:rPr>
      <w:sz w:val="20"/>
      <w:szCs w:val="20"/>
    </w:rPr>
  </w:style>
  <w:style w:type="paragraph" w:customStyle="1" w:styleId="118">
    <w:name w:val="xl133"/>
    <w:basedOn w:val="1"/>
    <w:qFormat/>
    <w:uiPriority w:val="0"/>
    <w:pPr>
      <w:pBdr>
        <w:left w:val="single" w:color="000000" w:sz="8" w:space="0"/>
      </w:pBdr>
      <w:spacing w:before="100" w:beforeAutospacing="1" w:after="100" w:afterAutospacing="1"/>
      <w:jc w:val="center"/>
      <w:textAlignment w:val="center"/>
    </w:pPr>
    <w:rPr>
      <w:sz w:val="18"/>
      <w:szCs w:val="18"/>
    </w:rPr>
  </w:style>
  <w:style w:type="paragraph" w:customStyle="1" w:styleId="119">
    <w:name w:val="xl134"/>
    <w:basedOn w:val="1"/>
    <w:qFormat/>
    <w:uiPriority w:val="0"/>
    <w:pPr>
      <w:pBdr>
        <w:left w:val="single" w:color="000000" w:sz="8" w:space="0"/>
        <w:bottom w:val="single" w:color="000000" w:sz="8" w:space="0"/>
      </w:pBdr>
      <w:spacing w:before="100" w:beforeAutospacing="1" w:after="100" w:afterAutospacing="1"/>
      <w:jc w:val="center"/>
      <w:textAlignment w:val="center"/>
    </w:pPr>
    <w:rPr>
      <w:sz w:val="18"/>
      <w:szCs w:val="18"/>
    </w:rPr>
  </w:style>
  <w:style w:type="paragraph" w:customStyle="1" w:styleId="120">
    <w:name w:val="xl135"/>
    <w:basedOn w:val="1"/>
    <w:qFormat/>
    <w:uiPriority w:val="0"/>
    <w:pPr>
      <w:pBdr>
        <w:bottom w:val="single" w:color="000000" w:sz="8" w:space="0"/>
      </w:pBdr>
      <w:spacing w:before="100" w:beforeAutospacing="1" w:after="100" w:afterAutospacing="1"/>
      <w:jc w:val="center"/>
      <w:textAlignment w:val="center"/>
    </w:pPr>
    <w:rPr>
      <w:sz w:val="18"/>
      <w:szCs w:val="18"/>
    </w:rPr>
  </w:style>
  <w:style w:type="paragraph" w:customStyle="1" w:styleId="121">
    <w:name w:val="xl136"/>
    <w:basedOn w:val="1"/>
    <w:qFormat/>
    <w:uiPriority w:val="0"/>
    <w:pPr>
      <w:pBdr>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122">
    <w:name w:val="xl137"/>
    <w:basedOn w:val="1"/>
    <w:qFormat/>
    <w:uiPriority w:val="0"/>
    <w:pPr>
      <w:pBdr>
        <w:top w:val="single" w:color="auto" w:sz="8" w:space="0"/>
        <w:left w:val="single" w:color="auto" w:sz="8" w:space="0"/>
        <w:right w:val="single" w:color="auto" w:sz="8" w:space="0"/>
      </w:pBdr>
      <w:shd w:val="clear" w:color="000000" w:fill="FFFF00"/>
      <w:spacing w:before="100" w:beforeAutospacing="1" w:after="100" w:afterAutospacing="1"/>
      <w:jc w:val="center"/>
      <w:textAlignment w:val="center"/>
    </w:pPr>
    <w:rPr>
      <w:b/>
      <w:bCs/>
      <w:sz w:val="20"/>
      <w:szCs w:val="20"/>
    </w:rPr>
  </w:style>
  <w:style w:type="paragraph" w:customStyle="1" w:styleId="123">
    <w:name w:val="xl138"/>
    <w:basedOn w:val="1"/>
    <w:qFormat/>
    <w:uiPriority w:val="0"/>
    <w:pPr>
      <w:pBdr>
        <w:left w:val="single" w:color="auto" w:sz="8" w:space="0"/>
        <w:right w:val="single" w:color="auto" w:sz="8" w:space="0"/>
      </w:pBdr>
      <w:shd w:val="clear" w:color="000000" w:fill="FFFF00"/>
      <w:spacing w:before="100" w:beforeAutospacing="1" w:after="100" w:afterAutospacing="1"/>
      <w:jc w:val="center"/>
      <w:textAlignment w:val="center"/>
    </w:pPr>
    <w:rPr>
      <w:b/>
      <w:bCs/>
      <w:sz w:val="20"/>
      <w:szCs w:val="20"/>
    </w:rPr>
  </w:style>
  <w:style w:type="paragraph" w:customStyle="1" w:styleId="124">
    <w:name w:val="xl139"/>
    <w:basedOn w:val="1"/>
    <w:qFormat/>
    <w:uiPriority w:val="0"/>
    <w:pPr>
      <w:pBdr>
        <w:left w:val="single" w:color="auto" w:sz="8" w:space="0"/>
        <w:bottom w:val="single" w:color="auto" w:sz="8" w:space="0"/>
        <w:right w:val="single" w:color="auto" w:sz="8" w:space="0"/>
      </w:pBdr>
      <w:shd w:val="clear" w:color="000000" w:fill="FFFF00"/>
      <w:spacing w:before="100" w:beforeAutospacing="1" w:after="100" w:afterAutospacing="1"/>
      <w:jc w:val="center"/>
      <w:textAlignment w:val="center"/>
    </w:pPr>
    <w:rPr>
      <w:b/>
      <w:bCs/>
      <w:sz w:val="20"/>
      <w:szCs w:val="20"/>
    </w:rPr>
  </w:style>
  <w:style w:type="paragraph" w:customStyle="1" w:styleId="125">
    <w:name w:val="xl140"/>
    <w:basedOn w:val="1"/>
    <w:qFormat/>
    <w:uiPriority w:val="0"/>
    <w:pPr>
      <w:pBdr>
        <w:top w:val="single" w:color="auto" w:sz="8" w:space="0"/>
        <w:left w:val="single" w:color="auto" w:sz="8" w:space="0"/>
        <w:right w:val="single" w:color="auto" w:sz="8" w:space="0"/>
      </w:pBdr>
      <w:spacing w:before="100" w:beforeAutospacing="1" w:after="100" w:afterAutospacing="1"/>
      <w:jc w:val="right"/>
      <w:textAlignment w:val="center"/>
    </w:pPr>
    <w:rPr>
      <w:szCs w:val="28"/>
    </w:rPr>
  </w:style>
  <w:style w:type="paragraph" w:customStyle="1" w:styleId="126">
    <w:name w:val="xl141"/>
    <w:basedOn w:val="1"/>
    <w:qFormat/>
    <w:uiPriority w:val="0"/>
    <w:pPr>
      <w:pBdr>
        <w:left w:val="single" w:color="auto" w:sz="8" w:space="0"/>
        <w:bottom w:val="single" w:color="auto" w:sz="8" w:space="0"/>
        <w:right w:val="single" w:color="auto" w:sz="8" w:space="0"/>
      </w:pBdr>
      <w:spacing w:before="100" w:beforeAutospacing="1" w:after="100" w:afterAutospacing="1"/>
      <w:jc w:val="right"/>
      <w:textAlignment w:val="center"/>
    </w:pPr>
    <w:rPr>
      <w:szCs w:val="28"/>
    </w:rPr>
  </w:style>
  <w:style w:type="paragraph" w:customStyle="1" w:styleId="127">
    <w:name w:val="xl142"/>
    <w:basedOn w:val="1"/>
    <w:qFormat/>
    <w:uiPriority w:val="0"/>
    <w:pPr>
      <w:pBdr>
        <w:top w:val="single" w:color="auto" w:sz="8" w:space="0"/>
        <w:left w:val="single" w:color="auto" w:sz="8" w:space="0"/>
        <w:right w:val="single" w:color="auto" w:sz="8" w:space="0"/>
      </w:pBdr>
      <w:spacing w:before="100" w:beforeAutospacing="1" w:after="100" w:afterAutospacing="1"/>
      <w:textAlignment w:val="center"/>
    </w:pPr>
    <w:rPr>
      <w:szCs w:val="28"/>
    </w:rPr>
  </w:style>
  <w:style w:type="paragraph" w:customStyle="1" w:styleId="128">
    <w:name w:val="xl143"/>
    <w:basedOn w:val="1"/>
    <w:qFormat/>
    <w:uiPriority w:val="0"/>
    <w:pPr>
      <w:pBdr>
        <w:left w:val="single" w:color="auto" w:sz="8" w:space="0"/>
        <w:right w:val="single" w:color="auto" w:sz="8" w:space="0"/>
      </w:pBdr>
      <w:spacing w:before="100" w:beforeAutospacing="1" w:after="100" w:afterAutospacing="1"/>
      <w:textAlignment w:val="center"/>
    </w:pPr>
    <w:rPr>
      <w:szCs w:val="28"/>
    </w:rPr>
  </w:style>
  <w:style w:type="paragraph" w:customStyle="1" w:styleId="129">
    <w:name w:val="xl144"/>
    <w:basedOn w:val="1"/>
    <w:qFormat/>
    <w:uiPriority w:val="0"/>
    <w:pPr>
      <w:pBdr>
        <w:left w:val="single" w:color="auto" w:sz="8" w:space="0"/>
        <w:bottom w:val="single" w:color="auto" w:sz="8" w:space="0"/>
        <w:right w:val="single" w:color="auto" w:sz="8" w:space="0"/>
      </w:pBdr>
      <w:spacing w:before="100" w:beforeAutospacing="1" w:after="100" w:afterAutospacing="1"/>
      <w:textAlignment w:val="center"/>
    </w:pPr>
    <w:rPr>
      <w:szCs w:val="28"/>
    </w:rPr>
  </w:style>
  <w:style w:type="paragraph" w:customStyle="1" w:styleId="130">
    <w:name w:val="xl145"/>
    <w:basedOn w:val="1"/>
    <w:qFormat/>
    <w:uiPriority w:val="0"/>
    <w:pPr>
      <w:pBdr>
        <w:top w:val="single" w:color="auto" w:sz="8" w:space="0"/>
        <w:left w:val="single" w:color="auto" w:sz="8" w:space="0"/>
        <w:right w:val="single" w:color="auto" w:sz="8" w:space="0"/>
      </w:pBdr>
      <w:spacing w:before="100" w:beforeAutospacing="1" w:after="100" w:afterAutospacing="1"/>
      <w:jc w:val="right"/>
      <w:textAlignment w:val="center"/>
    </w:pPr>
    <w:rPr>
      <w:sz w:val="24"/>
    </w:rPr>
  </w:style>
  <w:style w:type="paragraph" w:customStyle="1" w:styleId="131">
    <w:name w:val="xl146"/>
    <w:basedOn w:val="1"/>
    <w:qFormat/>
    <w:uiPriority w:val="0"/>
    <w:pPr>
      <w:pBdr>
        <w:left w:val="single" w:color="auto" w:sz="8" w:space="0"/>
        <w:bottom w:val="single" w:color="auto" w:sz="8" w:space="0"/>
        <w:right w:val="single" w:color="auto" w:sz="8" w:space="0"/>
      </w:pBdr>
      <w:spacing w:before="100" w:beforeAutospacing="1" w:after="100" w:afterAutospacing="1"/>
      <w:jc w:val="right"/>
      <w:textAlignment w:val="center"/>
    </w:pPr>
    <w:rPr>
      <w:sz w:val="24"/>
    </w:rPr>
  </w:style>
  <w:style w:type="paragraph" w:customStyle="1" w:styleId="132">
    <w:name w:val="xl147"/>
    <w:basedOn w:val="1"/>
    <w:qFormat/>
    <w:uiPriority w:val="0"/>
    <w:pPr>
      <w:pBdr>
        <w:top w:val="single" w:color="auto" w:sz="8" w:space="0"/>
        <w:left w:val="single" w:color="auto" w:sz="8" w:space="0"/>
        <w:right w:val="single" w:color="auto" w:sz="8" w:space="0"/>
      </w:pBdr>
      <w:shd w:val="clear" w:color="000000" w:fill="D9D9D9"/>
      <w:spacing w:before="100" w:beforeAutospacing="1" w:after="100" w:afterAutospacing="1"/>
      <w:jc w:val="center"/>
      <w:textAlignment w:val="center"/>
    </w:pPr>
    <w:rPr>
      <w:sz w:val="16"/>
      <w:szCs w:val="16"/>
    </w:rPr>
  </w:style>
  <w:style w:type="paragraph" w:customStyle="1" w:styleId="133">
    <w:name w:val="xl148"/>
    <w:basedOn w:val="1"/>
    <w:qFormat/>
    <w:uiPriority w:val="0"/>
    <w:pPr>
      <w:pBdr>
        <w:left w:val="single" w:color="auto" w:sz="8" w:space="0"/>
        <w:right w:val="single" w:color="auto" w:sz="8" w:space="0"/>
      </w:pBdr>
      <w:shd w:val="clear" w:color="000000" w:fill="D9D9D9"/>
      <w:spacing w:before="100" w:beforeAutospacing="1" w:after="100" w:afterAutospacing="1"/>
      <w:jc w:val="center"/>
      <w:textAlignment w:val="center"/>
    </w:pPr>
    <w:rPr>
      <w:sz w:val="16"/>
      <w:szCs w:val="16"/>
    </w:rPr>
  </w:style>
  <w:style w:type="paragraph" w:customStyle="1" w:styleId="134">
    <w:name w:val="xl149"/>
    <w:basedOn w:val="1"/>
    <w:qFormat/>
    <w:uiPriority w:val="0"/>
    <w:pPr>
      <w:pBdr>
        <w:left w:val="single" w:color="auto" w:sz="8" w:space="0"/>
        <w:bottom w:val="single" w:color="auto" w:sz="8" w:space="0"/>
        <w:right w:val="single" w:color="auto" w:sz="8" w:space="0"/>
      </w:pBdr>
      <w:shd w:val="clear" w:color="000000" w:fill="D9D9D9"/>
      <w:spacing w:before="100" w:beforeAutospacing="1" w:after="100" w:afterAutospacing="1"/>
      <w:jc w:val="center"/>
      <w:textAlignment w:val="center"/>
    </w:pPr>
    <w:rPr>
      <w:sz w:val="16"/>
      <w:szCs w:val="16"/>
    </w:rPr>
  </w:style>
  <w:style w:type="paragraph" w:customStyle="1" w:styleId="135">
    <w:name w:val="xl150"/>
    <w:basedOn w:val="1"/>
    <w:qFormat/>
    <w:uiPriority w:val="0"/>
    <w:pPr>
      <w:pBdr>
        <w:left w:val="single" w:color="auto" w:sz="8" w:space="0"/>
        <w:right w:val="single" w:color="auto" w:sz="8" w:space="0"/>
      </w:pBdr>
      <w:shd w:val="clear" w:color="000000" w:fill="D9D9D9"/>
      <w:spacing w:before="100" w:beforeAutospacing="1" w:after="100" w:afterAutospacing="1"/>
      <w:jc w:val="right"/>
      <w:textAlignment w:val="center"/>
    </w:pPr>
    <w:rPr>
      <w:sz w:val="24"/>
    </w:rPr>
  </w:style>
  <w:style w:type="paragraph" w:customStyle="1" w:styleId="136">
    <w:name w:val="xl151"/>
    <w:basedOn w:val="1"/>
    <w:qFormat/>
    <w:uiPriority w:val="0"/>
    <w:pPr>
      <w:pBdr>
        <w:left w:val="single" w:color="auto" w:sz="8" w:space="0"/>
        <w:bottom w:val="single" w:color="auto" w:sz="8" w:space="0"/>
        <w:right w:val="single" w:color="auto" w:sz="8" w:space="0"/>
      </w:pBdr>
      <w:shd w:val="clear" w:color="000000" w:fill="D9D9D9"/>
      <w:spacing w:before="100" w:beforeAutospacing="1" w:after="100" w:afterAutospacing="1"/>
      <w:jc w:val="right"/>
      <w:textAlignment w:val="center"/>
    </w:pPr>
    <w:rPr>
      <w:sz w:val="24"/>
    </w:rPr>
  </w:style>
  <w:style w:type="paragraph" w:customStyle="1" w:styleId="137">
    <w:name w:val="xl152"/>
    <w:basedOn w:val="1"/>
    <w:qFormat/>
    <w:uiPriority w:val="0"/>
    <w:pPr>
      <w:pBdr>
        <w:left w:val="single" w:color="000000" w:sz="8" w:space="0"/>
        <w:right w:val="single" w:color="auto" w:sz="8" w:space="0"/>
      </w:pBdr>
      <w:spacing w:before="100" w:beforeAutospacing="1" w:after="100" w:afterAutospacing="1"/>
      <w:textAlignment w:val="center"/>
    </w:pPr>
    <w:rPr>
      <w:sz w:val="18"/>
      <w:szCs w:val="18"/>
    </w:rPr>
  </w:style>
  <w:style w:type="paragraph" w:customStyle="1" w:styleId="138">
    <w:name w:val="xl153"/>
    <w:basedOn w:val="1"/>
    <w:qFormat/>
    <w:uiPriority w:val="0"/>
    <w:pPr>
      <w:pBdr>
        <w:top w:val="single" w:color="auto" w:sz="8" w:space="0"/>
        <w:left w:val="single" w:color="auto" w:sz="8" w:space="0"/>
        <w:right w:val="single" w:color="auto" w:sz="8" w:space="0"/>
      </w:pBdr>
      <w:spacing w:before="100" w:beforeAutospacing="1" w:after="100" w:afterAutospacing="1"/>
      <w:textAlignment w:val="center"/>
    </w:pPr>
    <w:rPr>
      <w:sz w:val="24"/>
    </w:rPr>
  </w:style>
  <w:style w:type="paragraph" w:customStyle="1" w:styleId="139">
    <w:name w:val="xl154"/>
    <w:basedOn w:val="1"/>
    <w:qFormat/>
    <w:uiPriority w:val="0"/>
    <w:pPr>
      <w:pBdr>
        <w:left w:val="single" w:color="auto" w:sz="8" w:space="0"/>
        <w:right w:val="single" w:color="auto" w:sz="8" w:space="0"/>
      </w:pBdr>
      <w:spacing w:before="100" w:beforeAutospacing="1" w:after="100" w:afterAutospacing="1"/>
      <w:textAlignment w:val="center"/>
    </w:pPr>
    <w:rPr>
      <w:sz w:val="24"/>
    </w:rPr>
  </w:style>
  <w:style w:type="paragraph" w:customStyle="1" w:styleId="140">
    <w:name w:val="xl155"/>
    <w:basedOn w:val="1"/>
    <w:qFormat/>
    <w:uiPriority w:val="0"/>
    <w:pPr>
      <w:pBdr>
        <w:left w:val="single" w:color="auto" w:sz="8" w:space="0"/>
        <w:bottom w:val="single" w:color="000000" w:sz="8" w:space="0"/>
        <w:right w:val="single" w:color="auto" w:sz="8" w:space="0"/>
      </w:pBdr>
      <w:spacing w:before="100" w:beforeAutospacing="1" w:after="100" w:afterAutospacing="1"/>
      <w:textAlignment w:val="center"/>
    </w:pPr>
    <w:rPr>
      <w:sz w:val="24"/>
    </w:rPr>
  </w:style>
  <w:style w:type="character" w:customStyle="1" w:styleId="141">
    <w:name w:val="lots-wrap-content__body__val"/>
    <w:basedOn w:val="5"/>
    <w:qFormat/>
    <w:uiPriority w:val="0"/>
  </w:style>
  <w:style w:type="character" w:customStyle="1" w:styleId="142">
    <w:name w:val="Текст примечания Знак"/>
    <w:basedOn w:val="5"/>
    <w:link w:val="14"/>
    <w:semiHidden/>
    <w:qFormat/>
    <w:uiPriority w:val="99"/>
    <w:rPr>
      <w:rFonts w:ascii="Times New Roman" w:hAnsi="Times New Roman" w:eastAsia="Times New Roman" w:cs="Times New Roman"/>
      <w:sz w:val="20"/>
      <w:szCs w:val="20"/>
      <w:lang w:eastAsia="ru-RU"/>
    </w:rPr>
  </w:style>
  <w:style w:type="character" w:customStyle="1" w:styleId="143">
    <w:name w:val="Тема примечания Знак"/>
    <w:basedOn w:val="142"/>
    <w:link w:val="15"/>
    <w:semiHidden/>
    <w:qFormat/>
    <w:uiPriority w:val="99"/>
    <w:rPr>
      <w:rFonts w:ascii="Times New Roman" w:hAnsi="Times New Roman" w:eastAsia="Times New Roman" w:cs="Times New Roman"/>
      <w:b/>
      <w:bCs/>
      <w:sz w:val="20"/>
      <w:szCs w:val="20"/>
      <w:lang w:eastAsia="ru-RU"/>
    </w:rPr>
  </w:style>
  <w:style w:type="paragraph" w:customStyle="1" w:styleId="144">
    <w:name w:val="Обычный2"/>
    <w:qFormat/>
    <w:uiPriority w:val="0"/>
    <w:pPr>
      <w:suppressAutoHyphens/>
      <w:spacing w:line="100" w:lineRule="atLeast"/>
    </w:pPr>
    <w:rPr>
      <w:rFonts w:ascii="Times New Roman" w:hAnsi="Times New Roman" w:eastAsia="Arial" w:cs="Times New Roman"/>
      <w:kern w:val="1"/>
      <w:sz w:val="24"/>
      <w:szCs w:val="24"/>
      <w:lang w:val="ru-RU" w:eastAsia="ar-SA" w:bidi="ar-SA"/>
    </w:rPr>
  </w:style>
  <w:style w:type="paragraph" w:customStyle="1" w:styleId="145">
    <w:name w:val="Standard"/>
    <w:qFormat/>
    <w:uiPriority w:val="0"/>
    <w:pPr>
      <w:suppressAutoHyphens/>
      <w:autoSpaceDN w:val="0"/>
      <w:spacing w:line="276" w:lineRule="auto"/>
      <w:jc w:val="center"/>
      <w:textAlignment w:val="baseline"/>
    </w:pPr>
    <w:rPr>
      <w:rFonts w:ascii="Times New Roman" w:hAnsi="Times New Roman" w:eastAsia="Calibri" w:cs="Times New Roman"/>
      <w:kern w:val="3"/>
      <w:sz w:val="28"/>
      <w:szCs w:val="22"/>
      <w:lang w:val="ru-RU" w:eastAsia="zh-CN" w:bidi="ar-SA"/>
    </w:rPr>
  </w:style>
  <w:style w:type="paragraph" w:customStyle="1" w:styleId="146">
    <w:name w:val="Обычный (веб)1"/>
    <w:basedOn w:val="1"/>
    <w:unhideWhenUsed/>
    <w:qFormat/>
    <w:uiPriority w:val="99"/>
    <w:pPr>
      <w:spacing w:before="100" w:beforeAutospacing="1" w:after="100" w:afterAutospacing="1"/>
    </w:pPr>
    <w:rPr>
      <w:sz w:val="22"/>
      <w:szCs w:val="22"/>
    </w:rPr>
  </w:style>
  <w:style w:type="paragraph" w:customStyle="1" w:styleId="147">
    <w:name w:val="parametervalue"/>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8BD6E-5067-4561-8BD2-AA68646B4B83}">
  <ds:schemaRefs/>
</ds:datastoreItem>
</file>

<file path=docProps/app.xml><?xml version="1.0" encoding="utf-8"?>
<Properties xmlns="http://schemas.openxmlformats.org/officeDocument/2006/extended-properties" xmlns:vt="http://schemas.openxmlformats.org/officeDocument/2006/docPropsVTypes">
  <Template>Normal</Template>
  <Company>Администрация города Хабаровска</Company>
  <Pages>8</Pages>
  <Words>1104</Words>
  <Characters>7603</Characters>
  <Lines>213</Lines>
  <Paragraphs>60</Paragraphs>
  <TotalTime>2</TotalTime>
  <ScaleCrop>false</ScaleCrop>
  <LinksUpToDate>false</LinksUpToDate>
  <CharactersWithSpaces>9102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2023-03-13T10:27:00Z</dcterms:created>
  <dc:creator>zemlyanskayamm</dc:creator>
  <cp:lastModifiedBy>WPS_1777417676</cp:lastModifiedBy>
  <cp:lastPrinted>2022-09-28T23:10:00Z</cp:lastPrinted>
  <dcterms:modified xsi:type="dcterms:W3CDTF">2026-08-19T03:51:33Z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418914581F3547BDBB08281124DC4C11_13</vt:lpwstr>
  </property>
  <property fmtid="{D5CDD505-2E9C-101B-9397-08002B2CF9AE}" pid="4" name="KSOTemplateDocerSaveRecord">
    <vt:lpwstr>eyJoZGlkIjoiY2VmYzE4NmE0NDY1MmRlNjhiODUxZTEyMWNmYmNjODciLCJ1c2VySWQiOiI4MjQ2MzQ4ODM1MDkifQ==</vt:lpwstr>
  </property>
</Properties>
</file>