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602EAF">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3621D9" w:rsidRPr="003621D9">
        <w:rPr>
          <w:rFonts w:ascii="Times New Roman" w:hAnsi="Times New Roman" w:cs="Times New Roman"/>
          <w:color w:val="auto"/>
          <w:sz w:val="22"/>
          <w:szCs w:val="22"/>
        </w:rPr>
        <w:t xml:space="preserve">действующего на основании </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5D03F3">
        <w:rPr>
          <w:rFonts w:ascii="Times New Roman" w:hAnsi="Times New Roman" w:cs="Times New Roman"/>
          <w:color w:val="auto"/>
          <w:sz w:val="22"/>
          <w:szCs w:val="22"/>
        </w:rPr>
        <w:t xml:space="preserve">п. </w:t>
      </w:r>
      <w:r w:rsidR="000D691C">
        <w:rPr>
          <w:rFonts w:ascii="Times New Roman" w:hAnsi="Times New Roman" w:cs="Times New Roman"/>
          <w:color w:val="auto"/>
          <w:sz w:val="22"/>
          <w:szCs w:val="22"/>
        </w:rPr>
        <w:t>4</w:t>
      </w:r>
      <w:r w:rsidR="00A25C7E">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8C2B99"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008C2B99">
        <w:rPr>
          <w:rFonts w:ascii="Times New Roman" w:hAnsi="Times New Roman" w:cs="Times New Roman"/>
          <w:color w:val="auto"/>
          <w:sz w:val="22"/>
          <w:szCs w:val="22"/>
        </w:rPr>
        <w:t>.</w:t>
      </w:r>
    </w:p>
    <w:p w:rsidR="00E57FC6" w:rsidRPr="008256B9"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0D691C">
        <w:rPr>
          <w:rFonts w:ascii="Times New Roman" w:hAnsi="Times New Roman" w:cs="Times New Roman"/>
          <w:color w:val="auto"/>
          <w:sz w:val="22"/>
          <w:szCs w:val="22"/>
        </w:rPr>
        <w:t>26136660312083666010010013</w:t>
      </w:r>
      <w:r w:rsidR="003C0339" w:rsidRPr="003C0339">
        <w:rPr>
          <w:rFonts w:ascii="Times New Roman" w:hAnsi="Times New Roman" w:cs="Times New Roman"/>
          <w:color w:val="auto"/>
          <w:sz w:val="22"/>
          <w:szCs w:val="22"/>
        </w:rPr>
        <w:t>0000000244</w:t>
      </w:r>
      <w:r w:rsidR="003C0339">
        <w:rPr>
          <w:rFonts w:ascii="Times New Roman" w:hAnsi="Times New Roman" w:cs="Times New Roman"/>
          <w:color w:val="auto"/>
          <w:sz w:val="22"/>
          <w:szCs w:val="22"/>
        </w:rPr>
        <w:t>.</w:t>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B77B77">
        <w:rPr>
          <w:sz w:val="22"/>
          <w:szCs w:val="22"/>
          <w:u w:val="single"/>
        </w:rPr>
        <w:t>г. Воронеж, ул.</w:t>
      </w:r>
      <w:r w:rsidR="00B77B77" w:rsidRPr="00B77B77">
        <w:rPr>
          <w:sz w:val="22"/>
          <w:szCs w:val="22"/>
          <w:u w:val="single"/>
        </w:rPr>
        <w:t xml:space="preserve"> </w:t>
      </w:r>
      <w:r w:rsidR="000D691C">
        <w:rPr>
          <w:sz w:val="22"/>
          <w:szCs w:val="22"/>
          <w:u w:val="single"/>
        </w:rPr>
        <w:t>Мичурина</w:t>
      </w:r>
      <w:r w:rsidR="004F0353">
        <w:rPr>
          <w:sz w:val="22"/>
          <w:szCs w:val="22"/>
          <w:u w:val="single"/>
        </w:rPr>
        <w:t xml:space="preserve">, дом </w:t>
      </w:r>
      <w:r w:rsidR="000D691C">
        <w:rPr>
          <w:sz w:val="22"/>
          <w:szCs w:val="22"/>
          <w:u w:val="single"/>
        </w:rPr>
        <w:t>1</w:t>
      </w:r>
      <w:r w:rsidR="004F0353">
        <w:rPr>
          <w:sz w:val="22"/>
          <w:szCs w:val="22"/>
          <w:u w:val="single"/>
        </w:rPr>
        <w:t>.</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 xml:space="preserve">Поставщик самостоятельно доставляет Товар Заказчику по адресу, указанному в приложении № 1 к настоящему контракту </w:t>
      </w:r>
      <w:r w:rsidR="000D691C">
        <w:rPr>
          <w:rFonts w:ascii="Times New Roman" w:hAnsi="Times New Roman" w:cs="Times New Roman"/>
          <w:color w:val="auto"/>
          <w:sz w:val="22"/>
          <w:szCs w:val="22"/>
        </w:rPr>
        <w:t>(далее – место доставки).</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3C0339">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8C2B99" w:rsidRDefault="008F4FC0" w:rsidP="008F4FC0">
            <w:pPr>
              <w:jc w:val="left"/>
              <w:rPr>
                <w:rFonts w:ascii="Times New Roman" w:hAnsi="Times New Roman" w:cs="Times New Roman"/>
                <w:b/>
                <w:bCs/>
                <w:color w:val="auto"/>
                <w:sz w:val="22"/>
                <w:szCs w:val="22"/>
                <w:lang w:val="en-US"/>
              </w:rPr>
            </w:pPr>
            <w:r w:rsidRPr="008F4FC0">
              <w:rPr>
                <w:rFonts w:ascii="Times New Roman" w:hAnsi="Times New Roman" w:cs="Times New Roman"/>
                <w:color w:val="auto"/>
                <w:sz w:val="22"/>
                <w:szCs w:val="22"/>
              </w:rPr>
              <w:t>ИНН</w:t>
            </w:r>
            <w:r w:rsidRPr="008C2B99">
              <w:rPr>
                <w:rFonts w:ascii="Times New Roman" w:hAnsi="Times New Roman" w:cs="Times New Roman"/>
                <w:color w:val="auto"/>
                <w:sz w:val="22"/>
                <w:szCs w:val="22"/>
                <w:lang w:val="en-US"/>
              </w:rPr>
              <w:t xml:space="preserve"> 3666031208     </w:t>
            </w:r>
            <w:r w:rsidRPr="008F4FC0">
              <w:rPr>
                <w:rFonts w:ascii="Times New Roman" w:hAnsi="Times New Roman" w:cs="Times New Roman"/>
                <w:color w:val="auto"/>
                <w:sz w:val="22"/>
                <w:szCs w:val="22"/>
              </w:rPr>
              <w:t>КПП</w:t>
            </w:r>
            <w:r w:rsidRPr="008C2B99">
              <w:rPr>
                <w:rFonts w:ascii="Times New Roman" w:hAnsi="Times New Roman" w:cs="Times New Roman"/>
                <w:color w:val="auto"/>
                <w:sz w:val="22"/>
                <w:szCs w:val="22"/>
                <w:lang w:val="en-US"/>
              </w:rPr>
              <w:t xml:space="preserve"> 366601001</w:t>
            </w:r>
          </w:p>
          <w:p w:rsidR="008F4FC0" w:rsidRPr="008C2B99" w:rsidRDefault="008F4FC0" w:rsidP="008F4FC0">
            <w:pPr>
              <w:jc w:val="left"/>
              <w:rPr>
                <w:rFonts w:ascii="Times New Roman" w:hAnsi="Times New Roman" w:cs="Times New Roman"/>
                <w:color w:val="auto"/>
                <w:sz w:val="22"/>
                <w:szCs w:val="22"/>
                <w:lang w:val="en-US"/>
              </w:rPr>
            </w:pPr>
            <w:r w:rsidRPr="008F4FC0">
              <w:rPr>
                <w:rFonts w:ascii="Times New Roman" w:hAnsi="Times New Roman" w:cs="Times New Roman"/>
                <w:color w:val="auto"/>
                <w:sz w:val="22"/>
                <w:szCs w:val="22"/>
                <w:lang w:val="en-US"/>
              </w:rPr>
              <w:t>Email</w:t>
            </w:r>
            <w:r w:rsidRPr="008C2B99">
              <w:rPr>
                <w:rFonts w:ascii="Times New Roman" w:hAnsi="Times New Roman" w:cs="Times New Roman"/>
                <w:color w:val="auto"/>
                <w:sz w:val="22"/>
                <w:szCs w:val="22"/>
                <w:lang w:val="en-US"/>
              </w:rPr>
              <w:t xml:space="preserve">: </w:t>
            </w:r>
            <w:r w:rsidRPr="008F4FC0">
              <w:rPr>
                <w:rFonts w:ascii="Times New Roman" w:hAnsi="Times New Roman" w:cs="Times New Roman"/>
                <w:color w:val="auto"/>
                <w:sz w:val="22"/>
                <w:szCs w:val="22"/>
                <w:lang w:val="en-US"/>
              </w:rPr>
              <w:t>main</w:t>
            </w:r>
            <w:r w:rsidRPr="008C2B99">
              <w:rPr>
                <w:rFonts w:ascii="Times New Roman" w:hAnsi="Times New Roman" w:cs="Times New Roman"/>
                <w:color w:val="auto"/>
                <w:sz w:val="22"/>
                <w:szCs w:val="22"/>
                <w:lang w:val="en-US"/>
              </w:rPr>
              <w:t>@</w:t>
            </w:r>
            <w:r w:rsidRPr="008F4FC0">
              <w:rPr>
                <w:rFonts w:ascii="Times New Roman" w:hAnsi="Times New Roman" w:cs="Times New Roman"/>
                <w:color w:val="auto"/>
                <w:sz w:val="22"/>
                <w:szCs w:val="22"/>
                <w:lang w:val="en-US"/>
              </w:rPr>
              <w:t>vsau</w:t>
            </w:r>
            <w:r w:rsidRPr="008C2B99">
              <w:rPr>
                <w:rFonts w:ascii="Times New Roman" w:hAnsi="Times New Roman" w:cs="Times New Roman"/>
                <w:color w:val="auto"/>
                <w:sz w:val="22"/>
                <w:szCs w:val="22"/>
                <w:lang w:val="en-US"/>
              </w:rPr>
              <w:t>.</w:t>
            </w:r>
            <w:r w:rsidRPr="008F4FC0">
              <w:rPr>
                <w:rFonts w:ascii="Times New Roman" w:hAnsi="Times New Roman" w:cs="Times New Roman"/>
                <w:color w:val="auto"/>
                <w:sz w:val="22"/>
                <w:szCs w:val="22"/>
                <w:lang w:val="en-US"/>
              </w:rPr>
              <w:t>ru</w:t>
            </w:r>
          </w:p>
          <w:p w:rsidR="008F4FC0" w:rsidRPr="008F4FC0" w:rsidRDefault="00CB1E1A" w:rsidP="008F4FC0">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УФК ПО НИЖЕГОРОДСКОЙ ОБЛАСТИ (ФГБОУ ВО ВОРОНЕЖСКИЙ ГАУ л/с 20316У08160)</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ОКЦ № 1 ВВГУ Банка России //УФК по Нижегородской области, г. Нижний Новгород.</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БИК: 012202102</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Корреспондентский счет банка: 40102810745370000024</w:t>
            </w:r>
          </w:p>
          <w:p w:rsidR="008F4FC0" w:rsidRPr="008F4FC0"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Расчетный счет: 03214643000000013228</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ОКТМО: 20701000</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ОГРН: 1033600074090</w:t>
            </w:r>
          </w:p>
          <w:p w:rsidR="00D9215D"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602EAF">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Default="00364349" w:rsidP="00561C22">
      <w:pPr>
        <w:jc w:val="center"/>
        <w:rPr>
          <w:rFonts w:ascii="Times New Roman" w:hAnsi="Times New Roman" w:cs="Times New Roman"/>
          <w:b/>
          <w:color w:val="auto"/>
          <w:sz w:val="24"/>
          <w:szCs w:val="24"/>
          <w:lang w:val="en-US"/>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8C2B99" w:rsidP="0066173B">
      <w:pPr>
        <w:autoSpaceDE w:val="0"/>
        <w:autoSpaceDN w:val="0"/>
        <w:rPr>
          <w:rFonts w:ascii="Times New Roman" w:hAnsi="Times New Roman" w:cs="Times New Roman"/>
          <w:bCs/>
          <w:color w:val="auto"/>
          <w:sz w:val="22"/>
          <w:szCs w:val="22"/>
        </w:rPr>
      </w:pPr>
      <w:r>
        <w:rPr>
          <w:rFonts w:ascii="Times New Roman" w:hAnsi="Times New Roman" w:cs="Times New Roman"/>
          <w:bCs/>
          <w:color w:val="auto"/>
          <w:sz w:val="22"/>
          <w:szCs w:val="22"/>
        </w:rPr>
        <w:t>1.Сроки поставки товара: 7 календарных дней с даты подписания контракта.</w:t>
      </w:r>
      <w:bookmarkStart w:id="0" w:name="_GoBack"/>
      <w:bookmarkEnd w:id="0"/>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00B77B77">
        <w:rPr>
          <w:rFonts w:ascii="Times New Roman" w:hAnsi="Times New Roman" w:cs="Times New Roman"/>
          <w:color w:val="auto"/>
          <w:sz w:val="22"/>
          <w:szCs w:val="22"/>
        </w:rPr>
        <w:t xml:space="preserve">г. Воронеж, ул. </w:t>
      </w:r>
      <w:r w:rsidR="000D691C">
        <w:rPr>
          <w:rFonts w:ascii="Times New Roman" w:hAnsi="Times New Roman" w:cs="Times New Roman"/>
          <w:color w:val="auto"/>
          <w:sz w:val="22"/>
          <w:szCs w:val="22"/>
        </w:rPr>
        <w:t>Мичурина</w:t>
      </w:r>
      <w:r w:rsidR="004F0353">
        <w:rPr>
          <w:rFonts w:ascii="Times New Roman" w:hAnsi="Times New Roman" w:cs="Times New Roman"/>
          <w:color w:val="auto"/>
          <w:sz w:val="22"/>
          <w:szCs w:val="22"/>
        </w:rPr>
        <w:t xml:space="preserve">, дом </w:t>
      </w:r>
      <w:r w:rsidR="000D691C">
        <w:rPr>
          <w:rFonts w:ascii="Times New Roman" w:hAnsi="Times New Roman" w:cs="Times New Roman"/>
          <w:color w:val="auto"/>
          <w:sz w:val="22"/>
          <w:szCs w:val="22"/>
        </w:rPr>
        <w:t>1</w:t>
      </w:r>
      <w:r w:rsidR="004F0353">
        <w:rPr>
          <w:rFonts w:ascii="Times New Roman" w:hAnsi="Times New Roman" w:cs="Times New Roman"/>
          <w:color w:val="auto"/>
          <w:sz w:val="22"/>
          <w:szCs w:val="22"/>
        </w:rPr>
        <w:t>.</w:t>
      </w:r>
    </w:p>
    <w:p w:rsidR="00561C22" w:rsidRPr="008256B9"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7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894"/>
        <w:gridCol w:w="700"/>
        <w:gridCol w:w="752"/>
        <w:gridCol w:w="1667"/>
        <w:gridCol w:w="1558"/>
      </w:tblGrid>
      <w:tr w:rsidR="005C618C" w:rsidRPr="001849F6" w:rsidTr="00B77B77">
        <w:trPr>
          <w:trHeight w:val="20"/>
          <w:tblHeader/>
        </w:trPr>
        <w:tc>
          <w:tcPr>
            <w:tcW w:w="258"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154"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38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1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92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862"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B77B77">
        <w:trPr>
          <w:trHeight w:val="20"/>
        </w:trPr>
        <w:tc>
          <w:tcPr>
            <w:tcW w:w="258"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154" w:type="pct"/>
            <w:vAlign w:val="center"/>
          </w:tcPr>
          <w:p w:rsidR="005C618C" w:rsidRPr="0066173B" w:rsidRDefault="005C618C" w:rsidP="005B5135">
            <w:pPr>
              <w:rPr>
                <w:rFonts w:ascii="Times New Roman" w:hAnsi="Times New Roman" w:cs="Times New Roman"/>
                <w:color w:val="auto"/>
              </w:rPr>
            </w:pPr>
          </w:p>
        </w:tc>
        <w:tc>
          <w:tcPr>
            <w:tcW w:w="387" w:type="pct"/>
          </w:tcPr>
          <w:p w:rsidR="005C618C" w:rsidRPr="005C618C" w:rsidRDefault="001B0212"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5C618C" w:rsidRPr="00112914" w:rsidRDefault="005C618C">
            <w:pPr>
              <w:jc w:val="center"/>
              <w:rPr>
                <w:rFonts w:ascii="Times New Roman" w:hAnsi="Times New Roman" w:cs="Times New Roman"/>
                <w:color w:val="000000"/>
                <w:lang w:val="en-US"/>
              </w:rPr>
            </w:pPr>
          </w:p>
        </w:tc>
        <w:tc>
          <w:tcPr>
            <w:tcW w:w="922" w:type="pct"/>
          </w:tcPr>
          <w:p w:rsidR="005C618C" w:rsidRPr="007A5F9E" w:rsidRDefault="005C618C">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1D5253" w:rsidRPr="001D5253" w:rsidRDefault="001D5253" w:rsidP="001D5253">
      <w:pPr>
        <w:pStyle w:val="Style29"/>
        <w:tabs>
          <w:tab w:val="left" w:pos="709"/>
        </w:tabs>
        <w:spacing w:before="130" w:line="250" w:lineRule="exact"/>
        <w:rPr>
          <w:rFonts w:ascii="Times New Roman" w:hAnsi="Times New Roman"/>
          <w:bCs/>
        </w:rPr>
      </w:pPr>
      <w:r>
        <w:rPr>
          <w:rFonts w:ascii="Times New Roman" w:hAnsi="Times New Roman"/>
          <w:bCs/>
        </w:rPr>
        <w:t>-</w:t>
      </w:r>
      <w:r w:rsidR="00112914">
        <w:rPr>
          <w:rFonts w:ascii="Times New Roman" w:hAnsi="Times New Roman"/>
          <w:bCs/>
        </w:rPr>
        <w:tab/>
        <w:t>поставка товара, погрузочно-разгрузочные</w:t>
      </w:r>
      <w:r w:rsidRPr="001D5253">
        <w:rPr>
          <w:rFonts w:ascii="Times New Roman" w:hAnsi="Times New Roman"/>
          <w:bCs/>
        </w:rPr>
        <w:t xml:space="preserve"> работы</w:t>
      </w:r>
      <w:r w:rsidR="000D691C">
        <w:rPr>
          <w:rFonts w:ascii="Times New Roman" w:hAnsi="Times New Roman"/>
          <w:bCs/>
        </w:rPr>
        <w:t xml:space="preserve"> </w:t>
      </w:r>
      <w:r w:rsidRPr="001D5253">
        <w:rPr>
          <w:rFonts w:ascii="Times New Roman" w:hAnsi="Times New Roman"/>
          <w:bCs/>
        </w:rPr>
        <w:t>осуществляются за счет поставщика по адресу, указанному в п. 2 настоящего приложения;</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гарантировать заказчику передачу товаров;</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передать заказчику товар, не обремененный правами третьих лиц;</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упаковка товаров должна предотвратить их повреждение или порчу во время перевозки к конечному пункту назначения;</w:t>
      </w:r>
    </w:p>
    <w:p w:rsidR="00B545FC" w:rsidRPr="006420B8" w:rsidRDefault="001D5253" w:rsidP="001D5253">
      <w:pPr>
        <w:pStyle w:val="Style29"/>
        <w:tabs>
          <w:tab w:val="left" w:pos="709"/>
        </w:tabs>
        <w:spacing w:before="130" w:line="250" w:lineRule="exact"/>
        <w:jc w:val="both"/>
        <w:rPr>
          <w:rFonts w:ascii="Times New Roman" w:hAnsi="Times New Roman"/>
          <w:bCs/>
        </w:rPr>
      </w:pPr>
      <w:r w:rsidRPr="001D5253">
        <w:rPr>
          <w:rFonts w:ascii="Times New Roman" w:hAnsi="Times New Roman"/>
          <w:bCs/>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75" w:rsidRDefault="00450C75" w:rsidP="00804D38">
      <w:pPr>
        <w:spacing w:after="0"/>
      </w:pPr>
      <w:r>
        <w:separator/>
      </w:r>
    </w:p>
  </w:endnote>
  <w:endnote w:type="continuationSeparator" w:id="0">
    <w:p w:rsidR="00450C75" w:rsidRDefault="00450C75"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8C2B99">
      <w:rPr>
        <w:noProof/>
      </w:rPr>
      <w:t>6</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75" w:rsidRDefault="00450C75" w:rsidP="00804D38">
      <w:pPr>
        <w:spacing w:after="0"/>
      </w:pPr>
      <w:r>
        <w:separator/>
      </w:r>
    </w:p>
  </w:footnote>
  <w:footnote w:type="continuationSeparator" w:id="0">
    <w:p w:rsidR="00450C75" w:rsidRDefault="00450C75"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322D3"/>
    <w:rsid w:val="00033341"/>
    <w:rsid w:val="00033CA9"/>
    <w:rsid w:val="00036078"/>
    <w:rsid w:val="0004146F"/>
    <w:rsid w:val="000646F6"/>
    <w:rsid w:val="00070935"/>
    <w:rsid w:val="00073E84"/>
    <w:rsid w:val="000804D4"/>
    <w:rsid w:val="00084379"/>
    <w:rsid w:val="00092D49"/>
    <w:rsid w:val="00093856"/>
    <w:rsid w:val="000B400E"/>
    <w:rsid w:val="000D23F4"/>
    <w:rsid w:val="000D445A"/>
    <w:rsid w:val="000D462E"/>
    <w:rsid w:val="000D58C4"/>
    <w:rsid w:val="000D691C"/>
    <w:rsid w:val="000E1716"/>
    <w:rsid w:val="000E5922"/>
    <w:rsid w:val="000F2DD5"/>
    <w:rsid w:val="001101D7"/>
    <w:rsid w:val="001115E4"/>
    <w:rsid w:val="00112914"/>
    <w:rsid w:val="00114622"/>
    <w:rsid w:val="00115F06"/>
    <w:rsid w:val="00136BAB"/>
    <w:rsid w:val="00146B20"/>
    <w:rsid w:val="00147A10"/>
    <w:rsid w:val="00150B1D"/>
    <w:rsid w:val="0015292E"/>
    <w:rsid w:val="0015587F"/>
    <w:rsid w:val="001575AA"/>
    <w:rsid w:val="001608DF"/>
    <w:rsid w:val="0016436F"/>
    <w:rsid w:val="00174344"/>
    <w:rsid w:val="00183F56"/>
    <w:rsid w:val="001849F6"/>
    <w:rsid w:val="00195963"/>
    <w:rsid w:val="001A122A"/>
    <w:rsid w:val="001A47EA"/>
    <w:rsid w:val="001B0212"/>
    <w:rsid w:val="001B226D"/>
    <w:rsid w:val="001B7DB1"/>
    <w:rsid w:val="001D5253"/>
    <w:rsid w:val="002015E7"/>
    <w:rsid w:val="002164EB"/>
    <w:rsid w:val="002326D0"/>
    <w:rsid w:val="0024161F"/>
    <w:rsid w:val="002435C0"/>
    <w:rsid w:val="002553E4"/>
    <w:rsid w:val="00260FA1"/>
    <w:rsid w:val="00274FEC"/>
    <w:rsid w:val="0028473D"/>
    <w:rsid w:val="00291A12"/>
    <w:rsid w:val="00293E99"/>
    <w:rsid w:val="00294FB6"/>
    <w:rsid w:val="002A7B7F"/>
    <w:rsid w:val="002B0DCA"/>
    <w:rsid w:val="002B7C39"/>
    <w:rsid w:val="002C0DC0"/>
    <w:rsid w:val="002D3316"/>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75CA6"/>
    <w:rsid w:val="003840CC"/>
    <w:rsid w:val="00386E41"/>
    <w:rsid w:val="00397D97"/>
    <w:rsid w:val="003A21B1"/>
    <w:rsid w:val="003A7B43"/>
    <w:rsid w:val="003B2345"/>
    <w:rsid w:val="003B4E78"/>
    <w:rsid w:val="003C0339"/>
    <w:rsid w:val="003C761C"/>
    <w:rsid w:val="003D1156"/>
    <w:rsid w:val="003F4E17"/>
    <w:rsid w:val="003F72A4"/>
    <w:rsid w:val="004006A8"/>
    <w:rsid w:val="004115AD"/>
    <w:rsid w:val="00432257"/>
    <w:rsid w:val="0043565F"/>
    <w:rsid w:val="00441B5C"/>
    <w:rsid w:val="00445F76"/>
    <w:rsid w:val="00450A1D"/>
    <w:rsid w:val="00450C75"/>
    <w:rsid w:val="00451112"/>
    <w:rsid w:val="0047262F"/>
    <w:rsid w:val="00473449"/>
    <w:rsid w:val="0048793E"/>
    <w:rsid w:val="00487FC2"/>
    <w:rsid w:val="00493950"/>
    <w:rsid w:val="00494091"/>
    <w:rsid w:val="004B1E1D"/>
    <w:rsid w:val="004B5786"/>
    <w:rsid w:val="004B72C7"/>
    <w:rsid w:val="004C2382"/>
    <w:rsid w:val="004C58D2"/>
    <w:rsid w:val="004C5DAA"/>
    <w:rsid w:val="004C70D4"/>
    <w:rsid w:val="004E2970"/>
    <w:rsid w:val="004E7089"/>
    <w:rsid w:val="004F0353"/>
    <w:rsid w:val="004F0CB0"/>
    <w:rsid w:val="004F2CFC"/>
    <w:rsid w:val="004F3B29"/>
    <w:rsid w:val="00501C69"/>
    <w:rsid w:val="00506A30"/>
    <w:rsid w:val="00516334"/>
    <w:rsid w:val="00536D33"/>
    <w:rsid w:val="00541006"/>
    <w:rsid w:val="005446C1"/>
    <w:rsid w:val="0054489C"/>
    <w:rsid w:val="005459BD"/>
    <w:rsid w:val="00555CF6"/>
    <w:rsid w:val="00557C71"/>
    <w:rsid w:val="00561230"/>
    <w:rsid w:val="00561C22"/>
    <w:rsid w:val="005847D5"/>
    <w:rsid w:val="00597E26"/>
    <w:rsid w:val="005A3732"/>
    <w:rsid w:val="005B242D"/>
    <w:rsid w:val="005B5135"/>
    <w:rsid w:val="005B64EF"/>
    <w:rsid w:val="005C3D42"/>
    <w:rsid w:val="005C50C3"/>
    <w:rsid w:val="005C5FEE"/>
    <w:rsid w:val="005C618C"/>
    <w:rsid w:val="005D03F3"/>
    <w:rsid w:val="005D1F7B"/>
    <w:rsid w:val="005D4914"/>
    <w:rsid w:val="005D7CE0"/>
    <w:rsid w:val="005F77A2"/>
    <w:rsid w:val="00602EAF"/>
    <w:rsid w:val="00604646"/>
    <w:rsid w:val="00606403"/>
    <w:rsid w:val="00625DC2"/>
    <w:rsid w:val="0063698F"/>
    <w:rsid w:val="0064050F"/>
    <w:rsid w:val="006420B8"/>
    <w:rsid w:val="00645968"/>
    <w:rsid w:val="00645CE2"/>
    <w:rsid w:val="006515B5"/>
    <w:rsid w:val="0065309B"/>
    <w:rsid w:val="00653E05"/>
    <w:rsid w:val="0066173B"/>
    <w:rsid w:val="006621F6"/>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501D"/>
    <w:rsid w:val="00705586"/>
    <w:rsid w:val="00722CED"/>
    <w:rsid w:val="007261A6"/>
    <w:rsid w:val="00754CED"/>
    <w:rsid w:val="00761935"/>
    <w:rsid w:val="00776134"/>
    <w:rsid w:val="007A3E8C"/>
    <w:rsid w:val="007A45D7"/>
    <w:rsid w:val="007A5F9E"/>
    <w:rsid w:val="007B1AEC"/>
    <w:rsid w:val="007B6205"/>
    <w:rsid w:val="007B7DEE"/>
    <w:rsid w:val="007C00B1"/>
    <w:rsid w:val="007C2BB8"/>
    <w:rsid w:val="007E2020"/>
    <w:rsid w:val="007E6929"/>
    <w:rsid w:val="00804D38"/>
    <w:rsid w:val="00805776"/>
    <w:rsid w:val="00806D11"/>
    <w:rsid w:val="00820900"/>
    <w:rsid w:val="00824735"/>
    <w:rsid w:val="008256B9"/>
    <w:rsid w:val="00825B0B"/>
    <w:rsid w:val="00840DF7"/>
    <w:rsid w:val="00862D14"/>
    <w:rsid w:val="00866C1C"/>
    <w:rsid w:val="00873CD6"/>
    <w:rsid w:val="00881F83"/>
    <w:rsid w:val="00890825"/>
    <w:rsid w:val="008977CD"/>
    <w:rsid w:val="008978A5"/>
    <w:rsid w:val="008A1B93"/>
    <w:rsid w:val="008B082F"/>
    <w:rsid w:val="008C15D3"/>
    <w:rsid w:val="008C2B99"/>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01CF"/>
    <w:rsid w:val="00AD5A14"/>
    <w:rsid w:val="00AF53CD"/>
    <w:rsid w:val="00B04887"/>
    <w:rsid w:val="00B04948"/>
    <w:rsid w:val="00B049D0"/>
    <w:rsid w:val="00B066F5"/>
    <w:rsid w:val="00B14B47"/>
    <w:rsid w:val="00B17A30"/>
    <w:rsid w:val="00B3215E"/>
    <w:rsid w:val="00B332AA"/>
    <w:rsid w:val="00B36787"/>
    <w:rsid w:val="00B40A90"/>
    <w:rsid w:val="00B433E2"/>
    <w:rsid w:val="00B545FC"/>
    <w:rsid w:val="00B54CF5"/>
    <w:rsid w:val="00B57B6C"/>
    <w:rsid w:val="00B65880"/>
    <w:rsid w:val="00B6774A"/>
    <w:rsid w:val="00B74B4A"/>
    <w:rsid w:val="00B77B77"/>
    <w:rsid w:val="00B80698"/>
    <w:rsid w:val="00B82932"/>
    <w:rsid w:val="00B84EA9"/>
    <w:rsid w:val="00B85E65"/>
    <w:rsid w:val="00B902AC"/>
    <w:rsid w:val="00B94E5A"/>
    <w:rsid w:val="00B9799B"/>
    <w:rsid w:val="00BA78B1"/>
    <w:rsid w:val="00BB0092"/>
    <w:rsid w:val="00BB217C"/>
    <w:rsid w:val="00BB245D"/>
    <w:rsid w:val="00BB5A01"/>
    <w:rsid w:val="00BC40C4"/>
    <w:rsid w:val="00BF1115"/>
    <w:rsid w:val="00BF320D"/>
    <w:rsid w:val="00BF5C8F"/>
    <w:rsid w:val="00C0132E"/>
    <w:rsid w:val="00C112B3"/>
    <w:rsid w:val="00C11374"/>
    <w:rsid w:val="00C1214A"/>
    <w:rsid w:val="00C149CE"/>
    <w:rsid w:val="00C17A9B"/>
    <w:rsid w:val="00C2158F"/>
    <w:rsid w:val="00C24233"/>
    <w:rsid w:val="00C27DF0"/>
    <w:rsid w:val="00C30FBF"/>
    <w:rsid w:val="00C37382"/>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1E1A"/>
    <w:rsid w:val="00CB30B6"/>
    <w:rsid w:val="00CB7969"/>
    <w:rsid w:val="00CD00BF"/>
    <w:rsid w:val="00CD680D"/>
    <w:rsid w:val="00CE37E2"/>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025"/>
    <w:rsid w:val="00D974B7"/>
    <w:rsid w:val="00D977F8"/>
    <w:rsid w:val="00DA07B0"/>
    <w:rsid w:val="00DA209A"/>
    <w:rsid w:val="00DA20DE"/>
    <w:rsid w:val="00DC07CF"/>
    <w:rsid w:val="00DC124A"/>
    <w:rsid w:val="00DC2142"/>
    <w:rsid w:val="00DE631C"/>
    <w:rsid w:val="00DF28B4"/>
    <w:rsid w:val="00E02CBE"/>
    <w:rsid w:val="00E04B39"/>
    <w:rsid w:val="00E13818"/>
    <w:rsid w:val="00E1457E"/>
    <w:rsid w:val="00E30801"/>
    <w:rsid w:val="00E3568A"/>
    <w:rsid w:val="00E36438"/>
    <w:rsid w:val="00E365B5"/>
    <w:rsid w:val="00E41F0E"/>
    <w:rsid w:val="00E42E14"/>
    <w:rsid w:val="00E523E8"/>
    <w:rsid w:val="00E5316B"/>
    <w:rsid w:val="00E57FC6"/>
    <w:rsid w:val="00E63E97"/>
    <w:rsid w:val="00E76ED4"/>
    <w:rsid w:val="00E871A6"/>
    <w:rsid w:val="00EA10F1"/>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5B1F-3377-4EF1-9AEE-812EC813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2599</Words>
  <Characters>14816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2026-06-04T05:09:00Z</dcterms:created>
  <dcterms:modified xsi:type="dcterms:W3CDTF">2026-06-04T05:09:00Z</dcterms:modified>
</cp:coreProperties>
</file>