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21" w:rsidRDefault="00AD0A21" w:rsidP="00AD0A2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0A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Проек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</w:p>
    <w:p w:rsidR="00AD0A21" w:rsidRDefault="00AD0A21" w:rsidP="00AD0A2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AA2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</w:t>
      </w:r>
    </w:p>
    <w:p w:rsidR="00F70CD3" w:rsidRPr="008348A9" w:rsidRDefault="00877701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8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оборудования </w:t>
      </w:r>
      <w:r w:rsidR="00282673" w:rsidRPr="0028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 </w:t>
      </w:r>
      <w:r w:rsidR="00C33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оснащения</w:t>
      </w:r>
      <w:r w:rsidR="00282673" w:rsidRPr="0028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химико-аналитической лаборатории г. </w:t>
      </w:r>
      <w:proofErr w:type="spellStart"/>
      <w:r w:rsidR="00282673" w:rsidRPr="0028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Лесосибирск</w:t>
      </w:r>
      <w:proofErr w:type="spellEnd"/>
    </w:p>
    <w:p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ED6" w:rsidRPr="0077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206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355"/>
        <w:gridCol w:w="4851"/>
      </w:tblGrid>
      <w:tr w:rsidR="00F70CD3" w:rsidRPr="008348A9" w:rsidTr="00AD0A21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CD3" w:rsidRPr="008348A9" w:rsidRDefault="00754877" w:rsidP="00AD0A21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AD0A21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proofErr w:type="spellStart"/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</w:t>
      </w:r>
      <w:proofErr w:type="spellEnd"/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и </w:t>
      </w:r>
      <w:r w:rsidR="00216AD9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20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6E81" w:rsidRPr="00206E81">
        <w:rPr>
          <w:rFonts w:ascii="Times New Roman" w:hAnsi="Times New Roman" w:cs="Times New Roman"/>
          <w:sz w:val="24"/>
          <w:szCs w:val="24"/>
        </w:rPr>
        <w:t>(далее</w:t>
      </w:r>
      <w:r w:rsidR="00206E8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16AD9">
        <w:rPr>
          <w:rFonts w:ascii="Times New Roman" w:hAnsi="Times New Roman" w:cs="Times New Roman"/>
          <w:b/>
          <w:bCs/>
          <w:sz w:val="24"/>
          <w:szCs w:val="24"/>
        </w:rPr>
        <w:t>____________________)</w:t>
      </w:r>
      <w:r w:rsidR="00754877" w:rsidRPr="00206E8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,</w:t>
      </w:r>
      <w:r w:rsidR="00754877" w:rsidRPr="007548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именуемое в дальнейшем</w:t>
      </w:r>
      <w:r w:rsidR="00754877" w:rsidRPr="007548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«Поставщик»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754877" w:rsidRPr="007548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лице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действующего на основании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с другой стороны, именуемые в дальнейшем 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 ч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F23443" w:rsidRPr="00CC5D44" w:rsidRDefault="00F70CD3" w:rsidP="00754877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обязуется поставить Товар в количестве и ассортименте в соответствии со Спецификацией (Приложение № 1 к Договору), являющейся неотъемлемой частью настоящего Договора</w:t>
      </w:r>
      <w:r w:rsidR="00BC177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Покупатель обязуется принять и оплатить качествен</w:t>
      </w:r>
      <w:r w:rsidR="00F2344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ный Товар на условиях Договора.</w:t>
      </w:r>
    </w:p>
    <w:p w:rsidR="00F23443" w:rsidRPr="00CC5D44" w:rsidRDefault="00F23443" w:rsidP="00754877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Наименование, количество, функциональные, технические и качественные характеристики поставляемого Товара установлены в Спецификации (Приложение № </w:t>
      </w:r>
      <w:r w:rsidR="0016541A">
        <w:rPr>
          <w:rFonts w:ascii="Times New Roman" w:eastAsia="Calibri" w:hAnsi="Times New Roman" w:cs="Times New Roman"/>
          <w:sz w:val="24"/>
          <w:szCs w:val="24"/>
          <w:lang w:eastAsia="ru-RU"/>
        </w:rPr>
        <w:t>1 к Договору</w:t>
      </w:r>
      <w:r w:rsidR="00BC177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C5D4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54877" w:rsidRPr="00754877" w:rsidRDefault="00754877" w:rsidP="00754877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 дня заключения Договора </w:t>
      </w:r>
      <w:r w:rsidR="00AD0A2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9956AE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AD0A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956AE"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="007647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D0A21">
        <w:rPr>
          <w:rFonts w:ascii="Times New Roman" w:eastAsia="Calibri" w:hAnsi="Times New Roman" w:cs="Times New Roman"/>
          <w:sz w:val="24"/>
          <w:szCs w:val="24"/>
          <w:lang w:eastAsia="ru-RU"/>
        </w:rPr>
        <w:t>2026 включительно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70CD3" w:rsidRDefault="00754877" w:rsidP="00D24A2F">
      <w:pPr>
        <w:pStyle w:val="ab"/>
        <w:numPr>
          <w:ilvl w:val="1"/>
          <w:numId w:val="6"/>
        </w:numPr>
        <w:suppressAutoHyphens/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>РФ,</w:t>
      </w:r>
      <w:r w:rsidR="009421BD" w:rsidRPr="00D24A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4A2F" w:rsidRPr="00D24A2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Красноярский край, г. </w:t>
      </w:r>
      <w:proofErr w:type="spellStart"/>
      <w:r w:rsidR="00D24A2F" w:rsidRPr="00D24A2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Лесосибирск</w:t>
      </w:r>
      <w:proofErr w:type="spellEnd"/>
      <w:r w:rsidR="00D24A2F" w:rsidRPr="00D24A2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, ул. Дзержинского, д. 8, пом. 10</w:t>
      </w:r>
      <w:r w:rsidR="009416D0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</w:t>
      </w:r>
      <w:r w:rsidR="00D24A2F" w:rsidRPr="00D24A2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/1.</w:t>
      </w:r>
    </w:p>
    <w:p w:rsidR="00D24A2F" w:rsidRPr="00D24A2F" w:rsidRDefault="00D24A2F" w:rsidP="00D24A2F">
      <w:pPr>
        <w:pStyle w:val="ab"/>
        <w:suppressAutoHyphens/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</w:p>
    <w:p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:rsidR="00F70CD3" w:rsidRPr="004B1A42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копеек, </w:t>
      </w:r>
      <w:r w:rsidR="004E0C21" w:rsidRPr="004E0C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(в </w:t>
      </w:r>
      <w:proofErr w:type="spellStart"/>
      <w:r w:rsidR="004E0C21" w:rsidRPr="004E0C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т.ч</w:t>
      </w:r>
      <w:proofErr w:type="spellEnd"/>
      <w:r w:rsidR="004E0C21" w:rsidRPr="004E0C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НДС/ НДС не облагается)</w:t>
      </w:r>
      <w:r w:rsid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Законом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статьями 34 и 95 Закона № 44-ФЗ.</w:t>
      </w:r>
    </w:p>
    <w:p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BE7440" w:rsidRDefault="006170B4" w:rsidP="00BE744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</w:t>
      </w:r>
      <w:r w:rsidRP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  <w:r w:rsidR="005B6A90" w:rsidRP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BE7440" w:rsidRPr="00FA2450">
        <w:rPr>
          <w:rFonts w:ascii="Times New Roman" w:eastAsia="Calibri" w:hAnsi="Times New Roman" w:cs="Times New Roman"/>
          <w:color w:val="00000A"/>
          <w:sz w:val="24"/>
          <w:szCs w:val="24"/>
        </w:rPr>
        <w:t>Средства бюджетного учреждения (</w:t>
      </w:r>
      <w:r w:rsidR="00910530" w:rsidRPr="00910530">
        <w:rPr>
          <w:rFonts w:ascii="Times New Roman" w:eastAsia="Calibri" w:hAnsi="Times New Roman" w:cs="Times New Roman"/>
          <w:color w:val="00000A"/>
          <w:sz w:val="24"/>
          <w:szCs w:val="24"/>
        </w:rPr>
        <w:t>иные субсидии в целях создания и приобретения нефинансовых активов</w:t>
      </w:r>
      <w:r w:rsidR="00BE7440" w:rsidRPr="00FA2450">
        <w:rPr>
          <w:rFonts w:ascii="Times New Roman" w:eastAsia="Calibri" w:hAnsi="Times New Roman" w:cs="Times New Roman"/>
          <w:color w:val="00000A"/>
          <w:sz w:val="24"/>
          <w:szCs w:val="24"/>
        </w:rPr>
        <w:t>) КБК 1690605122Ч472060612 Федеральный проект «Чистый воздух»</w:t>
      </w:r>
      <w:r w:rsidR="00BE7440" w:rsidRPr="009421BD">
        <w:rPr>
          <w:rFonts w:ascii="Times New Roman" w:eastAsia="Calibri" w:hAnsi="Times New Roman" w:cs="Times New Roman"/>
          <w:sz w:val="24"/>
          <w:szCs w:val="24"/>
        </w:rPr>
        <w:t>.</w:t>
      </w:r>
      <w:r w:rsidR="000467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:rsidR="00F70CD3" w:rsidRPr="00CC5D44" w:rsidRDefault="005B6A9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средств с расчетного счета Покупателя.</w:t>
      </w:r>
    </w:p>
    <w:p w:rsidR="00F70CD3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:rsidR="00A93921" w:rsidRDefault="00F70CD3" w:rsidP="00A93921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Поставляемый Товар должен быть новым Товаром</w:t>
      </w:r>
      <w:r w:rsidR="0053260D" w:rsidRPr="0053260D">
        <w:rPr>
          <w:rFonts w:ascii="Times New Roman" w:eastAsia="Times New Roman" w:hAnsi="Times New Roman" w:cs="Times New Roman"/>
          <w:lang w:eastAsia="zh-CN"/>
        </w:rPr>
        <w:t xml:space="preserve"> </w:t>
      </w:r>
      <w:r w:rsidR="0053260D" w:rsidRPr="0053260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не ранее </w:t>
      </w:r>
      <w:r w:rsidR="0053260D" w:rsidRPr="00B15F9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2026 года выпуска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Спецификацией.</w:t>
      </w:r>
    </w:p>
    <w:p w:rsidR="00F70CD3" w:rsidRPr="00E82D19" w:rsidRDefault="00F70CD3" w:rsidP="00A93921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Вместе с Товаром Поставщик обязуется передать Покупателю следующие документы: товарные накладные (УПД), счета-фактуры, </w:t>
      </w:r>
      <w:r w:rsidR="00643F17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паспорт</w:t>
      </w:r>
      <w:r w:rsidR="00E94C4E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инструкци</w:t>
      </w:r>
      <w:r w:rsidR="00E94C4E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</w:t>
      </w:r>
      <w:r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</w:t>
      </w:r>
      <w:r w:rsidR="00B15F9C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ли </w:t>
      </w:r>
      <w:r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руководств</w:t>
      </w:r>
      <w:r w:rsidR="00E94C4E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эксплуатации на русском языке, гарантийны</w:t>
      </w:r>
      <w:r w:rsidR="00E94C4E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="00F65A61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талон</w:t>
      </w:r>
      <w:r w:rsidR="00E94C4E" w:rsidRPr="00A939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ы</w:t>
      </w:r>
      <w:r w:rsidR="00D65A8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Спецификации (Приложение №1 к Договору). 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Спецификацией,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:rsidR="00F70CD3" w:rsidRPr="00875334" w:rsidRDefault="00F70CD3" w:rsidP="00875334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Гарантийный срок Товара составляет не менее </w:t>
      </w:r>
      <w:r w:rsidR="00BE744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12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BE744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двенадцати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месяцев, при этом он не может быть менее срока гарантии, установленного производителем данного Товара (с момента передачи Товара). 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в течение гарантийного срока и при нормальных условиях эксплуатации выявляются дефекты, Поставщик обязан за свой счет и независимо от того, могли ли быть выявлены эти дефекты или нет во время приемки, устранить такие дефекты или заменить некачественный Товар. </w:t>
      </w:r>
    </w:p>
    <w:p w:rsidR="00F70CD3" w:rsidRPr="00CC5D44" w:rsidRDefault="00F70CD3" w:rsidP="004B1A42">
      <w:pPr>
        <w:pStyle w:val="ab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не несет гарантийных обязательств, если недостатки Товара возникли по вине Покупателя в связи с нарушением технических и иных требований, связанных с хранением, эксплуатацией или использованием Товара, а также вследствие произведенных Покупателем изменений Товара.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Гарантийный срок, установленный Договором, продлевается на период, когда Покупатель не мог пользоваться Товаром из-за обнаруженных в Товаре недостатков, при условии, что Поставщик был извещен Покупателем об обнаружении недостатков в письменной форме в течение 5 (пяти) рабочих дней со дня обнаружения недостатков в пределах установленного гарантийного срока.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После замены Товара в отношении замененного Товара устанавливается новый гарантийный срок, указанный в пункте 3.5. Договора, от даты приемки Покупателем замененного Товара от Поставщика.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должен обеспечить надлежащую упаковку Товара, способную предотвратить его повреждение или порчу во время перевозки к конечному пункту. Упаковка Товара должна полностью соответствовать условиям транспортировки, предъявляемым к данному виду Товара, а также быть пригодной для транспортировки всеми видами транспорта.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 упаковке должна быть маркировка с указанием наименования Товара, наименования производителя, количества единиц Товара, состава продукта, веса брутто, веса нетто, условий хранения.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Тара (упаковочные материалы) возврату не подлежат. Стоимость упаковочных материалов включается в стоимость Товара.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:rsidR="00BA3A9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Товар поставляется </w:t>
      </w:r>
      <w:r w:rsidR="00AD0A2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Покупателю</w:t>
      </w: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4.2. Одновременно с Товаром Поставщик обязан передать Покупателю относящиеся к Товару принадлежности и документы, указанные в п. 3.2</w:t>
      </w:r>
      <w:bookmarkEnd w:id="0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Договора.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4.3. 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Покупатель в срок не более </w:t>
      </w:r>
      <w:r w:rsidR="00AD0A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10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AD0A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десяти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полученные от Поставщика товарные накладные (УПД).</w:t>
      </w:r>
    </w:p>
    <w:p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4.4. Товар считается принятым Покупателем с момента подписания им товарных накладных (УПД). Риск случайной гибели и случайного повреждения Товара переходит на Покупателя с момента принятия им Товара.</w:t>
      </w:r>
    </w:p>
    <w:p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4.6. Для проверки соответствия поставляемого Товара требованиям,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:rsidR="00502297" w:rsidRPr="00CC5D44" w:rsidRDefault="00502297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 (далее - Правила),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</w:t>
      </w:r>
      <w:r w:rsidRPr="00CD20DC">
        <w:rPr>
          <w:rFonts w:ascii="Times New Roman" w:hAnsi="Times New Roman" w:cs="Times New Roman"/>
          <w:sz w:val="24"/>
          <w:szCs w:val="24"/>
        </w:rPr>
        <w:lastRenderedPageBreak/>
        <w:t xml:space="preserve">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Поставщик предоставляет </w:t>
      </w:r>
      <w:r w:rsidR="00AD0A21">
        <w:rPr>
          <w:rFonts w:ascii="Times New Roman" w:hAnsi="Times New Roman" w:cs="Times New Roman"/>
          <w:sz w:val="24"/>
          <w:szCs w:val="24"/>
        </w:rPr>
        <w:t>Покупателю</w:t>
      </w:r>
      <w:r w:rsidRPr="00CD20DC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заверенную копию платёжного поручения с отметкой банка, в течение 2 рабочих дней с момента оплаты штрафов</w:t>
      </w:r>
    </w:p>
    <w:p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F70CD3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:rsidR="00F70CD3" w:rsidRPr="00CC5D44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Арбитражном суде Красноярского края. </w:t>
      </w:r>
    </w:p>
    <w:p w:rsidR="006170B4" w:rsidRDefault="006170B4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7A5041" w:rsidRPr="00E208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01</w:t>
      </w:r>
      <w:r w:rsidR="009421BD" w:rsidRPr="00E208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.1</w:t>
      </w:r>
      <w:r w:rsidR="007A5041" w:rsidRPr="00E208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9421BD" w:rsidRPr="00E208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.202</w:t>
      </w:r>
      <w:r w:rsidR="00AD0A21" w:rsidRPr="00E208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</w:t>
      </w:r>
      <w:r w:rsid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:rsidR="00F70CD3" w:rsidRPr="0052267D" w:rsidRDefault="0052267D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:rsidTr="007B2831">
        <w:tc>
          <w:tcPr>
            <w:tcW w:w="5454" w:type="dxa"/>
            <w:shd w:val="clear" w:color="auto" w:fill="auto"/>
            <w:hideMark/>
          </w:tcPr>
          <w:p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:rsidTr="007B2831">
        <w:trPr>
          <w:trHeight w:val="266"/>
        </w:trPr>
        <w:tc>
          <w:tcPr>
            <w:tcW w:w="5454" w:type="dxa"/>
            <w:shd w:val="clear" w:color="auto" w:fill="auto"/>
          </w:tcPr>
          <w:p w:rsidR="0052267D" w:rsidRPr="0011426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:rsidR="0052267D" w:rsidRPr="00074548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267D" w:rsidRPr="00114260" w:rsidTr="00AD0A21">
        <w:trPr>
          <w:trHeight w:val="5341"/>
        </w:trPr>
        <w:tc>
          <w:tcPr>
            <w:tcW w:w="5454" w:type="dxa"/>
            <w:shd w:val="clear" w:color="auto" w:fill="auto"/>
          </w:tcPr>
          <w:p w:rsidR="0052267D" w:rsidRPr="00AD0A21" w:rsidRDefault="005226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1"/>
                <w:szCs w:val="21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Адрес места нахождения</w:t>
            </w:r>
            <w:r w:rsidR="0016541A"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/адрес для корреспонденции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: 660049, Красноярский край, </w:t>
            </w:r>
            <w:r w:rsidR="006170B4"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br/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г. Красноярск, ул. Сурикова, 28</w:t>
            </w:r>
          </w:p>
          <w:p w:rsidR="0052267D" w:rsidRPr="00AD0A21" w:rsidRDefault="005226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1"/>
                <w:szCs w:val="21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тел/факс (391) 227-29-75/ 265-16-27</w:t>
            </w:r>
          </w:p>
          <w:p w:rsidR="0052267D" w:rsidRPr="00AD0A21" w:rsidRDefault="00531B9B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val="en-US" w:eastAsia="ru-RU"/>
                </w:rPr>
                <w:t>sugms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eastAsia="ru-RU"/>
                </w:rPr>
                <w:t>@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val="en-US" w:eastAsia="ru-RU"/>
                </w:rPr>
                <w:t>krasmeteo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eastAsia="ru-RU"/>
                </w:rPr>
                <w:t>.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val="en-US" w:eastAsia="ru-RU"/>
                </w:rPr>
                <w:t>ru</w:t>
              </w:r>
            </w:hyperlink>
          </w:p>
          <w:p w:rsidR="0052267D" w:rsidRPr="00AD0A21" w:rsidRDefault="005226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1"/>
                <w:szCs w:val="21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ИНН/КПП 2466254950/246601001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БИК: 015004950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Наименование банка: ОКЦ № 1 </w:t>
            </w:r>
            <w:proofErr w:type="spellStart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СибГУ</w:t>
            </w:r>
            <w:proofErr w:type="spellEnd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 xml:space="preserve"> Банка России //УФК по Новосибирской области, </w:t>
            </w: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br/>
              <w:t>г. Новосибирск 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Единый казначейский счет: 40102810445370000043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Расчетный счет: 03214643000000015107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 xml:space="preserve">Получатель: УФК по Новосибирской области (ФГБУ «Среднесибирское УГМС» 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proofErr w:type="gramStart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л</w:t>
            </w:r>
            <w:proofErr w:type="gramEnd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/с 2</w:t>
            </w:r>
            <w:r w:rsidR="00F8186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1</w:t>
            </w: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196Ш78870)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ОГРН: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1122468052937 </w:t>
            </w: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ОКПО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14853605;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ОКВЭД2 71.12.5, 71.12.52, 52.29, 62.09, 71.12.61, 71.12.62, 71.12.55, 71.12.64, 71.12.57, 71.12.54, 71.12.53, 71.12.63;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ОКТМО 04701000; </w:t>
            </w: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ОКОГУ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1323005; </w:t>
            </w: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ОКФС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12; 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ОКОПФ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75103</w:t>
            </w:r>
          </w:p>
          <w:p w:rsidR="0052267D" w:rsidRDefault="0052267D" w:rsidP="006170B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Дата постановки на налоговый учет 24.09.2012</w:t>
            </w:r>
          </w:p>
          <w:p w:rsidR="0028103D" w:rsidRPr="0052267D" w:rsidRDefault="0028103D" w:rsidP="006170B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:rsidR="008721F5" w:rsidRPr="0052267D" w:rsidRDefault="008721F5" w:rsidP="001654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:rsidTr="007B2831">
        <w:tc>
          <w:tcPr>
            <w:tcW w:w="5454" w:type="dxa"/>
          </w:tcPr>
          <w:p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proofErr w:type="spellStart"/>
            <w:r w:rsidR="0016541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 w:rsidR="0016541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D9" w:rsidRDefault="00216AD9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_____________________/</w:t>
            </w:r>
            <w:r w:rsidR="00216AD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________________/</w:t>
            </w:r>
          </w:p>
          <w:p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0B4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14260" w:rsidRDefault="00114260" w:rsidP="004B1A42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14260" w:rsidSect="00A973B8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6541A" w:rsidRDefault="00156D6C" w:rsidP="00156D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16541A" w:rsidRPr="00D27224" w:rsidRDefault="00156D6C" w:rsidP="00156D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165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</w:p>
    <w:p w:rsidR="0016541A" w:rsidRPr="00E44E36" w:rsidRDefault="00156D6C" w:rsidP="00E44E3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16541A" w:rsidRPr="009D79A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________ № ______</w:t>
      </w:r>
    </w:p>
    <w:p w:rsidR="0016541A" w:rsidRPr="00A15B3B" w:rsidRDefault="0016541A" w:rsidP="0016541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Спецификация</w:t>
      </w:r>
    </w:p>
    <w:p w:rsidR="0016541A" w:rsidRPr="00D27224" w:rsidRDefault="0016541A" w:rsidP="0016541A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985"/>
        <w:gridCol w:w="1701"/>
        <w:gridCol w:w="1276"/>
        <w:gridCol w:w="850"/>
        <w:gridCol w:w="1276"/>
        <w:gridCol w:w="1843"/>
      </w:tblGrid>
      <w:tr w:rsidR="002D4B52" w:rsidRPr="00D27224" w:rsidTr="00662116"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AFA" w:rsidRPr="00D27224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160012957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41AFA" w:rsidRPr="00ED4B81" w:rsidRDefault="00C41AFA" w:rsidP="00B254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описание (характеристики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41AFA" w:rsidRPr="00ED4B81" w:rsidRDefault="00C41AFA" w:rsidP="00B254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ОКПД2/КТРУ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AFA" w:rsidRPr="00ED4B81" w:rsidRDefault="00C41AFA" w:rsidP="00E33F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Страна проис</w:t>
            </w:r>
            <w:r>
              <w:rPr>
                <w:rFonts w:ascii="Times New Roman" w:eastAsia="Calibri" w:hAnsi="Times New Roman" w:cs="Times New Roman"/>
                <w:lang w:eastAsia="ru-RU"/>
              </w:rPr>
              <w:t>хо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Единица</w:t>
            </w:r>
          </w:p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измерения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tabs>
                <w:tab w:val="left" w:pos="22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Кол-во Товара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Цена Товара </w:t>
            </w:r>
          </w:p>
        </w:tc>
      </w:tr>
      <w:tr w:rsidR="002D4B52" w:rsidRPr="00D27224" w:rsidTr="00662116">
        <w:trPr>
          <w:trHeight w:val="76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D27224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F340FD">
            <w:pPr>
              <w:widowControl w:val="0"/>
              <w:suppressAutoHyphens/>
              <w:spacing w:after="0" w:line="240" w:lineRule="auto"/>
              <w:ind w:left="-303" w:firstLine="30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Цена ед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C41AFA" w:rsidRPr="00ED4B81" w:rsidRDefault="00C41AFA" w:rsidP="00F340FD">
            <w:pPr>
              <w:widowControl w:val="0"/>
              <w:suppressAutoHyphens/>
              <w:spacing w:after="0" w:line="240" w:lineRule="auto"/>
              <w:ind w:left="-303" w:firstLine="30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</w:t>
            </w:r>
            <w:proofErr w:type="spellStart"/>
            <w:r w:rsidRPr="00ED4B81">
              <w:rPr>
                <w:rFonts w:ascii="Times New Roman" w:eastAsia="Calibri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C01D21" w:rsidRDefault="00C01D21" w:rsidP="00F340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01D21">
              <w:rPr>
                <w:rFonts w:ascii="Times New Roman" w:eastAsia="Calibri" w:hAnsi="Times New Roman" w:cs="Times New Roman"/>
                <w:lang w:eastAsia="ru-RU"/>
              </w:rPr>
              <w:t>Цена Товара, руб. (в т.ч. НДС/ НДС не облагается)</w:t>
            </w:r>
          </w:p>
        </w:tc>
      </w:tr>
      <w:tr w:rsidR="00E12206" w:rsidRPr="00D27224" w:rsidTr="0067685D">
        <w:trPr>
          <w:trHeight w:val="22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6" w:rsidRPr="00C35F66" w:rsidRDefault="00E12206" w:rsidP="00FA091B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C35F6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99A" w:rsidRPr="00800F52" w:rsidRDefault="00DE54EB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DE54EB">
              <w:rPr>
                <w:rFonts w:ascii="Times New Roman" w:hAnsi="Times New Roman" w:cs="Times New Roman"/>
                <w:b/>
              </w:rPr>
              <w:t>Сушилка для посуды  СУШ-27-4</w:t>
            </w:r>
            <w:r w:rsidR="002839C6" w:rsidRPr="00800F52">
              <w:rPr>
                <w:rFonts w:ascii="Times New Roman" w:hAnsi="Times New Roman" w:cs="Times New Roman"/>
                <w:b/>
              </w:rPr>
              <w:tab/>
            </w:r>
          </w:p>
          <w:p w:rsidR="00800F52" w:rsidRPr="00800F52" w:rsidRDefault="00800F52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исполнения:</w:t>
            </w:r>
            <w:r w:rsidR="000C3167">
              <w:rPr>
                <w:rFonts w:ascii="Times New Roman" w:hAnsi="Times New Roman" w:cs="Times New Roman"/>
              </w:rPr>
              <w:t xml:space="preserve"> </w:t>
            </w:r>
            <w:r w:rsidRPr="00800F52">
              <w:rPr>
                <w:rFonts w:ascii="Times New Roman" w:hAnsi="Times New Roman" w:cs="Times New Roman"/>
              </w:rPr>
              <w:t>полипропилен</w:t>
            </w:r>
            <w:r w:rsidR="000C3167">
              <w:rPr>
                <w:rFonts w:ascii="Times New Roman" w:hAnsi="Times New Roman" w:cs="Times New Roman"/>
              </w:rPr>
              <w:t>;</w:t>
            </w:r>
          </w:p>
          <w:p w:rsidR="00800F52" w:rsidRPr="00800F52" w:rsidRDefault="00800F52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00F52">
              <w:rPr>
                <w:rFonts w:ascii="Times New Roman" w:hAnsi="Times New Roman" w:cs="Times New Roman"/>
              </w:rPr>
              <w:t>Количество мест: 27</w:t>
            </w:r>
          </w:p>
          <w:p w:rsidR="00800F52" w:rsidRPr="00800F52" w:rsidRDefault="000C3167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Габаритные размеры: </w:t>
            </w:r>
            <w:r w:rsidR="00531B9B">
              <w:rPr>
                <w:rFonts w:ascii="Times New Roman" w:hAnsi="Times New Roman" w:cs="Times New Roman"/>
              </w:rPr>
              <w:t xml:space="preserve">высота 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 xml:space="preserve"> ≤ 550 </w:t>
            </w:r>
            <w:r w:rsidR="00E162F9">
              <w:rPr>
                <w:rFonts w:ascii="Times New Roman" w:hAnsi="Times New Roman" w:cs="Times New Roman"/>
              </w:rPr>
              <w:t>м</w:t>
            </w:r>
            <w:r w:rsidR="006F5592" w:rsidRPr="006F5592">
              <w:rPr>
                <w:rFonts w:ascii="Times New Roman" w:hAnsi="Times New Roman" w:cs="Times New Roman"/>
              </w:rPr>
              <w:t>иллиметр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C3167" w:rsidRDefault="000C3167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Габаритные размеры: ширина </w:t>
            </w:r>
            <w:r w:rsidR="00800F52" w:rsidRPr="00800F52">
              <w:rPr>
                <w:rFonts w:ascii="Times New Roman" w:hAnsi="Times New Roman" w:cs="Times New Roman"/>
              </w:rPr>
              <w:t xml:space="preserve">≤ </w:t>
            </w:r>
            <w:r>
              <w:rPr>
                <w:rFonts w:ascii="Times New Roman" w:hAnsi="Times New Roman" w:cs="Times New Roman"/>
              </w:rPr>
              <w:t xml:space="preserve">400  </w:t>
            </w:r>
            <w:r w:rsidR="00E162F9">
              <w:rPr>
                <w:rFonts w:ascii="Times New Roman" w:hAnsi="Times New Roman" w:cs="Times New Roman"/>
              </w:rPr>
              <w:t>м</w:t>
            </w:r>
            <w:r w:rsidR="006F5592" w:rsidRPr="006F5592">
              <w:rPr>
                <w:rFonts w:ascii="Times New Roman" w:hAnsi="Times New Roman" w:cs="Times New Roman"/>
              </w:rPr>
              <w:t>иллиметр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00F52" w:rsidRPr="00800F52" w:rsidRDefault="000C3167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Габаритные размеры: </w:t>
            </w:r>
            <w:r w:rsidR="00531B9B">
              <w:rPr>
                <w:rFonts w:ascii="Times New Roman" w:hAnsi="Times New Roman" w:cs="Times New Roman"/>
              </w:rPr>
              <w:t>глубина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0F52" w:rsidRPr="00800F52">
              <w:rPr>
                <w:rFonts w:ascii="Times New Roman" w:hAnsi="Times New Roman" w:cs="Times New Roman"/>
              </w:rPr>
              <w:t>≤ 108</w:t>
            </w:r>
            <w:r>
              <w:t xml:space="preserve"> </w:t>
            </w:r>
            <w:r w:rsidR="00E162F9">
              <w:rPr>
                <w:rFonts w:ascii="Times New Roman" w:hAnsi="Times New Roman" w:cs="Times New Roman"/>
              </w:rPr>
              <w:t>м</w:t>
            </w:r>
            <w:r w:rsidR="006F5592" w:rsidRPr="006F5592">
              <w:rPr>
                <w:rFonts w:ascii="Times New Roman" w:hAnsi="Times New Roman" w:cs="Times New Roman"/>
              </w:rPr>
              <w:t>иллиметр</w:t>
            </w:r>
            <w:r w:rsidRPr="000C3167">
              <w:rPr>
                <w:rFonts w:ascii="Times New Roman" w:hAnsi="Times New Roman" w:cs="Times New Roman"/>
              </w:rPr>
              <w:t>;</w:t>
            </w:r>
          </w:p>
          <w:p w:rsidR="00800F52" w:rsidRPr="00800F52" w:rsidRDefault="00800F52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00F52">
              <w:rPr>
                <w:rFonts w:ascii="Times New Roman" w:hAnsi="Times New Roman" w:cs="Times New Roman"/>
              </w:rPr>
              <w:t>Нижний край сушилки</w:t>
            </w:r>
            <w:r w:rsidR="000C3167">
              <w:rPr>
                <w:rFonts w:ascii="Times New Roman" w:hAnsi="Times New Roman" w:cs="Times New Roman"/>
              </w:rPr>
              <w:t xml:space="preserve">: </w:t>
            </w:r>
            <w:r w:rsidRPr="00800F52">
              <w:rPr>
                <w:rFonts w:ascii="Times New Roman" w:hAnsi="Times New Roman" w:cs="Times New Roman"/>
              </w:rPr>
              <w:t>300-350 мм от столешницы</w:t>
            </w:r>
            <w:r w:rsidR="000C3167">
              <w:rPr>
                <w:rFonts w:ascii="Times New Roman" w:hAnsi="Times New Roman" w:cs="Times New Roman"/>
              </w:rPr>
              <w:t>;</w:t>
            </w:r>
          </w:p>
          <w:p w:rsidR="000C3167" w:rsidRDefault="00800F52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00F52">
              <w:rPr>
                <w:rFonts w:ascii="Times New Roman" w:hAnsi="Times New Roman" w:cs="Times New Roman"/>
              </w:rPr>
              <w:t>Крепление к столу-мойке</w:t>
            </w:r>
            <w:r w:rsidR="000C3167">
              <w:rPr>
                <w:rFonts w:ascii="Times New Roman" w:hAnsi="Times New Roman" w:cs="Times New Roman"/>
              </w:rPr>
              <w:t xml:space="preserve">: </w:t>
            </w:r>
            <w:r w:rsidRPr="00800F52">
              <w:rPr>
                <w:rFonts w:ascii="Times New Roman" w:hAnsi="Times New Roman" w:cs="Times New Roman"/>
              </w:rPr>
              <w:t>наличие</w:t>
            </w:r>
            <w:r w:rsidR="000C3167">
              <w:rPr>
                <w:rFonts w:ascii="Times New Roman" w:hAnsi="Times New Roman" w:cs="Times New Roman"/>
              </w:rPr>
              <w:t>;</w:t>
            </w:r>
            <w:r w:rsidR="000C3167">
              <w:rPr>
                <w:rFonts w:ascii="Times New Roman" w:hAnsi="Times New Roman" w:cs="Times New Roman"/>
              </w:rPr>
              <w:tab/>
            </w:r>
          </w:p>
          <w:p w:rsidR="00800F52" w:rsidRPr="008B62B8" w:rsidRDefault="00800F52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00F52">
              <w:rPr>
                <w:rFonts w:ascii="Times New Roman" w:hAnsi="Times New Roman" w:cs="Times New Roman"/>
              </w:rPr>
              <w:t>Брызгозащитный экран</w:t>
            </w:r>
            <w:r w:rsidR="000C3167">
              <w:rPr>
                <w:rFonts w:ascii="Times New Roman" w:hAnsi="Times New Roman" w:cs="Times New Roman"/>
              </w:rPr>
              <w:t xml:space="preserve">: </w:t>
            </w:r>
            <w:r w:rsidRPr="00800F52">
              <w:rPr>
                <w:rFonts w:ascii="Times New Roman" w:hAnsi="Times New Roman" w:cs="Times New Roman"/>
              </w:rPr>
              <w:t>наличие</w:t>
            </w:r>
            <w:r w:rsidRPr="00800F5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206" w:rsidRDefault="00E12206" w:rsidP="009B1843">
            <w:pPr>
              <w:rPr>
                <w:rFonts w:ascii="Times New Roman" w:hAnsi="Times New Roman" w:cs="Times New Roman"/>
              </w:rPr>
            </w:pPr>
            <w:r w:rsidRPr="00E12206">
              <w:rPr>
                <w:rFonts w:ascii="Times New Roman" w:hAnsi="Times New Roman" w:cs="Times New Roman"/>
              </w:rPr>
              <w:t xml:space="preserve"> </w:t>
            </w:r>
            <w:r w:rsidR="002839C6" w:rsidRPr="002839C6">
              <w:rPr>
                <w:rFonts w:ascii="Times New Roman" w:hAnsi="Times New Roman" w:cs="Times New Roman"/>
              </w:rPr>
              <w:t>22.29.29.190</w:t>
            </w:r>
          </w:p>
          <w:p w:rsidR="00E12206" w:rsidRDefault="00E12206" w:rsidP="009B1843">
            <w:pPr>
              <w:rPr>
                <w:rFonts w:ascii="Times New Roman" w:hAnsi="Times New Roman" w:cs="Times New Roman"/>
              </w:rPr>
            </w:pPr>
          </w:p>
          <w:p w:rsidR="00E12206" w:rsidRDefault="00E12206" w:rsidP="009B1843">
            <w:pPr>
              <w:rPr>
                <w:rFonts w:ascii="Times New Roman" w:hAnsi="Times New Roman" w:cs="Times New Roman"/>
              </w:rPr>
            </w:pPr>
          </w:p>
          <w:p w:rsidR="00E12206" w:rsidRDefault="00E12206" w:rsidP="009B1843">
            <w:pPr>
              <w:rPr>
                <w:rFonts w:ascii="Times New Roman" w:hAnsi="Times New Roman" w:cs="Times New Roman"/>
              </w:rPr>
            </w:pPr>
          </w:p>
          <w:p w:rsidR="00E12206" w:rsidRPr="00E12206" w:rsidRDefault="00E12206" w:rsidP="009B1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6" w:rsidRPr="00C35F6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Pr="00C35F6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6" w:rsidRDefault="00800F52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Pr="00C35F6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206" w:rsidRPr="00C35F66" w:rsidRDefault="00E12206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206" w:rsidRPr="00C35F66" w:rsidRDefault="00E12206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2206" w:rsidRPr="00D27224" w:rsidTr="00240778">
        <w:trPr>
          <w:trHeight w:val="2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6" w:rsidRPr="00C35F66" w:rsidRDefault="00E12206" w:rsidP="00FA091B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B9D" w:rsidRDefault="00662116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8D5A7A">
              <w:rPr>
                <w:rFonts w:ascii="Times New Roman" w:eastAsia="Calibri" w:hAnsi="Times New Roman" w:cs="Times New Roman"/>
                <w:b/>
                <w:lang w:eastAsia="ru-RU"/>
              </w:rPr>
              <w:t>Термосумка</w:t>
            </w:r>
            <w:proofErr w:type="spellEnd"/>
            <w:r w:rsidRPr="008D5A7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(Сумка – холодильник  с аккумуляторами холода  для транспортировки проб атмосферного воздуха</w:t>
            </w:r>
            <w:r w:rsidRPr="00662116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DE54E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E54EB" w:rsidRPr="00DE54EB">
              <w:rPr>
                <w:rFonts w:ascii="Times New Roman" w:eastAsia="Calibri" w:hAnsi="Times New Roman" w:cs="Times New Roman"/>
                <w:b/>
                <w:lang w:eastAsia="ru-RU"/>
              </w:rPr>
              <w:t>ТМ16</w:t>
            </w:r>
          </w:p>
          <w:p w:rsidR="008D5A7A" w:rsidRPr="008D5A7A" w:rsidRDefault="008D5A7A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8D5A7A">
              <w:rPr>
                <w:rFonts w:ascii="Times New Roman" w:eastAsia="Calibri" w:hAnsi="Times New Roman" w:cs="Times New Roman"/>
                <w:lang w:eastAsia="ru-RU"/>
              </w:rPr>
              <w:t>Высота</w:t>
            </w:r>
            <w:r w:rsidR="006F5592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  <w:t>≥ 250  и  &lt; 300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>иллиметр</w:t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8D5A7A" w:rsidRPr="008D5A7A" w:rsidRDefault="008D5A7A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8D5A7A">
              <w:rPr>
                <w:rFonts w:ascii="Times New Roman" w:eastAsia="Calibri" w:hAnsi="Times New Roman" w:cs="Times New Roman"/>
                <w:lang w:eastAsia="ru-RU"/>
              </w:rPr>
              <w:t>Длина</w:t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  <w:t>≥ 350  и  &lt; 400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>иллиметр</w:t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8D5A7A" w:rsidRPr="008D5A7A" w:rsidRDefault="00E162F9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Наличие ручки на плечо;</w:t>
            </w:r>
            <w:r w:rsidR="008D5A7A" w:rsidRPr="008D5A7A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8D5A7A" w:rsidRPr="008D5A7A" w:rsidRDefault="008D5A7A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8D5A7A">
              <w:rPr>
                <w:rFonts w:ascii="Times New Roman" w:eastAsia="Calibri" w:hAnsi="Times New Roman" w:cs="Times New Roman"/>
                <w:lang w:eastAsia="ru-RU"/>
              </w:rPr>
              <w:t>Объем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  <w:t>≥ 15  и  &lt; 20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  <w:t>Литр; кубический дециметр</w:t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8D5A7A" w:rsidRPr="008D5A7A" w:rsidRDefault="008D5A7A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8D5A7A">
              <w:rPr>
                <w:rFonts w:ascii="Times New Roman" w:eastAsia="Calibri" w:hAnsi="Times New Roman" w:cs="Times New Roman"/>
                <w:lang w:eastAsia="ru-RU"/>
              </w:rPr>
              <w:t>Тип каркаса</w:t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  <w:t>жесткий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8D5A7A" w:rsidRPr="008B5882" w:rsidRDefault="008D5A7A" w:rsidP="009B184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8D5A7A">
              <w:rPr>
                <w:rFonts w:ascii="Times New Roman" w:eastAsia="Calibri" w:hAnsi="Times New Roman" w:cs="Times New Roman"/>
                <w:lang w:eastAsia="ru-RU"/>
              </w:rPr>
              <w:t>Ширина</w:t>
            </w:r>
            <w:r w:rsidR="00E162F9">
              <w:rPr>
                <w:rFonts w:ascii="Times New Roman" w:eastAsia="Calibri" w:hAnsi="Times New Roman" w:cs="Times New Roman"/>
                <w:lang w:eastAsia="ru-RU"/>
              </w:rPr>
              <w:t>: ≥ 350  и  &lt; 400 м</w:t>
            </w:r>
            <w:r w:rsidRPr="008D5A7A">
              <w:rPr>
                <w:rFonts w:ascii="Times New Roman" w:eastAsia="Calibri" w:hAnsi="Times New Roman" w:cs="Times New Roman"/>
                <w:lang w:eastAsia="ru-RU"/>
              </w:rPr>
              <w:t>иллиметр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206" w:rsidRDefault="00662116" w:rsidP="009B1843">
            <w:pPr>
              <w:rPr>
                <w:rFonts w:ascii="Times New Roman" w:hAnsi="Times New Roman" w:cs="Times New Roman"/>
                <w:color w:val="000000"/>
              </w:rPr>
            </w:pPr>
            <w:r w:rsidRPr="00662116">
              <w:rPr>
                <w:rFonts w:ascii="Times New Roman" w:hAnsi="Times New Roman" w:cs="Times New Roman"/>
                <w:color w:val="000000"/>
              </w:rPr>
              <w:t>22.22.12.190/22.22.11.000-00000004</w:t>
            </w:r>
          </w:p>
          <w:p w:rsidR="00E12206" w:rsidRDefault="00E12206" w:rsidP="009B1843">
            <w:pPr>
              <w:rPr>
                <w:rFonts w:ascii="Times New Roman" w:hAnsi="Times New Roman" w:cs="Times New Roman"/>
                <w:color w:val="000000"/>
              </w:rPr>
            </w:pPr>
          </w:p>
          <w:p w:rsidR="00E12206" w:rsidRDefault="00E12206" w:rsidP="009B1843">
            <w:pPr>
              <w:rPr>
                <w:rFonts w:ascii="Times New Roman" w:hAnsi="Times New Roman" w:cs="Times New Roman"/>
                <w:color w:val="000000"/>
              </w:rPr>
            </w:pPr>
          </w:p>
          <w:p w:rsidR="00E12206" w:rsidRPr="00E12206" w:rsidRDefault="00E12206" w:rsidP="009B18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6" w:rsidRPr="00C35F6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Pr="00C35F6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6" w:rsidRDefault="00774B2E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12206" w:rsidRPr="00C35F66" w:rsidRDefault="00E12206" w:rsidP="009B184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206" w:rsidRPr="00C35F66" w:rsidRDefault="00E12206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206" w:rsidRPr="00C35F66" w:rsidRDefault="00E12206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C779C" w:rsidRPr="00D27224" w:rsidTr="00240778">
        <w:trPr>
          <w:trHeight w:val="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9C" w:rsidRPr="00C35F66" w:rsidRDefault="005C779C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79C" w:rsidRPr="00E769AE" w:rsidRDefault="005C779C" w:rsidP="00C41A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769AE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779C" w:rsidRPr="00E769AE" w:rsidRDefault="005C779C" w:rsidP="00E769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9C" w:rsidRPr="00E769AE" w:rsidRDefault="005C779C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79C" w:rsidRPr="00E769AE" w:rsidRDefault="005C779C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9C" w:rsidRPr="00E769AE" w:rsidRDefault="005C779C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9C" w:rsidRPr="00E769AE" w:rsidRDefault="005C779C" w:rsidP="00FA09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79C" w:rsidRPr="00E769AE" w:rsidRDefault="005C779C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bookmarkEnd w:id="1"/>
    <w:p w:rsidR="00216AD9" w:rsidRPr="004B1A42" w:rsidRDefault="0016541A" w:rsidP="00216AD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</w:t>
      </w:r>
      <w:proofErr w:type="gramStart"/>
      <w:r w:rsidRPr="00D27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2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копеек, </w:t>
      </w:r>
      <w:r w:rsidR="00E0068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</w:t>
      </w:r>
      <w:r w:rsidR="00E00684" w:rsidRPr="00E0068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</w:t>
      </w:r>
      <w:proofErr w:type="spellStart"/>
      <w:r w:rsidR="00E00684" w:rsidRPr="00E0068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т.ч</w:t>
      </w:r>
      <w:proofErr w:type="spellEnd"/>
      <w:r w:rsidR="00E00684" w:rsidRPr="00E0068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НДС/ НДС не облагается)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63348A" w:rsidRPr="00406AAC" w:rsidRDefault="0016541A" w:rsidP="00406AA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27224">
        <w:rPr>
          <w:rFonts w:ascii="Times New Roman" w:eastAsia="Times New Roman" w:hAnsi="Times New Roman" w:cs="Times New Roman"/>
          <w:b/>
          <w:lang w:eastAsia="ru-RU"/>
        </w:rPr>
        <w:t xml:space="preserve">Всего наименований: </w:t>
      </w:r>
      <w:r w:rsidR="00216AD9">
        <w:rPr>
          <w:rFonts w:ascii="Times New Roman" w:eastAsia="Times New Roman" w:hAnsi="Times New Roman" w:cs="Times New Roman"/>
          <w:b/>
          <w:lang w:eastAsia="ru-RU"/>
        </w:rPr>
        <w:t>____</w:t>
      </w:r>
      <w:r w:rsidRPr="00D2722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6378"/>
      </w:tblGrid>
      <w:tr w:rsidR="00B254CB" w:rsidRPr="006170B4" w:rsidTr="00360F78">
        <w:trPr>
          <w:trHeight w:val="384"/>
        </w:trPr>
        <w:tc>
          <w:tcPr>
            <w:tcW w:w="8506" w:type="dxa"/>
          </w:tcPr>
          <w:p w:rsidR="00B254CB" w:rsidRPr="00B254CB" w:rsidRDefault="00B254CB" w:rsidP="00FA091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B254CB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6378" w:type="dxa"/>
          </w:tcPr>
          <w:p w:rsidR="00B254CB" w:rsidRPr="00B254CB" w:rsidRDefault="00B254CB" w:rsidP="00FA09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54CB" w:rsidRPr="006170B4" w:rsidTr="00360F78">
        <w:trPr>
          <w:trHeight w:val="417"/>
        </w:trPr>
        <w:tc>
          <w:tcPr>
            <w:tcW w:w="8506" w:type="dxa"/>
            <w:shd w:val="clear" w:color="auto" w:fill="auto"/>
          </w:tcPr>
          <w:p w:rsidR="00B254CB" w:rsidRPr="00114260" w:rsidRDefault="00B254CB" w:rsidP="00B254CB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6378" w:type="dxa"/>
            <w:shd w:val="clear" w:color="auto" w:fill="auto"/>
          </w:tcPr>
          <w:p w:rsidR="00B254CB" w:rsidRPr="00F223B3" w:rsidRDefault="00B254CB" w:rsidP="00B254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54CB" w:rsidRPr="006170B4" w:rsidTr="00360F78">
        <w:tc>
          <w:tcPr>
            <w:tcW w:w="8506" w:type="dxa"/>
          </w:tcPr>
          <w:p w:rsidR="00B254CB" w:rsidRDefault="00B254CB" w:rsidP="00FA091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:rsidR="00B254CB" w:rsidRPr="0016541A" w:rsidRDefault="00B254CB" w:rsidP="00FA091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642F8A" w:rsidRDefault="00B254CB" w:rsidP="00FA091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___________________/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:rsidR="00B254CB" w:rsidRPr="006170B4" w:rsidRDefault="00B254CB" w:rsidP="00FA091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6378" w:type="dxa"/>
          </w:tcPr>
          <w:p w:rsidR="00B254CB" w:rsidRDefault="00B254CB" w:rsidP="00FA09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216AD9" w:rsidRPr="00F223B3" w:rsidRDefault="00216AD9" w:rsidP="00FA09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254CB" w:rsidRPr="00F223B3" w:rsidRDefault="00B254CB" w:rsidP="00FA09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_____________________/</w:t>
            </w:r>
            <w:r w:rsidR="00216A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______________/</w:t>
            </w:r>
          </w:p>
          <w:p w:rsidR="00B254CB" w:rsidRPr="00F223B3" w:rsidRDefault="00B254CB" w:rsidP="00FA09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М.П.</w:t>
            </w:r>
          </w:p>
        </w:tc>
      </w:tr>
    </w:tbl>
    <w:p w:rsidR="000B505A" w:rsidRDefault="000B505A" w:rsidP="00B254CB">
      <w:pPr>
        <w:spacing w:line="240" w:lineRule="auto"/>
      </w:pPr>
    </w:p>
    <w:sectPr w:rsidR="000B505A" w:rsidSect="0067685D">
      <w:pgSz w:w="16838" w:h="11906" w:orient="landscape"/>
      <w:pgMar w:top="340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9B" w:rsidRDefault="0090789B" w:rsidP="00F70CD3">
      <w:pPr>
        <w:spacing w:after="0" w:line="240" w:lineRule="auto"/>
      </w:pPr>
      <w:r>
        <w:separator/>
      </w:r>
    </w:p>
  </w:endnote>
  <w:endnote w:type="continuationSeparator" w:id="0">
    <w:p w:rsidR="0090789B" w:rsidRDefault="0090789B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9B" w:rsidRDefault="0090789B" w:rsidP="00F70CD3">
      <w:pPr>
        <w:spacing w:after="0" w:line="240" w:lineRule="auto"/>
      </w:pPr>
      <w:r>
        <w:separator/>
      </w:r>
    </w:p>
  </w:footnote>
  <w:footnote w:type="continuationSeparator" w:id="0">
    <w:p w:rsidR="0090789B" w:rsidRDefault="0090789B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A091B" w:rsidRPr="00F70CD3" w:rsidRDefault="005626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091B"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B9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091B" w:rsidRDefault="00FA09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4F4C7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CE6"/>
    <w:rsid w:val="0000599A"/>
    <w:rsid w:val="00024272"/>
    <w:rsid w:val="00032277"/>
    <w:rsid w:val="000467FC"/>
    <w:rsid w:val="00053411"/>
    <w:rsid w:val="000607FB"/>
    <w:rsid w:val="00065AA8"/>
    <w:rsid w:val="0007391C"/>
    <w:rsid w:val="00074548"/>
    <w:rsid w:val="000814F7"/>
    <w:rsid w:val="00081D71"/>
    <w:rsid w:val="000B1CDC"/>
    <w:rsid w:val="000B394B"/>
    <w:rsid w:val="000B4EC1"/>
    <w:rsid w:val="000B505A"/>
    <w:rsid w:val="000C2472"/>
    <w:rsid w:val="000C2848"/>
    <w:rsid w:val="000C3167"/>
    <w:rsid w:val="000D0183"/>
    <w:rsid w:val="000D163D"/>
    <w:rsid w:val="000D4CDC"/>
    <w:rsid w:val="001123B3"/>
    <w:rsid w:val="00114260"/>
    <w:rsid w:val="001301CD"/>
    <w:rsid w:val="00131686"/>
    <w:rsid w:val="00134251"/>
    <w:rsid w:val="001362E1"/>
    <w:rsid w:val="00145374"/>
    <w:rsid w:val="001539B7"/>
    <w:rsid w:val="0015601B"/>
    <w:rsid w:val="00156D6C"/>
    <w:rsid w:val="00160CB3"/>
    <w:rsid w:val="00161B9D"/>
    <w:rsid w:val="0016541A"/>
    <w:rsid w:val="00165CDC"/>
    <w:rsid w:val="0016750F"/>
    <w:rsid w:val="00176FEF"/>
    <w:rsid w:val="00180147"/>
    <w:rsid w:val="00180F71"/>
    <w:rsid w:val="00193A73"/>
    <w:rsid w:val="001944CA"/>
    <w:rsid w:val="001975B9"/>
    <w:rsid w:val="001A4534"/>
    <w:rsid w:val="001A4554"/>
    <w:rsid w:val="001A49C6"/>
    <w:rsid w:val="001D0B6D"/>
    <w:rsid w:val="001E4611"/>
    <w:rsid w:val="00206E81"/>
    <w:rsid w:val="00207739"/>
    <w:rsid w:val="00213C22"/>
    <w:rsid w:val="00216AD9"/>
    <w:rsid w:val="00216E7A"/>
    <w:rsid w:val="00220283"/>
    <w:rsid w:val="00224D97"/>
    <w:rsid w:val="0023159C"/>
    <w:rsid w:val="0023205D"/>
    <w:rsid w:val="00240778"/>
    <w:rsid w:val="00244179"/>
    <w:rsid w:val="002635E9"/>
    <w:rsid w:val="00273EA5"/>
    <w:rsid w:val="0028103D"/>
    <w:rsid w:val="00282673"/>
    <w:rsid w:val="002839C6"/>
    <w:rsid w:val="00284841"/>
    <w:rsid w:val="002B4849"/>
    <w:rsid w:val="002B7B5A"/>
    <w:rsid w:val="002C237A"/>
    <w:rsid w:val="002C4CE6"/>
    <w:rsid w:val="002C7393"/>
    <w:rsid w:val="002D4B52"/>
    <w:rsid w:val="002E6DC1"/>
    <w:rsid w:val="00304A71"/>
    <w:rsid w:val="003069A3"/>
    <w:rsid w:val="003212F2"/>
    <w:rsid w:val="00325DB5"/>
    <w:rsid w:val="00335313"/>
    <w:rsid w:val="00360F78"/>
    <w:rsid w:val="00363ABD"/>
    <w:rsid w:val="0036581E"/>
    <w:rsid w:val="00365A7E"/>
    <w:rsid w:val="00371022"/>
    <w:rsid w:val="00375998"/>
    <w:rsid w:val="0037720A"/>
    <w:rsid w:val="003A1771"/>
    <w:rsid w:val="003A7DE1"/>
    <w:rsid w:val="003B0678"/>
    <w:rsid w:val="003B5548"/>
    <w:rsid w:val="003C7CB3"/>
    <w:rsid w:val="003E6DE8"/>
    <w:rsid w:val="003F6116"/>
    <w:rsid w:val="003F7739"/>
    <w:rsid w:val="00406AAC"/>
    <w:rsid w:val="0041690B"/>
    <w:rsid w:val="00416927"/>
    <w:rsid w:val="00422D63"/>
    <w:rsid w:val="00430988"/>
    <w:rsid w:val="00435AF3"/>
    <w:rsid w:val="004458F0"/>
    <w:rsid w:val="004749DD"/>
    <w:rsid w:val="00475249"/>
    <w:rsid w:val="00481EF1"/>
    <w:rsid w:val="00487C79"/>
    <w:rsid w:val="0049338B"/>
    <w:rsid w:val="00494202"/>
    <w:rsid w:val="0049637E"/>
    <w:rsid w:val="004B1A42"/>
    <w:rsid w:val="004B46C1"/>
    <w:rsid w:val="004B5A6C"/>
    <w:rsid w:val="004B75B4"/>
    <w:rsid w:val="004C3159"/>
    <w:rsid w:val="004C7514"/>
    <w:rsid w:val="004D68F7"/>
    <w:rsid w:val="004E0C21"/>
    <w:rsid w:val="004E5516"/>
    <w:rsid w:val="004E708F"/>
    <w:rsid w:val="004E7202"/>
    <w:rsid w:val="004F693C"/>
    <w:rsid w:val="00502297"/>
    <w:rsid w:val="0050230B"/>
    <w:rsid w:val="00513B45"/>
    <w:rsid w:val="0051675F"/>
    <w:rsid w:val="0052267D"/>
    <w:rsid w:val="00531B9B"/>
    <w:rsid w:val="0053260D"/>
    <w:rsid w:val="00533D0B"/>
    <w:rsid w:val="0054008D"/>
    <w:rsid w:val="00552AE9"/>
    <w:rsid w:val="005626C2"/>
    <w:rsid w:val="005633C4"/>
    <w:rsid w:val="00565636"/>
    <w:rsid w:val="00573986"/>
    <w:rsid w:val="005742F8"/>
    <w:rsid w:val="00584608"/>
    <w:rsid w:val="005A3EC2"/>
    <w:rsid w:val="005A73F9"/>
    <w:rsid w:val="005B3137"/>
    <w:rsid w:val="005B352E"/>
    <w:rsid w:val="005B6A90"/>
    <w:rsid w:val="005C779C"/>
    <w:rsid w:val="005D0C60"/>
    <w:rsid w:val="005D4FC6"/>
    <w:rsid w:val="00606429"/>
    <w:rsid w:val="006170B4"/>
    <w:rsid w:val="0063320C"/>
    <w:rsid w:val="0063348A"/>
    <w:rsid w:val="00642F8A"/>
    <w:rsid w:val="00643F17"/>
    <w:rsid w:val="00656084"/>
    <w:rsid w:val="00662116"/>
    <w:rsid w:val="0067394F"/>
    <w:rsid w:val="0067685D"/>
    <w:rsid w:val="00687091"/>
    <w:rsid w:val="006943C1"/>
    <w:rsid w:val="006B002F"/>
    <w:rsid w:val="006B08E4"/>
    <w:rsid w:val="006B3B7A"/>
    <w:rsid w:val="006F5592"/>
    <w:rsid w:val="00701730"/>
    <w:rsid w:val="0072098F"/>
    <w:rsid w:val="00721DDE"/>
    <w:rsid w:val="00723988"/>
    <w:rsid w:val="0072710C"/>
    <w:rsid w:val="00734A38"/>
    <w:rsid w:val="00741950"/>
    <w:rsid w:val="00745B19"/>
    <w:rsid w:val="00751C2E"/>
    <w:rsid w:val="007524D1"/>
    <w:rsid w:val="00754877"/>
    <w:rsid w:val="00761340"/>
    <w:rsid w:val="00762FC0"/>
    <w:rsid w:val="007647D3"/>
    <w:rsid w:val="00767D0A"/>
    <w:rsid w:val="00767FE5"/>
    <w:rsid w:val="00771ED6"/>
    <w:rsid w:val="00774B2E"/>
    <w:rsid w:val="00784D74"/>
    <w:rsid w:val="00786D00"/>
    <w:rsid w:val="0078762C"/>
    <w:rsid w:val="00790D64"/>
    <w:rsid w:val="007A2B46"/>
    <w:rsid w:val="007A5041"/>
    <w:rsid w:val="007A7FA8"/>
    <w:rsid w:val="007B2831"/>
    <w:rsid w:val="007B7DAE"/>
    <w:rsid w:val="007E6407"/>
    <w:rsid w:val="00800F52"/>
    <w:rsid w:val="00813718"/>
    <w:rsid w:val="0082649A"/>
    <w:rsid w:val="008268E6"/>
    <w:rsid w:val="008348A9"/>
    <w:rsid w:val="008448F4"/>
    <w:rsid w:val="00845C0E"/>
    <w:rsid w:val="00855C8B"/>
    <w:rsid w:val="008721F5"/>
    <w:rsid w:val="00875334"/>
    <w:rsid w:val="00877701"/>
    <w:rsid w:val="0088008B"/>
    <w:rsid w:val="008852D6"/>
    <w:rsid w:val="00893612"/>
    <w:rsid w:val="00895B2F"/>
    <w:rsid w:val="008A3A12"/>
    <w:rsid w:val="008A5B7E"/>
    <w:rsid w:val="008A6F35"/>
    <w:rsid w:val="008B5882"/>
    <w:rsid w:val="008B62B8"/>
    <w:rsid w:val="008D21C0"/>
    <w:rsid w:val="008D4955"/>
    <w:rsid w:val="008D5A7A"/>
    <w:rsid w:val="008E0019"/>
    <w:rsid w:val="00902463"/>
    <w:rsid w:val="00903051"/>
    <w:rsid w:val="0090789B"/>
    <w:rsid w:val="00910530"/>
    <w:rsid w:val="00914084"/>
    <w:rsid w:val="00917875"/>
    <w:rsid w:val="00931DEF"/>
    <w:rsid w:val="00937421"/>
    <w:rsid w:val="009416D0"/>
    <w:rsid w:val="009421BD"/>
    <w:rsid w:val="00944218"/>
    <w:rsid w:val="00951203"/>
    <w:rsid w:val="00951E07"/>
    <w:rsid w:val="009557CC"/>
    <w:rsid w:val="00956DFA"/>
    <w:rsid w:val="00957F1B"/>
    <w:rsid w:val="009733DD"/>
    <w:rsid w:val="00977F19"/>
    <w:rsid w:val="009913F7"/>
    <w:rsid w:val="009956AE"/>
    <w:rsid w:val="009B1843"/>
    <w:rsid w:val="009C14B1"/>
    <w:rsid w:val="009D239A"/>
    <w:rsid w:val="009E4E92"/>
    <w:rsid w:val="009F58E4"/>
    <w:rsid w:val="009F6DB9"/>
    <w:rsid w:val="00A01139"/>
    <w:rsid w:val="00A301E3"/>
    <w:rsid w:val="00A3131D"/>
    <w:rsid w:val="00A378C4"/>
    <w:rsid w:val="00A613C2"/>
    <w:rsid w:val="00A62026"/>
    <w:rsid w:val="00A62B6E"/>
    <w:rsid w:val="00A7635D"/>
    <w:rsid w:val="00A93921"/>
    <w:rsid w:val="00A973B8"/>
    <w:rsid w:val="00AA2B24"/>
    <w:rsid w:val="00AA4764"/>
    <w:rsid w:val="00AB05A7"/>
    <w:rsid w:val="00AC0195"/>
    <w:rsid w:val="00AC2E69"/>
    <w:rsid w:val="00AC3B5C"/>
    <w:rsid w:val="00AD0A21"/>
    <w:rsid w:val="00AD6B53"/>
    <w:rsid w:val="00AE184D"/>
    <w:rsid w:val="00B002D1"/>
    <w:rsid w:val="00B005DA"/>
    <w:rsid w:val="00B01591"/>
    <w:rsid w:val="00B03B71"/>
    <w:rsid w:val="00B03CA0"/>
    <w:rsid w:val="00B11EEE"/>
    <w:rsid w:val="00B15F9C"/>
    <w:rsid w:val="00B23091"/>
    <w:rsid w:val="00B232B9"/>
    <w:rsid w:val="00B254CB"/>
    <w:rsid w:val="00B34940"/>
    <w:rsid w:val="00B37E66"/>
    <w:rsid w:val="00B4280A"/>
    <w:rsid w:val="00B53682"/>
    <w:rsid w:val="00B5693F"/>
    <w:rsid w:val="00B57C3B"/>
    <w:rsid w:val="00B57FFC"/>
    <w:rsid w:val="00B6505A"/>
    <w:rsid w:val="00B659EE"/>
    <w:rsid w:val="00B67F97"/>
    <w:rsid w:val="00B85736"/>
    <w:rsid w:val="00BA0296"/>
    <w:rsid w:val="00BA36A8"/>
    <w:rsid w:val="00BA3A94"/>
    <w:rsid w:val="00BB3DA7"/>
    <w:rsid w:val="00BC0CC4"/>
    <w:rsid w:val="00BC1771"/>
    <w:rsid w:val="00BC5EF3"/>
    <w:rsid w:val="00BD0DC8"/>
    <w:rsid w:val="00BE29EA"/>
    <w:rsid w:val="00BE6231"/>
    <w:rsid w:val="00BE7440"/>
    <w:rsid w:val="00C01D21"/>
    <w:rsid w:val="00C16CC6"/>
    <w:rsid w:val="00C17CBA"/>
    <w:rsid w:val="00C250CD"/>
    <w:rsid w:val="00C2622D"/>
    <w:rsid w:val="00C2714E"/>
    <w:rsid w:val="00C3258E"/>
    <w:rsid w:val="00C3381D"/>
    <w:rsid w:val="00C35F66"/>
    <w:rsid w:val="00C369AE"/>
    <w:rsid w:val="00C37AFF"/>
    <w:rsid w:val="00C41AFA"/>
    <w:rsid w:val="00C43556"/>
    <w:rsid w:val="00C438DF"/>
    <w:rsid w:val="00C474C9"/>
    <w:rsid w:val="00C51098"/>
    <w:rsid w:val="00C55374"/>
    <w:rsid w:val="00C63F36"/>
    <w:rsid w:val="00C67193"/>
    <w:rsid w:val="00C82BB3"/>
    <w:rsid w:val="00CA5A13"/>
    <w:rsid w:val="00CC2404"/>
    <w:rsid w:val="00CC5D44"/>
    <w:rsid w:val="00CD20DC"/>
    <w:rsid w:val="00CD72F2"/>
    <w:rsid w:val="00CE328C"/>
    <w:rsid w:val="00CE3FAC"/>
    <w:rsid w:val="00CF3D1A"/>
    <w:rsid w:val="00CF667C"/>
    <w:rsid w:val="00D11B22"/>
    <w:rsid w:val="00D123B1"/>
    <w:rsid w:val="00D12C3F"/>
    <w:rsid w:val="00D24A2F"/>
    <w:rsid w:val="00D35F10"/>
    <w:rsid w:val="00D42865"/>
    <w:rsid w:val="00D5032A"/>
    <w:rsid w:val="00D65A83"/>
    <w:rsid w:val="00D70FEB"/>
    <w:rsid w:val="00D9212B"/>
    <w:rsid w:val="00D96757"/>
    <w:rsid w:val="00DA2505"/>
    <w:rsid w:val="00DB0553"/>
    <w:rsid w:val="00DC3026"/>
    <w:rsid w:val="00DD48AF"/>
    <w:rsid w:val="00DE508A"/>
    <w:rsid w:val="00DE54EB"/>
    <w:rsid w:val="00DF7CDB"/>
    <w:rsid w:val="00E00684"/>
    <w:rsid w:val="00E00F4E"/>
    <w:rsid w:val="00E00F57"/>
    <w:rsid w:val="00E0176B"/>
    <w:rsid w:val="00E0783E"/>
    <w:rsid w:val="00E12206"/>
    <w:rsid w:val="00E162F9"/>
    <w:rsid w:val="00E208A3"/>
    <w:rsid w:val="00E21F89"/>
    <w:rsid w:val="00E307B2"/>
    <w:rsid w:val="00E33F05"/>
    <w:rsid w:val="00E44E36"/>
    <w:rsid w:val="00E51FBC"/>
    <w:rsid w:val="00E522EA"/>
    <w:rsid w:val="00E55757"/>
    <w:rsid w:val="00E63141"/>
    <w:rsid w:val="00E6673C"/>
    <w:rsid w:val="00E717AB"/>
    <w:rsid w:val="00E769AE"/>
    <w:rsid w:val="00E82D19"/>
    <w:rsid w:val="00E8490A"/>
    <w:rsid w:val="00E91619"/>
    <w:rsid w:val="00E94C4E"/>
    <w:rsid w:val="00E960A0"/>
    <w:rsid w:val="00E96707"/>
    <w:rsid w:val="00EA27A3"/>
    <w:rsid w:val="00EB05E8"/>
    <w:rsid w:val="00EC080D"/>
    <w:rsid w:val="00EC08CB"/>
    <w:rsid w:val="00EC0CB8"/>
    <w:rsid w:val="00ED40AC"/>
    <w:rsid w:val="00ED4B81"/>
    <w:rsid w:val="00EE109D"/>
    <w:rsid w:val="00EE1199"/>
    <w:rsid w:val="00F05FA7"/>
    <w:rsid w:val="00F160BE"/>
    <w:rsid w:val="00F223B3"/>
    <w:rsid w:val="00F23443"/>
    <w:rsid w:val="00F267A4"/>
    <w:rsid w:val="00F26BD8"/>
    <w:rsid w:val="00F31FFF"/>
    <w:rsid w:val="00F340FD"/>
    <w:rsid w:val="00F34F22"/>
    <w:rsid w:val="00F51A90"/>
    <w:rsid w:val="00F55FB9"/>
    <w:rsid w:val="00F56C86"/>
    <w:rsid w:val="00F65A61"/>
    <w:rsid w:val="00F66554"/>
    <w:rsid w:val="00F67B55"/>
    <w:rsid w:val="00F67DD1"/>
    <w:rsid w:val="00F70CD3"/>
    <w:rsid w:val="00F74D0A"/>
    <w:rsid w:val="00F769FB"/>
    <w:rsid w:val="00F81861"/>
    <w:rsid w:val="00F92B4F"/>
    <w:rsid w:val="00FA091B"/>
    <w:rsid w:val="00FA71A1"/>
    <w:rsid w:val="00FD68D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gms@krasmet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k3-16-3</cp:lastModifiedBy>
  <cp:revision>123</cp:revision>
  <cp:lastPrinted>2026-05-20T12:08:00Z</cp:lastPrinted>
  <dcterms:created xsi:type="dcterms:W3CDTF">2026-05-02T09:43:00Z</dcterms:created>
  <dcterms:modified xsi:type="dcterms:W3CDTF">2026-05-20T12:14:00Z</dcterms:modified>
</cp:coreProperties>
</file>