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68"/>
        <w:tblW w:w="0" w:type="auto"/>
        <w:tblLayout w:type="fixed"/>
        <w:tblLook w:val="04A0" w:firstRow="1" w:lastRow="0" w:firstColumn="1" w:lastColumn="0" w:noHBand="0" w:noVBand="1"/>
      </w:tblPr>
      <w:tblGrid>
        <w:gridCol w:w="10193"/>
      </w:tblGrid>
      <w:tr>
        <w:tblPrEx/>
        <w:trPr>
          <w:trHeight w:val="16004"/>
        </w:trPr>
        <w:tc>
          <w:tcPr>
            <w:tcW w:w="10193" w:type="dxa"/>
            <w:textDirection w:val="lrTb"/>
            <w:noWrap w:val="false"/>
          </w:tcPr>
          <w:p>
            <w:pPr>
              <w:ind w:right="-1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</w:rPr>
            </w:r>
          </w:p>
          <w:p>
            <w:pPr>
              <w:ind w:right="-1"/>
              <w:jc w:val="center"/>
              <w:spacing w:after="0" w:line="240" w:lineRule="auto"/>
              <w:rPr>
                <w:rFonts w:ascii="Times New Roman" w:hAnsi="Times New Roman"/>
                <w:color w:val="1d1b1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         ПРОЕКТ ГОСУДАРСТВЕННЫЙ КОНТРАКТ №____________ </w:t>
            </w:r>
            <w:r>
              <w:rPr>
                <w:rFonts w:ascii="Times New Roman" w:hAnsi="Times New Roman"/>
                <w:color w:val="1d1b11"/>
                <w:sz w:val="26"/>
                <w:szCs w:val="26"/>
              </w:rPr>
            </w:r>
            <w:r>
              <w:rPr>
                <w:rFonts w:ascii="Times New Roman" w:hAnsi="Times New Roman"/>
                <w:color w:val="1d1b11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sz w:val="26"/>
              </w:rPr>
              <w:t xml:space="preserve">на </w:t>
            </w:r>
            <w:r>
              <w:rPr>
                <w:rFonts w:ascii="Times New Roman" w:hAnsi="Times New Roman"/>
                <w:sz w:val="26"/>
              </w:rPr>
              <w:t xml:space="preserve">оказание услуг по</w:t>
            </w:r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изготовлению сувенирной продукции по макетам Заказчика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ind w:right="-1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right="-1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2"/>
              </w:rPr>
            </w:pPr>
            <w:r>
              <w:rPr>
                <w:rFonts w:ascii="Times New Roman" w:hAnsi="Times New Roman"/>
                <w:color w:val="1d1b11"/>
                <w:sz w:val="22"/>
              </w:rPr>
              <w:t xml:space="preserve">г. Пермь                                   </w:t>
            </w:r>
            <w:r>
              <w:rPr>
                <w:rFonts w:ascii="Times New Roman" w:hAnsi="Times New Roman"/>
                <w:color w:val="1d1b11"/>
                <w:sz w:val="22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/>
                <w:color w:val="1d1b11"/>
                <w:sz w:val="22"/>
              </w:rPr>
              <w:t xml:space="preserve">«___</w:t>
            </w:r>
            <w:r>
              <w:rPr>
                <w:rFonts w:ascii="Times New Roman" w:hAnsi="Times New Roman"/>
                <w:color w:val="1d1b11"/>
                <w:sz w:val="22"/>
              </w:rPr>
              <w:t xml:space="preserve">» _______________ 2026</w:t>
            </w:r>
            <w:r>
              <w:rPr>
                <w:rFonts w:ascii="Times New Roman" w:hAnsi="Times New Roman"/>
                <w:color w:val="1d1b11"/>
                <w:sz w:val="22"/>
              </w:rPr>
              <w:t xml:space="preserve"> г.</w:t>
            </w:r>
            <w:r>
              <w:rPr>
                <w:rFonts w:ascii="Times New Roman" w:hAnsi="Times New Roman"/>
                <w:color w:val="1d1b11"/>
                <w:sz w:val="22"/>
              </w:rPr>
            </w:r>
            <w:r>
              <w:rPr>
                <w:rFonts w:ascii="Times New Roman" w:hAnsi="Times New Roman"/>
                <w:color w:val="1d1b11"/>
                <w:sz w:val="22"/>
              </w:rPr>
            </w:r>
          </w:p>
          <w:p>
            <w:pPr>
              <w:ind w:right="-1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</w:rPr>
              <w:t xml:space="preserve">Территориальное управление Федерального агентства по управлению государственным имуществом в Пермском крае (далее – ТУ Росимущества в Пермском крае),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  <w:t xml:space="preserve"> именуемое в дальнейшем «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</w:rPr>
              <w:t xml:space="preserve">Заказчик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  <w:t xml:space="preserve">», в лице руководителя Мироновой Елены Владимировны, действующей на основан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  <w:t xml:space="preserve">ии Положения о Территориальном управлении Росимущества в Пермском крае, утвержденного Приказом Росимущества от 23.06.2023 г. № 131, с одной стороны, и  ___________________________________, именуемый в дальнейшем «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</w:rPr>
              <w:t xml:space="preserve">Исполнитель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  <w:t xml:space="preserve">», в лице____________, действующий на основании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  <w:t xml:space="preserve">________________, с другой стороны, (далее - Стороны), заключили настоящий Государственный контракт (далее-Контракт) с соблюдением требований Гражданского кодекса Российской Федерации, Федерального закона от 5 апреля 2013 г. № 44-ФЗ «О контрактной системе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  <w:t xml:space="preserve"> в сфере закупок товаров, работ, услуг для обеспечения государственных и муниципальных нужд» (далее 44-ФЗ) и иного законодательства Российской Федерации о нижеследующем: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</w:rPr>
            </w:r>
          </w:p>
          <w:p>
            <w:pPr>
              <w:ind w:right="-1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right="-1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1. ПРЕДМЕТ КОНТРАКТА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right="-1" w:firstLine="567"/>
              <w:jc w:val="both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1.1.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Исполнитель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обязуется оказать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услуги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по изготовлению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sz w:val="26"/>
              </w:rPr>
              <w:t xml:space="preserve">продукции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(далее – Услуги) в соответствии с Техническим заданием (Приложение №1 к Контракту) и иными условиями настоящего Контракта, а Заказчик обязуется принять и оплатить оказанные Услуги в порядке и на условиях, предусмотренных настоящим Контрактом;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        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1.2. Срок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оказания Услуг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: в течение 10 (Десяти) рабочих дней с момента согласования макетов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right="-1" w:firstLine="567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right="-1" w:firstLine="567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2. ЦЕНА КОНТРАКТА И ПОРЯДОК РАСЧЕТОВ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1d1b11"/>
                <w:sz w:val="26"/>
                <w:szCs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2.1. Цена настоящего Ко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нтракта составляет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__________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(__________________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) рублей ___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копеек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,</w:t>
            </w:r>
            <w:r>
              <w:rPr>
                <w:rFonts w:ascii="Times New Roman" w:hAnsi="Times New Roman"/>
                <w:b w:val="0"/>
                <w:bCs w:val="0"/>
                <w:sz w:val="26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в том числе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  <w:t xml:space="preserve">НДС / без НДС.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  <w:szCs w:val="26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  <w:szCs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1d1b11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ссийской Федерации, связанных с оплатой контракта, если в соответствии с законодательством Российской Федерации,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  <w:szCs w:val="26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6"/>
                <w:szCs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2.2. Цена Контракта является твердой и остается неизменной в течение всего срока исполнения настоящего Контракта, за исключением случаев, предусмотренных 44-ФЗ.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.3. Цена контракта включает все расходы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Исполнителя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, на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оказание услуг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в полном объеме, в том числе подготовке сопроводительной документации, расходы на доставку, разгрузку, страхование, уплату таможенных пошлин, уплату налогов, сборов, другие обязательные платежи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Исполнителя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.4. Расчеты по Контракту осуществляются в безналичном порядке платежными поручениями.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.5. Обязательство Заказчика по оплате считается исполненным в момент зачисления денежных средств на счет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Исполнителя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.6. Авансирование по Контракту не производится.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7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Оплата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оказанных услуг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Заказчиком производится по безналичному расчету путем перечисления денежных средств на расчётный счёт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Исполнителя в течение 7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(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Семи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) рабочих дней с даты подписания заказчиком документа о приемке.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2.8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        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2.9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 Источник финансирования – федеральный бюджет.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1080" w:leader="none"/>
              </w:tabs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center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3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. ПОРЯДОК ОКАЗАНИЯ И СДАЧИ-ПРИЕМКИ УСЛУГ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color w:val="1d1b11"/>
                <w:sz w:val="26"/>
                <w:szCs w:val="26"/>
                <w:highlight w:val="none"/>
              </w:rPr>
              <w:outlineLvl w:val="2"/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3.1. Услуги по настоящему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Контракту оказываются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в соответствии с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Техническим заданием (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Приложение №1 к Контракту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)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, являющимся его неотъемлемой частью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 </w:t>
            </w:r>
            <w:r>
              <w:rPr>
                <w:rFonts w:ascii="Times New Roman" w:hAnsi="Times New Roman"/>
                <w:color w:val="1d1b1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color w:val="1d1b11"/>
                <w:sz w:val="26"/>
                <w:szCs w:val="26"/>
                <w:highlight w:val="none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3.2.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По завершению изготовления Исполнитель в срок, не превышающий 1 (Один) рабочий день, предоставляет Заказчику следующие документы о  приемке: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- акты приема-передачи оказанных Услуг по изготовлению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;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- счет на оплату.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3.3.Документы для оплаты оказанной Услуги могут направляться по телекоммуникационным каналам связи (ЭДО) в виде пакета документов предусмотренных пунктом 3.2, что будет считаться равнозначным пакету платежных документов на бумажном носителе.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3.4. Заказчик в течение 3 (Трех) рабочих дней подписывает документы о приемке либо направляет Исполнителю мотивированный письменный отказ от приемки.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5" w:leader="none"/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3.5.Приемка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 по количеству, ассортименту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и качеству осуществляется на основании сопроводительных документов и Технического задания (Приложение №1 к Контракту). Заказчик не принимает </w:t>
            </w:r>
            <w:r>
              <w:rPr>
                <w:rFonts w:ascii="Times New Roman" w:hAnsi="Times New Roman"/>
                <w:sz w:val="26"/>
              </w:rPr>
              <w:t xml:space="preserve">сувенирную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продукцию, если в ходе осмотра и проверки обнаружится, что она не соответствует условиям Контракта.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3.6.Под существенными нарушениями условий Контракта при поставке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- выявление нарушений условий Контракта при повторной приемке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 либо нарушение сроков устранения недостатков;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- обнаружение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3.7.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Поставка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, осуществляемая в соответствии с настоящим Контрактом, считается выполненной и принятой Заказчиком после подписания Заказчиком документов о приемке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.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3.8.Исполнитель не позднее, чем за 3 (Три) рабочих дня до даты поставки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, обязан письменно известить Заказчика о точном времени и дате поставки.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3.9.Право собственности и риск случайной гибели или порчи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переходит от Исполнителя к Заказчику с момента приемки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Заказчиком и подписания Сторонами акта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приема-передачи оказанных Услуг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.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</w:r>
            <w:r/>
          </w:p>
          <w:p>
            <w:pPr>
              <w:ind w:left="0" w:firstLine="567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/>
                <w:color w:val="1d1b11"/>
                <w:sz w:val="26"/>
                <w:szCs w:val="26"/>
              </w:rPr>
              <w:outlineLvl w:val="2"/>
            </w:pP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3.10.Исполнитель по согласованию с Заказчиком имеет право осуществить досрочную поставку </w:t>
            </w:r>
            <w:r>
              <w:rPr>
                <w:rFonts w:ascii="Times New Roman" w:hAnsi="Times New Roman"/>
                <w:sz w:val="26"/>
              </w:rPr>
              <w:t xml:space="preserve">сувенирной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продукции </w:t>
            </w:r>
            <w:r>
              <w:rPr>
                <w:rFonts w:ascii="Times New Roman" w:hAnsi="Times New Roman"/>
                <w:color w:val="1d1b11"/>
                <w:sz w:val="26"/>
                <w:highlight w:val="none"/>
              </w:rPr>
              <w:t xml:space="preserve">по настоящему Контракту.</w:t>
            </w:r>
            <w:r>
              <w:rPr>
                <w:rFonts w:ascii="Times New Roman" w:hAnsi="Times New Roman"/>
                <w:color w:val="1d1b11"/>
                <w:sz w:val="26"/>
                <w:szCs w:val="26"/>
              </w:rPr>
            </w:r>
            <w:r>
              <w:rPr>
                <w:rFonts w:ascii="Times New Roman" w:hAnsi="Times New Roman"/>
                <w:color w:val="1d1b11"/>
                <w:sz w:val="26"/>
                <w:szCs w:val="26"/>
              </w:rPr>
            </w:r>
          </w:p>
          <w:p>
            <w:pPr>
              <w:ind w:left="0" w:firstLine="567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  <w:highlight w:val="none"/>
              </w:rPr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r>
          </w:p>
          <w:p>
            <w:pPr>
              <w:ind w:left="0" w:firstLine="567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4. ПРАВА И ОБЯЗАННОСТИ СТОРОН</w:t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4.1. Заказчик вправе: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widowControl w:val="off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4.1.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1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 Осуществлять приемку результатов оказанных Услуг.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4.2. Заказчик обязан: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4.2.1. В установленные настоящим Контрактом сроки подписать акт сдачи-приемки оказанных Услуг или представить Исполнителю письменный мотивированный отказ от подписания акта.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4.2.2. Оплачивать Исполнителю оказанные Услуги в порядке и в сроки, установленные настоящим Контрактом.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4.2.3. Уведомить Исполнителя о возникших затруднениях, которые могут препятствовать оказанию Услуг, связанных с реализацией условий настоящего Контракта.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765" w:leader="none"/>
                <w:tab w:val="left" w:pos="1485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4.2.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4. Уведомлять Исполнителя о доведении (утверждении) объема прав на принятие и (или) исполнение обязательств не позднее  3 (Трех) рабочих дней со дня наступления указанного условия путем направления письменного уведомления по адресу или электронному адресу.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4.3. Исполнитель вправе: 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4.3.1. Обращаться к Заказчику за организационным содействием в целях проведения мероприятий по обеспечению выполнения обязательств по настоящему Контракту.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4.4. Исполнитель обязан: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4.4.1. Оказывать Услуги качественно, в объеме и сроки, предусмотренные настоящим Контрактом и Техническим заданием (Приложение № 1 к Контракту).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widowControl w:val="off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4.4.2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 Передать результаты оказанных Услуг Заказчику или лицу, уполномоченному Заказчиком.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4.4.3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 Своевременно представлять документы, являющиеся основанием для оплаты по настоящему Контракту.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4.4.4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 Надлежащим образом и в срок исполнять иные обязательства, предусмотренные настоящим Контрактом.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5. КАЧЕСТВО ОКАЗАНИЯ УСЛУГ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5.1.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Услуги, оказываемые по настоящему Контракту, должны в полной мере соответствовать требованиям, установленным Техническим заданием (Приложение № 1 к Контракту)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center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</w:rPr>
              <w:t xml:space="preserve">6. ОТВЕТСТВЕННОСТЬ СТОРОН</w:t>
            </w:r>
            <w:r>
              <w:rPr>
                <w:rFonts w:ascii="Times New Roman" w:hAnsi="Times New Roman"/>
                <w:b/>
                <w:color w:val="000000"/>
                <w:sz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.1. За нарушение обязательств по настоящему Контракт</w:t>
            </w:r>
            <w:r>
              <w:rPr>
                <w:rFonts w:ascii="Times New Roman" w:hAnsi="Times New Roman"/>
                <w:sz w:val="26"/>
              </w:rPr>
              <w:t xml:space="preserve">у Исполнитель несет имущественную ответственность в виде уплаты штрафов, пеней и убытков в соответствии с нормами Закона о контрактной системе, постановлением Правительства Российской Федерации от 30.08.2017 №1042 «Об утверждении Правил определения размера</w:t>
            </w:r>
            <w:r>
              <w:rPr>
                <w:rFonts w:ascii="Times New Roman" w:hAnsi="Times New Roman"/>
                <w:sz w:val="26"/>
              </w:rPr>
              <w:t xml:space="preserve">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</w:t>
            </w:r>
            <w:r>
              <w:rPr>
                <w:rFonts w:ascii="Times New Roman" w:hAnsi="Times New Roman"/>
                <w:sz w:val="26"/>
              </w:rPr>
              <w:t xml:space="preserve">тавщиком (подрядчиком, исполнителем),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– Правила).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.2. Уплата штрафов, пеней по настоящ</w:t>
            </w:r>
            <w:r>
              <w:rPr>
                <w:rFonts w:ascii="Times New Roman" w:hAnsi="Times New Roman"/>
                <w:sz w:val="26"/>
              </w:rPr>
              <w:t xml:space="preserve">ему Контракту и/или возмещение причиненных убытков не освобождает виновную сторону от выполнения обязательств по Контракту. Убытки, причиненные нарушением обязательств по настоящему Контракту, возмещаются Исполнителем в полном объеме сверх пеней и штрафов.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.3. Стороны Контракта освобождаются от ответственности за частичное или полное невыполнение обязательств по Контракту, если это неисп</w:t>
            </w:r>
            <w:r>
              <w:rPr>
                <w:rFonts w:ascii="Times New Roman" w:hAnsi="Times New Roman"/>
                <w:sz w:val="26"/>
              </w:rPr>
              <w:t xml:space="preserve">олнение явилось следствием обстоятельств непреодолимой силы (крайней необходимости). При невозможности выполнения Контракта по указанным основаниям сторона, которая не может выполнять условия Контракта, должна письменно уведомить другую сторону и представи</w:t>
            </w:r>
            <w:r>
              <w:rPr>
                <w:rFonts w:ascii="Times New Roman" w:hAnsi="Times New Roman"/>
                <w:sz w:val="26"/>
              </w:rPr>
              <w:t xml:space="preserve">ть документы Торгово-Промышленной Палаты, подтверждающие наступление обстоятельств непреодолимой силы. При продолжительности действия обстоятельств непреодолимой силы на срок более 60 (Шестьдесят) календарных дней Стороны имеют право расторгнуть Контракт. 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.4. Уплата штрафа, пеней и убытков за нарушение обязательств по Контракту производится Исполнителем на основании требования Заказчика. Срок рассмотрения требования и уплаты штрафа, пеней и убытков </w:t>
            </w:r>
            <w:r>
              <w:rPr>
                <w:rFonts w:ascii="Times New Roman" w:hAnsi="Times New Roman"/>
                <w:sz w:val="26"/>
              </w:rPr>
              <w:t xml:space="preserve">– 10 (Десять) календарных дней с момента получения требования. Уплата штрафа, пени и убытков производится путем перечисления денежных средств на счет, указанный в требовании. Если штраф, пени и убытки не будут перечислены в указанный срок, Заказчик вправе </w:t>
            </w:r>
            <w:r>
              <w:rPr>
                <w:rFonts w:ascii="Times New Roman" w:hAnsi="Times New Roman"/>
                <w:sz w:val="26"/>
              </w:rPr>
              <w:t xml:space="preserve">произвести зачет обязательств по уплате неустойки в счет оплаты за товар по Контракту, в соответствии со ст.  410 Гражданского кодекса РФ, при этом требование, направленное в соответствии с настоящим пунктом, является одновременно заявлением о зачете. 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.5. За каждый факт неисполнен</w:t>
            </w:r>
            <w:r>
              <w:rPr>
                <w:rFonts w:ascii="Times New Roman" w:hAnsi="Times New Roman"/>
                <w:sz w:val="26"/>
              </w:rPr>
              <w:t xml:space="preserve">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- 10 процентов цены контракта (этапа) в случае, если цена контракта (этапа) не превышает 3 млн. рублей;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- 5 процентов цены контракта (этапа) в случае, если цена контракта (этапа) составляет от 3 млн. рублей до 50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- 1 процент цены контракта (этапа) в случае, если цена контракта (этапа) составляет от 50 млн. рублей до 100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- 0,5 процента цены контракта (этапа) в случае, если цена контракта (этапа) составляет от 100 млн. рублей до 500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- 0,4 процента цены контракта (этапа) в случае, если цена контракта (этапа) составляет от 500 млн. рублей до 1 млрд.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- 0,3 процента цены контракта (этапа) в случае, если цена контракта (этапа) составляет от 1 млрд. рублей до 2 млрд.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- 0,25 процента цены контракта (этапа) в случае, если цена контракта (этапа) составляет от 2 млрд. рублей до 5 млрд.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- 0,2 процента цены контракта (этапа) в случае, если цена контракта (этапа) составляет от 5 млрд. рублей до 10 млрд.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- 0,1 процента цены контракта (этапа) в случае, если цена контракта (этапа) превышает 10 млрд. рублей.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а) 1000 рублей, если цена Контракта не превышает 3 млн. рублей;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б) 5000 рублей, если цена Контракта составляет от 3 млн. рублей до 50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в) 10000 рублей, если цена Контракта составляет от 50 млн. рублей до 100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г) 100000 рублей, если цена Контракта превышает 100 млн. рублей.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а) 1000 рублей, если цена Контракта не превышает 3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б) 5000 рублей, если цена Контракта составляет от 3 млн. рублей до 50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в) 10000 рублей, если цена Контракта составляет от 50 млн. рублей до 100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г) 100000 рублей, если цена Контракта превышает 100 млн. рублей.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.8. За нарушение обязательств, предусматривающих срок исполнения, Заказчиком начисляется пеня за каждый день просрочки исполнения Исполнителем обязательства, предусмотренного Контрактом, начиная со д</w:t>
            </w:r>
            <w:r>
              <w:rPr>
                <w:rFonts w:ascii="Times New Roman" w:hAnsi="Times New Roman"/>
                <w:sz w:val="26"/>
              </w:rPr>
              <w:t xml:space="preserve">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</w:t>
            </w:r>
            <w:r>
              <w:rPr>
                <w:rFonts w:ascii="Times New Roman" w:hAnsi="Times New Roman"/>
                <w:sz w:val="26"/>
              </w:rPr>
              <w:t xml:space="preserve">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и настоящим Контрактом установлен иной порядок начисления пени.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.9. 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.10. В случае просрочки исполнения Заказчиком обязательств, предусмотренных Контрактом, Исполнитель </w:t>
            </w:r>
            <w:r>
              <w:rPr>
                <w:rFonts w:ascii="Times New Roman" w:hAnsi="Times New Roman"/>
                <w:sz w:val="26"/>
              </w:rPr>
              <w:t xml:space="preserve">вправе потребовать уплаты пеней.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</w:t>
            </w:r>
            <w:r>
              <w:rPr>
                <w:rFonts w:ascii="Times New Roman" w:hAnsi="Times New Roman"/>
                <w:sz w:val="26"/>
              </w:rPr>
              <w:t xml:space="preserve">Контрактом в размере 1/300 действующей на дату уплаты пеней ключевой ставки Банка России от не уплаченной в срок суммы.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.11. Применение предус</w:t>
            </w:r>
            <w:r>
              <w:rPr>
                <w:rFonts w:ascii="Times New Roman" w:hAnsi="Times New Roman"/>
                <w:sz w:val="26"/>
              </w:rPr>
              <w:t xml:space="preserve">мотренных настоящим разделом санкций не лишает Заказчика права на возмещение в полном объеме ущерба, возникшего в результате неисполнения (ненадлежащего исполнения) Исполнителем своих обязательств, в том числе, за расторжение Контракта по вине Исполнителя.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.12. В случае нарушения Исполнителем обязательств по настоящему Контракту, Заказчик вправе удовлетворить требования за счет Обеспечения по настоящему Контракту. 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 xml:space="preserve">При предоставлении обеспечения в виде банковской гарантии, Заказчик предъявляет требование банку, выдавшему банковскую гарантию в порядке, предусмотренном условиями банковской гарантии и законом.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При предоставлении обеспечения в виде внесения денежных средств на счет Заказчика, последний на основании одностороннего заявления вправе произвести зачет встречных однородных требований в соответствии со ст. 410 ГК РФ.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6</w:t>
            </w:r>
            <w:r>
              <w:rPr>
                <w:rFonts w:ascii="Times New Roman" w:hAnsi="Times New Roman"/>
                <w:sz w:val="26"/>
              </w:rPr>
              <w:t xml:space="preserve">.13. За каждый </w:t>
            </w:r>
            <w:r>
              <w:rPr>
                <w:rFonts w:ascii="Times New Roman" w:hAnsi="Times New Roman"/>
                <w:sz w:val="26"/>
              </w:rPr>
              <w:t xml:space="preserve">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</w:t>
            </w:r>
            <w:r>
              <w:rPr>
                <w:rFonts w:ascii="Times New Roman" w:hAnsi="Times New Roman"/>
                <w:sz w:val="26"/>
              </w:rPr>
              <w:t xml:space="preserve">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а) в случае, если цена контракта не превышает начальную (максимальную) цену контракта: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10 процентов начальной (максимальной) цены контракта, если цена контракта не превышает 3 млн. рублей;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б) в случае, если цена контракта превышает начальную (максимальную) цену контракта: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10 процентов цены контракта, если цена контракта не превышает 3 млн. рублей;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5 процентов цены контракта, если цена контракта составляет от 3 млн. рублей до 50 млн. рублей (включительно);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 процент цены контракта, если цена контракта составляет от 50 млн. рублей до 100 млн. рублей (включительно).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right="-1" w:firstLine="601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right="-1" w:firstLine="567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7. СРОК ДЕЙСТВИЯ КОНТРАКТА И ПОРЯДОК ЕГО ИЗМЕНЕНИЯ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7.1. Настоящий Контракт вступает в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силу с момента подписания и действует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по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«30»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сентября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2026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года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, а в части оплаты - до полного исполнения обязательств, а по гарантийным обязательствам до дня их полного исполнения.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7.2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ст. 95 Федерального закона от 05.04.2013г. № 44-ФЗ.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contextualSpacing/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pacing w:val="2"/>
                <w:sz w:val="26"/>
              </w:rPr>
            </w:pPr>
            <w:r>
              <w:rPr>
                <w:rFonts w:ascii="Times New Roman" w:hAnsi="Times New Roman"/>
                <w:color w:val="1d1b11"/>
                <w:spacing w:val="3"/>
                <w:sz w:val="26"/>
              </w:rPr>
              <w:t xml:space="preserve">7.3</w:t>
            </w:r>
            <w:r>
              <w:rPr>
                <w:rFonts w:ascii="Times New Roman" w:hAnsi="Times New Roman"/>
                <w:color w:val="1d1b11"/>
                <w:spacing w:val="3"/>
                <w:sz w:val="26"/>
              </w:rPr>
              <w:t xml:space="preserve">. Изменения настоящего Контракта совершаются только в письменной форме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в виде дополнительных соглашений, которые </w:t>
            </w:r>
            <w:r>
              <w:rPr>
                <w:rFonts w:ascii="Times New Roman" w:hAnsi="Times New Roman"/>
                <w:color w:val="1d1b11"/>
                <w:spacing w:val="2"/>
                <w:sz w:val="26"/>
              </w:rPr>
              <w:t xml:space="preserve">являются неотъемлемыми частями настоящего Контракта, и подлежат подписанию обеими Сторонами.</w:t>
            </w:r>
            <w:r>
              <w:rPr>
                <w:rFonts w:ascii="Times New Roman" w:hAnsi="Times New Roman"/>
                <w:color w:val="1d1b11"/>
                <w:spacing w:val="2"/>
                <w:sz w:val="26"/>
              </w:rPr>
            </w:r>
            <w:r>
              <w:rPr>
                <w:rFonts w:ascii="Times New Roman" w:hAnsi="Times New Roman"/>
                <w:color w:val="1d1b11"/>
                <w:spacing w:val="2"/>
                <w:sz w:val="26"/>
              </w:rPr>
            </w:r>
          </w:p>
          <w:p>
            <w:pPr>
              <w:ind w:right="-1"/>
              <w:spacing w:after="0" w:line="240" w:lineRule="auto"/>
              <w:tabs>
                <w:tab w:val="left" w:pos="709" w:leader="none"/>
                <w:tab w:val="left" w:pos="821" w:leader="none"/>
              </w:tabs>
              <w:rPr>
                <w:rFonts w:ascii="Times New Roman" w:hAnsi="Times New Roman"/>
                <w:b/>
                <w:color w:val="1d1b11"/>
                <w:spacing w:val="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pacing w:val="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pacing w:val="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pacing w:val="1"/>
                <w:sz w:val="26"/>
              </w:rPr>
            </w:r>
          </w:p>
          <w:p>
            <w:pPr>
              <w:ind w:left="0" w:right="-1" w:firstLine="567"/>
              <w:jc w:val="center"/>
              <w:spacing w:after="0" w:line="240" w:lineRule="auto"/>
              <w:tabs>
                <w:tab w:val="left" w:pos="709" w:leader="none"/>
                <w:tab w:val="left" w:pos="821" w:leader="none"/>
              </w:tabs>
              <w:rPr>
                <w:rFonts w:ascii="Times New Roman" w:hAnsi="Times New Roman"/>
                <w:b/>
                <w:color w:val="1d1b11"/>
                <w:spacing w:val="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pacing w:val="1"/>
                <w:sz w:val="26"/>
              </w:rPr>
              <w:t xml:space="preserve">8. ОБСТОЯТЕЛЬСТВА НЕПРЕОДОЛИМОЙ СИЛЫ</w:t>
            </w:r>
            <w:r>
              <w:rPr>
                <w:rFonts w:ascii="Times New Roman" w:hAnsi="Times New Roman"/>
                <w:b/>
                <w:color w:val="1d1b11"/>
                <w:spacing w:val="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pacing w:val="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8.1. Стороны освобождаются от от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ветственности за частичное или полное неисполнение своих обязательств по Контракту, если оно явилось следствием действия обстоятельств непреодолимой силы, возникших после заключения Контракта в результате событий чрезвычайного характера, которые Стороны не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right="-1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могли предотвратить разумными мера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ми. К обстоятельствам непреодолимой силы относятся события, на которые Стороны не могут оказать влияния. Таковыми являются: землетрясения, пожары, наводнения, забастовки, влияющие на исполнение обязательств по Контракту, другие чрезвычайные обстоятельства.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8.2. В случае наступления обстоятельств, указанных в пункте 8.1. Контракта, Сторона, которая не в состоянии исполнить взятые на себя обязательства, должна в 5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дневный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срок с момента их наступления сообщить об этом другой Стороне в письменной форме. С момента наступления форс-мажорных обстоятельств действие Контракта приостанавливается до момента, определяемого соглашением Сторон.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8.3. Сроки исполнения Сторонами своих обязательств по настоящему Контракту продлеваются на время действия форс-мажорных обстоятельств, но не более чем 3 месяца.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8.4. Не уведомление или несвоевременное уведомление лишает соответствующую Сторону права ссылаться на любое из вышеуказанных обстоятельств, как на основание, освобождающие ее от ответственности по настоящему Контракту.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8.5. Если обстоятельства,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указанные в пункте 8.1 Контракта, будут продолжаться более чем 3 месяца, Стороны подписывают соответствующее дополнительное соглашение. Если указанное Соглашение не будет заключено Сторонами, Стороны вправе по согласованию расторгнуть настоящий Контракт. 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right="-1" w:firstLine="567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right="-1" w:firstLine="567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9. ПОРЯДОК РАССМОТРЕНИЯ СПОРОВ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 И РАСТОРЖЕНИЯ КОНТРАКТА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9.1. В случае возникновения споров в связи с выполнением обязательств по настоящему Контракту, они разрешаются Сторонами в претензионном порядке. Претензию необходимо рассмотреть и дать по ней письменный ответ по существу в с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рок не поздне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е 15 (Пятнадцать) календарных дней с даты ее получения. Все претензии по выполнению условий настоящего Контракта должны заявляться Сторонами в письменной форме и направляться контрагенту по почте, с курьером или с использованием средств факсимильной связи.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9.2. В случае невозможности разрешения Сторонами спора в претензионном порядке, он рассматривается Арбитражным судом Пермского края. 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9.3. Настоящий Контракт может быть расторгнут по соглашению сторон, по решению суда, в одностороннем порядке в соответствии с требованиями действующего законодательства РФ.</w:t>
            </w:r>
            <w:r>
              <w:rPr>
                <w:rFonts w:ascii="Times New Roman" w:hAnsi="Times New Roman"/>
                <w:color w:val="1d1b1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color w:val="1d1b11"/>
                <w:sz w:val="26"/>
                <w:szCs w:val="26"/>
                <w:highlight w:val="none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center"/>
              <w:spacing w:after="0" w:line="240" w:lineRule="auto"/>
              <w:tabs>
                <w:tab w:val="left" w:pos="0" w:leader="none"/>
                <w:tab w:val="left" w:pos="1320" w:leader="none"/>
              </w:tabs>
              <w:rPr>
                <w:rFonts w:ascii="Times New Roman" w:hAnsi="Times New Roman"/>
                <w:b/>
                <w:caps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10. КОНФИДЕНЦИАЛЬНОСТЬ</w:t>
            </w:r>
            <w:r>
              <w:rPr>
                <w:rFonts w:ascii="Times New Roman" w:hAnsi="Times New Roman"/>
                <w:b/>
                <w:caps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aps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aps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10.1. Стороны обязуются не разглашать конфиденциальную информацию, которая стала им известна в ходе исполнения настоящего Контракта. Под конфиденциальной информацией следует понимать сведения, составляющие служебную и коммерческую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 тайну, а также иные сведения, которые будут отнесены к конфиденциальным по заявлению заинтересованной Стороны. Сторона, виновная в разглашении конфиденциальной информации, обязана возместить потерпевшей Стороне причиненные при этом убытки в полном объеме.</w:t>
            </w:r>
            <w:r>
              <w:rPr>
                <w:rFonts w:ascii="Times New Roman" w:hAnsi="Times New Roman"/>
                <w:caps/>
                <w:color w:val="1d1b11"/>
                <w:sz w:val="26"/>
              </w:rPr>
            </w:r>
            <w:r>
              <w:rPr>
                <w:rFonts w:ascii="Times New Roman" w:hAnsi="Times New Roman"/>
                <w:caps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10.2. В течение 5 (Пяти) лет с даты вступления 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в силу настоящего Контракта стороны обязуются хранить в тайне любую информацию и данные, полученные каждой из Сторон в рамках выполнения настоящего Контракта, добровольно не открывать и не разглашать, в общем или в частности, факты или информацию, относящи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еся к предмету Контракта, какой-либо третьей стороне без письменного согласия второй стороны договора.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left="0" w:firstLine="567"/>
              <w:jc w:val="both"/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</w:r>
            <w:r>
              <w:rPr>
                <w:rFonts w:ascii="Times New Roman" w:hAnsi="Times New Roman"/>
                <w:b/>
                <w:sz w:val="26"/>
              </w:rPr>
            </w:r>
            <w:r>
              <w:rPr>
                <w:rFonts w:ascii="Times New Roman" w:hAnsi="Times New Roman"/>
                <w:b/>
                <w:sz w:val="26"/>
              </w:rPr>
            </w:r>
          </w:p>
          <w:p>
            <w:pPr>
              <w:ind w:right="40"/>
              <w:jc w:val="center"/>
              <w:spacing w:after="0" w:line="340" w:lineRule="exact"/>
              <w:widowControl w:val="off"/>
              <w:tabs>
                <w:tab w:val="left" w:pos="566" w:leader="none"/>
                <w:tab w:val="left" w:pos="851" w:leader="none"/>
              </w:tabs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11</w:t>
            </w:r>
            <w:r>
              <w:rPr>
                <w:rFonts w:ascii="Times New Roman" w:hAnsi="Times New Roman"/>
                <w:b/>
                <w:sz w:val="26"/>
              </w:rPr>
              <w:t xml:space="preserve">. АНТИКОРРУПЦИОННАЯ ОГОВОРКА</w:t>
            </w:r>
            <w:r>
              <w:rPr>
                <w:rFonts w:ascii="Times New Roman" w:hAnsi="Times New Roman"/>
                <w:b/>
                <w:sz w:val="26"/>
              </w:rPr>
            </w:r>
            <w:r>
              <w:rPr>
                <w:rFonts w:ascii="Times New Roman" w:hAnsi="Times New Roman"/>
                <w:b/>
                <w:sz w:val="26"/>
              </w:rPr>
            </w:r>
          </w:p>
          <w:p>
            <w:pPr>
              <w:ind w:left="0" w:right="40" w:firstLine="601"/>
              <w:jc w:val="both"/>
              <w:spacing w:after="0" w:line="240" w:lineRule="auto"/>
              <w:widowControl w:val="off"/>
              <w:tabs>
                <w:tab w:val="left" w:pos="566" w:leader="none"/>
                <w:tab w:val="left" w:pos="851" w:leader="none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11</w:t>
            </w:r>
            <w:r>
              <w:rPr>
                <w:rFonts w:ascii="Times New Roman" w:hAnsi="Times New Roman"/>
                <w:sz w:val="26"/>
              </w:rPr>
              <w:t xml:space="preserve">.1. При исполнении своих обязательств по </w:t>
            </w:r>
            <w:r>
              <w:rPr>
                <w:rFonts w:ascii="Times New Roman" w:hAnsi="Times New Roman"/>
                <w:sz w:val="26"/>
              </w:rPr>
              <w:t xml:space="preserve">Контракту</w:t>
            </w:r>
            <w:r>
              <w:rPr>
                <w:rFonts w:ascii="Times New Roman" w:hAnsi="Times New Roman"/>
                <w:sz w:val="26"/>
              </w:rPr>
              <w:t xml:space="preserve"> Стороны, их аффилированные лица, работники или посредники не выплачивают, не п</w:t>
            </w:r>
            <w:r>
              <w:rPr>
                <w:rFonts w:ascii="Times New Roman" w:hAnsi="Times New Roman"/>
                <w:sz w:val="26"/>
              </w:rPr>
      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right="40" w:firstLine="601"/>
              <w:jc w:val="both"/>
              <w:spacing w:after="0" w:line="240" w:lineRule="auto"/>
              <w:widowControl w:val="off"/>
              <w:tabs>
                <w:tab w:val="left" w:pos="566" w:leader="none"/>
                <w:tab w:val="left" w:pos="851" w:leader="none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11</w:t>
            </w:r>
            <w:r>
              <w:rPr>
                <w:rFonts w:ascii="Times New Roman" w:hAnsi="Times New Roman"/>
                <w:sz w:val="26"/>
              </w:rPr>
              <w:t xml:space="preserve">.2. При исполнении своих обязательств по Контракту Стороны, их аффилированные лица, работники или посредники не осуществляют действия, квалифицируемым применимым д</w:t>
            </w:r>
            <w:r>
              <w:rPr>
                <w:rFonts w:ascii="Times New Roman" w:hAnsi="Times New Roman"/>
                <w:sz w:val="26"/>
              </w:rPr>
              <w:t xml:space="preserve">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right="40" w:firstLine="601"/>
              <w:jc w:val="both"/>
              <w:spacing w:after="0" w:line="240" w:lineRule="auto"/>
              <w:widowControl w:val="off"/>
              <w:tabs>
                <w:tab w:val="left" w:pos="566" w:leader="none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11</w:t>
            </w:r>
            <w:r>
              <w:rPr>
                <w:rFonts w:ascii="Times New Roman" w:hAnsi="Times New Roman"/>
                <w:sz w:val="26"/>
              </w:rPr>
              <w:t xml:space="preserve">.3. В случае возникновения у Стороны подозрений, что произошло или может произойти наруш</w:t>
            </w:r>
            <w:r>
              <w:rPr>
                <w:rFonts w:ascii="Times New Roman" w:hAnsi="Times New Roman"/>
                <w:sz w:val="26"/>
              </w:rPr>
              <w:t xml:space="preserve">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</w:t>
            </w:r>
            <w:r>
              <w:rPr>
                <w:rFonts w:ascii="Times New Roman" w:hAnsi="Times New Roman"/>
                <w:sz w:val="26"/>
              </w:rPr>
              <w:t xml:space="preserve">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дача/полу</w:t>
            </w:r>
            <w:r>
              <w:rPr>
                <w:rFonts w:ascii="Times New Roman" w:hAnsi="Times New Roman"/>
                <w:sz w:val="26"/>
              </w:rPr>
              <w:t xml:space="preserve">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письменного уведомления, соответствующая Сто</w:t>
            </w:r>
            <w:r>
              <w:rPr>
                <w:rFonts w:ascii="Times New Roman" w:hAnsi="Times New Roman"/>
                <w:sz w:val="26"/>
              </w:rPr>
              <w:t xml:space="preserve">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      </w: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</w:r>
          </w:p>
          <w:p>
            <w:pPr>
              <w:ind w:left="0" w:right="40" w:firstLine="601"/>
              <w:jc w:val="both"/>
              <w:spacing w:after="0" w:line="240" w:lineRule="auto"/>
              <w:widowControl w:val="off"/>
              <w:tabs>
                <w:tab w:val="left" w:pos="566" w:leader="none"/>
              </w:tabs>
              <w:rPr>
                <w:rFonts w:ascii="Times New Roman" w:hAnsi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sz w:val="26"/>
              </w:rPr>
              <w:t xml:space="preserve">11</w:t>
            </w:r>
            <w:r>
              <w:rPr>
                <w:rFonts w:ascii="Times New Roman" w:hAnsi="Times New Roman"/>
                <w:sz w:val="26"/>
              </w:rPr>
              <w:t xml:space="preserve">.4.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      </w:r>
            <w:r>
              <w:rPr>
                <w:rFonts w:ascii="Times New Roman" w:hAnsi="Times New Roman"/>
                <w:sz w:val="26"/>
              </w:rPr>
              <w:t xml:space="preserve">Контрактом</w:t>
            </w:r>
            <w:r>
              <w:rPr>
                <w:rFonts w:ascii="Times New Roman" w:hAnsi="Times New Roman"/>
                <w:sz w:val="26"/>
              </w:rPr>
              <w:t xml:space="preserve"> срок подтверждения, что нарушения не произошло или не произойдет, другая Сторона имеет право расторгнуть </w:t>
            </w:r>
            <w:r>
              <w:rPr>
                <w:rFonts w:ascii="Times New Roman" w:hAnsi="Times New Roman"/>
                <w:sz w:val="26"/>
              </w:rPr>
              <w:t xml:space="preserve">Контракт</w:t>
            </w:r>
            <w:r>
              <w:rPr>
                <w:rFonts w:ascii="Times New Roman" w:hAnsi="Times New Roman"/>
                <w:sz w:val="26"/>
              </w:rPr>
              <w:t xml:space="preserve"> в одностороннем порядке полностью или в части, направив письменное уведомление о расторжении. Сторона, </w:t>
            </w:r>
            <w:r>
              <w:rPr>
                <w:rFonts w:ascii="Times New Roman" w:hAnsi="Times New Roman"/>
                <w:sz w:val="26"/>
              </w:rPr>
              <w:t xml:space="preserve">по чьей инициативе был расторгнут </w:t>
            </w:r>
            <w:r>
              <w:rPr>
                <w:rFonts w:ascii="Times New Roman" w:hAnsi="Times New Roman"/>
                <w:sz w:val="26"/>
              </w:rPr>
              <w:t xml:space="preserve">Контракт</w:t>
            </w:r>
            <w:r>
              <w:rPr>
                <w:rFonts w:ascii="Times New Roman" w:hAnsi="Times New Roman"/>
                <w:sz w:val="26"/>
              </w:rPr>
      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</w:r>
          </w:p>
          <w:p>
            <w:pPr>
              <w:ind w:right="-1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</w:rPr>
            </w:r>
          </w:p>
          <w:p>
            <w:pPr>
              <w:ind w:left="0" w:right="-1" w:firstLine="567"/>
              <w:jc w:val="center"/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12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. ПРИЛОЖЕНИЯ</w:t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  <w:p>
            <w:pPr>
              <w:ind w:left="0" w:right="-1" w:firstLine="567"/>
              <w:jc w:val="both"/>
              <w:spacing w:after="0" w:line="240" w:lineRule="auto"/>
              <w:tabs>
                <w:tab w:val="left" w:pos="830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12</w:t>
            </w:r>
            <w:r>
              <w:rPr>
                <w:rFonts w:ascii="Times New Roman" w:hAnsi="Times New Roman"/>
                <w:color w:val="1d1b11"/>
                <w:sz w:val="26"/>
              </w:rPr>
              <w:t xml:space="preserve">.1. К настоящему Контракту прилагается и является его неотъемлемой частью: 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right="-1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- Техническое задание (Приложение №1).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right="-1"/>
              <w:jc w:val="both"/>
              <w:spacing w:after="0" w:line="240" w:lineRule="auto"/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  <w:p>
            <w:pPr>
              <w:ind w:right="-1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  <w:t xml:space="preserve">14. АДРЕСА, БАНКОВСКИЕ РЕКВИЗИТЫ И ПОДПИСИ СТОРОН</w:t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  <w:highlight w:val="none"/>
              </w:rPr>
            </w:r>
          </w:p>
          <w:p>
            <w:pPr>
              <w:ind w:right="-1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  <w:highlight w:val="none"/>
              </w:rPr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color w:val="1d1b11"/>
                <w:sz w:val="26"/>
                <w:szCs w:val="26"/>
              </w:rPr>
            </w:r>
          </w:p>
          <w:tbl>
            <w:tblPr>
              <w:tblStyle w:val="868"/>
              <w:tblW w:w="0" w:type="auto"/>
              <w:tblInd w:w="19" w:type="dxa"/>
              <w:tblLayout w:type="fixed"/>
              <w:tblLook w:val="04A0" w:firstRow="1" w:lastRow="0" w:firstColumn="1" w:lastColumn="0" w:noHBand="0" w:noVBand="1"/>
            </w:tblPr>
            <w:tblGrid>
              <w:gridCol w:w="5106"/>
              <w:gridCol w:w="5207"/>
            </w:tblGrid>
            <w:tr>
              <w:tblPrEx/>
              <w:trPr>
                <w:trHeight w:val="1491"/>
              </w:trPr>
              <w:tc>
                <w:tcPr>
                  <w:tcW w:w="5106" w:type="dxa"/>
                  <w:textDirection w:val="lrTb"/>
                  <w:noWrap w:val="false"/>
                </w:tcPr>
                <w:p>
                  <w:pPr>
                    <w:ind w:left="-19" w:firstLine="19"/>
                    <w:spacing w:after="0" w:line="240" w:lineRule="auto"/>
                    <w:tabs>
                      <w:tab w:val="left" w:pos="830" w:leader="none"/>
                    </w:tabs>
                    <w:rPr>
                      <w:rFonts w:ascii="Times New Roman" w:hAnsi="Times New Roman" w:cs="Times New Roman"/>
                      <w:b/>
                      <w:color w:val="1d1b11"/>
                      <w:sz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color w:val="1d1b11"/>
                      <w:sz w:val="24"/>
                    </w:rPr>
                    <w:t xml:space="preserve">Заказчик:</w:t>
                  </w:r>
                  <w:r>
                    <w:rPr>
                      <w:rFonts w:ascii="Times New Roman" w:hAnsi="Times New Roman" w:cs="Times New Roman"/>
                      <w:b/>
                      <w:color w:val="1d1b11"/>
                      <w:sz w:val="24"/>
                    </w:rPr>
                  </w:r>
                  <w:r>
                    <w:rPr>
                      <w:rFonts w:ascii="Times New Roman" w:hAnsi="Times New Roman" w:cs="Times New Roman"/>
                      <w:b/>
                      <w:color w:val="1d1b11"/>
                      <w:sz w:val="24"/>
                    </w:rPr>
                  </w:r>
                </w:p>
                <w:p>
                  <w:pPr>
                    <w:ind w:right="-174"/>
                    <w:jc w:val="left"/>
                    <w:spacing w:after="0" w:line="283" w:lineRule="exact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b/>
                      <w:bCs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d1b11"/>
                      <w:sz w:val="24"/>
                      <w:szCs w:val="24"/>
                    </w:rPr>
                    <w:t xml:space="preserve">Территориальное управление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d1b11"/>
                      <w:sz w:val="24"/>
                      <w:szCs w:val="24"/>
                    </w:rPr>
                    <w:t xml:space="preserve">Федерального агентства по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d1b11"/>
                      <w:sz w:val="24"/>
                      <w:szCs w:val="24"/>
                    </w:rPr>
                    <w:t xml:space="preserve">управлению государственным имуществом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d1b11"/>
                      <w:sz w:val="24"/>
                      <w:szCs w:val="24"/>
                    </w:rPr>
                    <w:t xml:space="preserve">в Пермском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d1b11"/>
                      <w:sz w:val="24"/>
                      <w:szCs w:val="24"/>
                    </w:rPr>
                    <w:t xml:space="preserve">крае (ТУ Росимущества в Пермском крае)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-174"/>
                    <w:jc w:val="left"/>
                    <w:spacing w:after="0" w:afterAutospacing="0" w:line="277" w:lineRule="exact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Адрес: 614045 г. Пермь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ул. Куйбышева, 6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-174"/>
                    <w:jc w:val="left"/>
                    <w:spacing w:after="0" w:afterAutospacing="0" w:line="277" w:lineRule="exact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ИНН 5902293756, КПП 590201001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-174"/>
                    <w:jc w:val="left"/>
                    <w:spacing w:after="0" w:afterAutospacing="0" w:line="277" w:lineRule="exact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УФК по Новосибирской области (ТУ Росимущества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</w:rPr>
                    <w:t xml:space="preserve">в Пермском крае, л/с 03561А62100)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r>
                </w:p>
                <w:p>
                  <w:pPr>
                    <w:pStyle w:val="815"/>
                    <w:jc w:val="left"/>
                    <w:spacing w:after="0" w:afterAutospacing="0" w:line="277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</w:rPr>
                    <w:t xml:space="preserve">Банк получателя: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  <w:shd w:val="clear" w:color="auto" w:fill="ffff00"/>
                    </w:rPr>
                    <w:t xml:space="preserve">ОКЦ № 1 СибГУ Ба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  <w:shd w:val="clear" w:color="auto" w:fill="ffff00"/>
                    </w:rPr>
                    <w:t xml:space="preserve">нка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  <w:shd w:val="clear" w:color="ffffff" w:themeColor="background1" w:fill="ffffff" w:themeFill="background1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  <w:shd w:val="clear" w:color="auto" w:fill="ffff00"/>
                    </w:rPr>
                    <w:t xml:space="preserve">России//УФК по Новосибирской области, г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  <w:shd w:val="clear" w:color="ffffff" w:themeColor="background1" w:fill="ffffff" w:themeFill="background1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  <w:shd w:val="clear" w:color="auto" w:fill="ffff00"/>
                    </w:rPr>
                    <w:t xml:space="preserve">Новосибирск</w:t>
                  </w:r>
                  <w:r>
                    <w:rPr>
                      <w:rFonts w:ascii="Times New Roman" w:hAnsi="Times New Roman" w:cs="Times New Roman"/>
                      <w:highlight w:val="whit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</w:rPr>
                  </w:r>
                </w:p>
                <w:p>
                  <w:pPr>
                    <w:pStyle w:val="815"/>
                    <w:jc w:val="left"/>
                    <w:spacing w:after="0" w:afterAutospacing="0" w:line="277" w:lineRule="exact"/>
                    <w:rPr>
                      <w:rFonts w:ascii="Times New Roman" w:hAnsi="Times New Roman" w:cs="Times New Roman"/>
                      <w:highlight w:val="white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highlight w:val="white"/>
                      <w:shd w:val="clear" w:color="auto" w:fill="ffff0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  <w:highlight w:val="white"/>
                    </w:rPr>
                    <w:t xml:space="preserve">Казначейский счет (р/сч) 03211643000000015111</w:t>
                  </w:r>
                  <w:r>
                    <w:rPr>
                      <w:rFonts w:ascii="Times New Roman" w:hAnsi="Times New Roman" w:cs="Times New Roman"/>
                      <w:highlight w:val="white"/>
                    </w:rPr>
                  </w:r>
                  <w:r>
                    <w:rPr>
                      <w:rFonts w:ascii="Times New Roman" w:hAnsi="Times New Roman" w:cs="Times New Roman"/>
                      <w:highlight w:val="white"/>
                    </w:rPr>
                  </w:r>
                </w:p>
                <w:p>
                  <w:pPr>
                    <w:pStyle w:val="815"/>
                    <w:jc w:val="left"/>
                    <w:spacing w:after="0" w:afterAutospacing="0" w:line="277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БИК УФК по Новосибирской области 015004950</w: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  <w:p>
                  <w:pPr>
                    <w:ind w:right="-174"/>
                    <w:jc w:val="left"/>
                    <w:spacing w:after="0" w:afterAutospacing="0" w:line="277" w:lineRule="exact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Единый казначейский счет (кор.счет) 40102810445370000043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-174"/>
                    <w:jc w:val="left"/>
                    <w:spacing w:after="0" w:afterAutospacing="0" w:line="277" w:lineRule="exact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ОКТМО 57701000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Код по ОКПО 70863792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-174"/>
                    <w:jc w:val="left"/>
                    <w:spacing w:after="0" w:afterAutospacing="0" w:line="277" w:lineRule="exact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ОГРН 1115902001632 от 28.02.2011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ind w:right="-174"/>
                    <w:jc w:val="left"/>
                    <w:spacing w:after="0" w:afterAutospacing="0" w:line="277" w:lineRule="exact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Телефон: +7 (342)235-17-91, 235-17-92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jc w:val="left"/>
                    <w:spacing w:after="0" w:afterAutospacing="0" w:line="277" w:lineRule="exact"/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E-mail </w:t>
                  </w:r>
                  <w:hyperlink r:id="rId8" w:tooltip="http://tu59@rosim.gov.ru" w:history="1">
                    <w:r>
                      <w:rPr>
                        <w:rStyle w:val="871"/>
                        <w:rFonts w:ascii="Times New Roman" w:hAnsi="Times New Roman" w:eastAsia="Times New Roman" w:cs="Times New Roman"/>
                        <w:b w:val="0"/>
                        <w:bCs w:val="0"/>
                        <w:sz w:val="24"/>
                        <w:szCs w:val="24"/>
                      </w:rPr>
                      <w:t xml:space="preserve">tu59@rosim.gov.ru</w:t>
                    </w:r>
                  </w:hyperlink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106"/>
                    <w:spacing w:after="0" w:line="240" w:lineRule="auto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1d1b1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ind w:right="106"/>
                    <w:spacing w:after="0" w:line="240" w:lineRule="auto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106"/>
                    <w:spacing w:after="0" w:line="240" w:lineRule="auto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106"/>
                    <w:spacing w:after="0" w:line="240" w:lineRule="auto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pStyle w:val="815"/>
                    <w:jc w:val="left"/>
                    <w:spacing w:line="283" w:lineRule="exact"/>
                    <w:rPr>
                      <w:rFonts w:ascii="Times New Roman" w:hAnsi="Times New Roman" w:eastAsia="Times New Roman" w:cs="Times New Roman"/>
                      <w:highlight w:val="none"/>
                      <w:lang w:eastAsia="ar-SA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eastAsia="ar-SA"/>
                    </w:rPr>
                    <w:t xml:space="preserve">Руководитель ТУ Росимущества в Пермском крае</w:t>
                  </w:r>
                  <w:r>
                    <w:rPr>
                      <w:rFonts w:ascii="Times New Roman" w:hAnsi="Times New Roman" w:eastAsia="Times New Roman" w:cs="Times New Roman"/>
                      <w:highlight w:val="none"/>
                      <w:lang w:eastAsia="ar-SA"/>
                    </w:rPr>
                  </w:r>
                  <w:r>
                    <w:rPr>
                      <w:rFonts w:ascii="Times New Roman" w:hAnsi="Times New Roman" w:eastAsia="Times New Roman" w:cs="Times New Roman"/>
                      <w:highlight w:val="none"/>
                      <w:lang w:eastAsia="ar-SA"/>
                    </w:rPr>
                  </w:r>
                </w:p>
                <w:p>
                  <w:pPr>
                    <w:pStyle w:val="815"/>
                    <w:jc w:val="left"/>
                    <w:spacing w:line="283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  <w:highlight w:val="none"/>
                      <w:lang w:eastAsia="ar-SA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  <w:p>
                  <w:pPr>
                    <w:pStyle w:val="815"/>
                    <w:jc w:val="left"/>
                    <w:spacing w:line="283" w:lineRule="exac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  <w:lang w:eastAsia="ar-SA"/>
                    </w:rPr>
                    <w:t xml:space="preserve">________________________/Е.В. Миронова/</w:t>
                  </w:r>
                  <w:r>
                    <w:rPr>
                      <w:rFonts w:ascii="Times New Roman" w:hAnsi="Times New Roman" w:cs="Times New Roman"/>
                    </w:rPr>
                  </w:r>
                  <w:r>
                    <w:rPr>
                      <w:rFonts w:ascii="Times New Roman" w:hAnsi="Times New Roman" w:cs="Times New Roman"/>
                    </w:rPr>
                  </w:r>
                </w:p>
                <w:p>
                  <w:pPr>
                    <w:ind w:right="106"/>
                    <w:spacing w:after="0" w:line="240" w:lineRule="auto"/>
                    <w:tabs>
                      <w:tab w:val="left" w:pos="691" w:leader="none"/>
                    </w:tabs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1d1b11"/>
                      <w:sz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«_____» _______________ 20</w:t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26</w:t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 года </w:t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ind w:right="106"/>
                    <w:spacing w:after="0" w:line="240" w:lineRule="auto"/>
                    <w:tabs>
                      <w:tab w:val="left" w:pos="691" w:leader="none"/>
                    </w:tabs>
                    <w:rPr>
                      <w:rFonts w:ascii="Times New Roman" w:hAnsi="Times New Roman" w:eastAsia="Times New Roman" w:cs="Times New Roman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1d1b11"/>
                      <w:sz w:val="24"/>
                      <w:highlight w:val="none"/>
                    </w:rPr>
                    <w:t xml:space="preserve">мп</w:t>
                  </w:r>
                  <w:r>
                    <w:rPr>
                      <w:rFonts w:ascii="Times New Roman" w:hAnsi="Times New Roman" w:eastAsia="Times New Roman" w:cs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1d1b11"/>
                      <w:sz w:val="24"/>
                      <w:szCs w:val="24"/>
                      <w:highlight w:val="none"/>
                    </w:rPr>
                  </w:r>
                </w:p>
              </w:tc>
              <w:tc>
                <w:tcPr>
                  <w:tcW w:w="5207" w:type="dxa"/>
                  <w:textDirection w:val="lrTb"/>
                  <w:noWrap w:val="false"/>
                </w:tcPr>
                <w:p>
                  <w:pPr>
                    <w:keepLines/>
                    <w:keepNext/>
                    <w:spacing w:after="0" w:line="240" w:lineRule="auto"/>
                    <w:tabs>
                      <w:tab w:val="left" w:pos="830" w:leader="none"/>
                    </w:tabs>
                    <w:rPr>
                      <w:rFonts w:ascii="Times New Roman" w:hAnsi="Times New Roman"/>
                      <w:b/>
                      <w:color w:val="1d1b11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color w:val="1d1b11"/>
                      <w:sz w:val="24"/>
                    </w:rPr>
                    <w:t xml:space="preserve">Исполнитель:</w:t>
                  </w:r>
                  <w:r>
                    <w:rPr>
                      <w:rFonts w:ascii="Times New Roman" w:hAnsi="Times New Roman"/>
                      <w:b/>
                      <w:color w:val="1d1b11"/>
                      <w:sz w:val="24"/>
                    </w:rPr>
                  </w:r>
                  <w:r>
                    <w:rPr>
                      <w:rFonts w:ascii="Times New Roman" w:hAnsi="Times New Roman"/>
                      <w:b/>
                      <w:color w:val="1d1b11"/>
                      <w:sz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color w:val="1d1b11"/>
                    </w:rPr>
                  </w:pPr>
                  <w:r>
                    <w:rPr>
                      <w:rFonts w:ascii="Times New Roman" w:hAnsi="Times New Roman"/>
                      <w:color w:val="1d1b11"/>
                    </w:rPr>
                  </w:r>
                  <w:r>
                    <w:rPr>
                      <w:rFonts w:ascii="Times New Roman" w:hAnsi="Times New Roman"/>
                      <w:color w:val="1d1b11"/>
                    </w:rPr>
                  </w:r>
                  <w:r>
                    <w:rPr>
                      <w:rFonts w:ascii="Times New Roman" w:hAnsi="Times New Roman"/>
                      <w:color w:val="1d1b11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/>
                      <w:color w:val="1d1b11"/>
                      <w:sz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/>
                      <w:color w:val="1d1b11"/>
                      <w:sz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/>
                      <w:color w:val="1d1b11"/>
                      <w:sz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/>
                      <w:color w:val="1d1b11"/>
                      <w:sz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_</w:t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________________</w:t>
                  </w:r>
                  <w:r>
                    <w:rPr>
                      <w:sz w:val="24"/>
                    </w:rPr>
                    <w:t xml:space="preserve">____________/________</w:t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/</w:t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color w:val="1d1b1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1d1b11"/>
                      <w:sz w:val="24"/>
                    </w:rPr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«_____» ___________________ 20</w:t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26</w:t>
                  </w:r>
                  <w:r>
                    <w:rPr>
                      <w:rFonts w:ascii="Times New Roman" w:hAnsi="Times New Roman"/>
                      <w:color w:val="1d1b11"/>
                      <w:sz w:val="24"/>
                    </w:rPr>
                    <w:t xml:space="preserve"> года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  <w:p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мп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/>
                <w:b/>
                <w:color w:val="1d1b11"/>
                <w:sz w:val="26"/>
              </w:rPr>
            </w:pP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  <w:r>
              <w:rPr>
                <w:rFonts w:ascii="Times New Roman" w:hAnsi="Times New Roman"/>
                <w:b/>
                <w:color w:val="1d1b11"/>
                <w:sz w:val="26"/>
              </w:rPr>
            </w:r>
          </w:p>
        </w:tc>
      </w:tr>
      <w:tr>
        <w:tblPrEx/>
        <w:trPr/>
        <w:tc>
          <w:tcPr>
            <w:tcW w:w="10193" w:type="dxa"/>
            <w:textDirection w:val="lrTb"/>
            <w:noWrap w:val="false"/>
          </w:tcPr>
          <w:p>
            <w:pPr>
              <w:ind w:right="-1"/>
              <w:spacing w:after="0" w:line="240" w:lineRule="auto"/>
              <w:tabs>
                <w:tab w:val="left" w:pos="360" w:leader="none"/>
                <w:tab w:val="center" w:pos="5166" w:leader="none"/>
              </w:tabs>
              <w:rPr>
                <w:rFonts w:ascii="Times New Roman" w:hAnsi="Times New Roman"/>
                <w:color w:val="1d1b11"/>
                <w:sz w:val="26"/>
              </w:rPr>
            </w:pPr>
            <w:r>
              <w:rPr>
                <w:rFonts w:ascii="Times New Roman" w:hAnsi="Times New Roman"/>
                <w:color w:val="1d1b11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1d1b11"/>
                <w:sz w:val="24"/>
              </w:rPr>
              <w:t xml:space="preserve">          </w:t>
            </w:r>
            <w:r>
              <w:rPr>
                <w:rFonts w:ascii="Times New Roman" w:hAnsi="Times New Roman"/>
                <w:color w:val="1d1b11"/>
                <w:sz w:val="26"/>
              </w:rPr>
            </w:r>
            <w:r>
              <w:rPr>
                <w:rFonts w:ascii="Times New Roman" w:hAnsi="Times New Roman"/>
                <w:color w:val="1d1b11"/>
                <w:sz w:val="26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  <w:b/>
          <w:color w:val="1d1b11"/>
          <w:sz w:val="26"/>
        </w:rPr>
      </w:pPr>
      <w:r>
        <w:rPr>
          <w:rFonts w:ascii="Times New Roman" w:hAnsi="Times New Roman"/>
          <w:b/>
          <w:color w:val="1d1b11"/>
          <w:sz w:val="26"/>
        </w:rPr>
      </w:r>
      <w:r>
        <w:rPr>
          <w:rFonts w:ascii="Times New Roman" w:hAnsi="Times New Roman"/>
          <w:b/>
          <w:color w:val="1d1b11"/>
          <w:sz w:val="26"/>
        </w:rPr>
      </w:r>
      <w:r>
        <w:rPr>
          <w:rFonts w:ascii="Times New Roman" w:hAnsi="Times New Roman"/>
          <w:b/>
          <w:color w:val="1d1b11"/>
          <w:sz w:val="26"/>
        </w:rPr>
      </w:r>
    </w:p>
    <w:p>
      <w:pPr>
        <w:jc w:val="right"/>
        <w:spacing w:after="0" w:line="240" w:lineRule="auto"/>
        <w:tabs>
          <w:tab w:val="left" w:pos="7709" w:leader="none"/>
          <w:tab w:val="left" w:pos="8582" w:leader="underscore"/>
          <w:tab w:val="left" w:pos="939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tabs>
          <w:tab w:val="left" w:pos="7709" w:leader="none"/>
          <w:tab w:val="left" w:pos="8582" w:leader="underscore"/>
          <w:tab w:val="left" w:pos="939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tabs>
          <w:tab w:val="left" w:pos="7709" w:leader="none"/>
          <w:tab w:val="left" w:pos="8582" w:leader="underscore"/>
          <w:tab w:val="left" w:pos="939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tabs>
          <w:tab w:val="left" w:pos="7709" w:leader="none"/>
          <w:tab w:val="left" w:pos="8582" w:leader="underscore"/>
          <w:tab w:val="left" w:pos="939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tabs>
          <w:tab w:val="left" w:pos="7709" w:leader="none"/>
          <w:tab w:val="left" w:pos="8582" w:leader="underscore"/>
          <w:tab w:val="left" w:pos="939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tabs>
          <w:tab w:val="left" w:pos="7709" w:leader="none"/>
          <w:tab w:val="left" w:pos="8582" w:leader="underscore"/>
          <w:tab w:val="left" w:pos="939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tabs>
          <w:tab w:val="left" w:pos="7709" w:leader="none"/>
          <w:tab w:val="left" w:pos="8582" w:leader="underscore"/>
          <w:tab w:val="left" w:pos="939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tabs>
          <w:tab w:val="left" w:pos="7709" w:leader="none"/>
          <w:tab w:val="left" w:pos="8582" w:leader="underscore"/>
          <w:tab w:val="left" w:pos="9398" w:leader="underscor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15"/>
        <w:jc w:val="right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line="283" w:lineRule="exact"/>
        <w:rPr>
          <w:rFonts w:ascii="Times New Roman" w:hAnsi="Times New Roman" w:eastAsia="Times New Roman" w:cs="Times New Roman"/>
          <w:cap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к государственному контракту №____________ </w:t>
      </w:r>
      <w:r>
        <w:rPr>
          <w:rFonts w:ascii="Times New Roman" w:hAnsi="Times New Roman" w:eastAsia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aps/>
          <w:sz w:val="24"/>
          <w:szCs w:val="24"/>
        </w:rPr>
      </w:r>
      <w:r>
        <w:rPr>
          <w:rFonts w:ascii="Times New Roman" w:hAnsi="Times New Roman" w:eastAsia="Times New Roman" w:cs="Times New Roman"/>
          <w:caps/>
          <w:sz w:val="24"/>
          <w:szCs w:val="24"/>
        </w:rPr>
      </w:r>
    </w:p>
    <w:p>
      <w:pPr>
        <w:jc w:val="right"/>
        <w:spacing w:line="283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aps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eastAsia="Times New Roman" w:cs="Times New Roman"/>
          <w:caps/>
          <w:sz w:val="24"/>
          <w:szCs w:val="24"/>
        </w:rPr>
        <w:t xml:space="preserve">«__</w:t>
      </w:r>
      <w:r>
        <w:rPr>
          <w:rFonts w:ascii="Times New Roman" w:hAnsi="Times New Roman" w:eastAsia="Times New Roman" w:cs="Times New Roman"/>
          <w:caps/>
          <w:sz w:val="24"/>
          <w:szCs w:val="24"/>
        </w:rPr>
        <w:t xml:space="preserve">» 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aps/>
          <w:sz w:val="24"/>
          <w:szCs w:val="24"/>
        </w:rPr>
        <w:t xml:space="preserve">2026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cap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15"/>
        <w:jc w:val="center"/>
        <w:spacing w:after="200" w:line="283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highlight w:val="none"/>
        </w:rPr>
        <w:t xml:space="preserve">Размещается отдельным файлом</w:t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  <w:r>
        <w:rPr>
          <w:rFonts w:ascii="Times New Roman" w:hAnsi="Times New Roman"/>
          <w:b/>
          <w:sz w:val="26"/>
        </w:rPr>
      </w:r>
    </w:p>
    <w:p>
      <w:pPr>
        <w:jc w:val="both"/>
        <w:spacing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 xml:space="preserve">           </w:t>
      </w:r>
      <w:r>
        <w:rPr>
          <w:rFonts w:ascii="Times New Roman" w:hAnsi="Times New Roman"/>
          <w:sz w:val="26"/>
        </w:rPr>
      </w:r>
      <w:r>
        <w:rPr>
          <w:rFonts w:ascii="Times New Roman" w:hAnsi="Times New Roman"/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sectPr>
      <w:footnotePr/>
      <w:endnotePr/>
      <w:type w:val="nextPage"/>
      <w:pgSz w:w="11906" w:h="16838" w:orient="portrait"/>
      <w:pgMar w:top="720" w:right="981" w:bottom="720" w:left="1003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41"/>
    <w:link w:val="839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41"/>
    <w:link w:val="867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41"/>
    <w:link w:val="829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841"/>
    <w:link w:val="86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841"/>
    <w:link w:val="837"/>
    <w:uiPriority w:val="9"/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815"/>
    <w:next w:val="815"/>
    <w:link w:val="6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0">
    <w:name w:val="Heading 6 Char"/>
    <w:basedOn w:val="841"/>
    <w:link w:val="659"/>
    <w:uiPriority w:val="9"/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815"/>
    <w:next w:val="815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7 Char"/>
    <w:basedOn w:val="841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815"/>
    <w:next w:val="815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4">
    <w:name w:val="Heading 8 Char"/>
    <w:basedOn w:val="841"/>
    <w:link w:val="663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15"/>
    <w:next w:val="815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41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List Paragraph"/>
    <w:basedOn w:val="815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41"/>
    <w:link w:val="863"/>
    <w:uiPriority w:val="10"/>
    <w:rPr>
      <w:sz w:val="48"/>
      <w:szCs w:val="48"/>
    </w:rPr>
  </w:style>
  <w:style w:type="character" w:styleId="670">
    <w:name w:val="Subtitle Char"/>
    <w:basedOn w:val="841"/>
    <w:link w:val="861"/>
    <w:uiPriority w:val="11"/>
    <w:rPr>
      <w:sz w:val="24"/>
      <w:szCs w:val="24"/>
    </w:rPr>
  </w:style>
  <w:style w:type="paragraph" w:styleId="671">
    <w:name w:val="Quote"/>
    <w:basedOn w:val="815"/>
    <w:next w:val="815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15"/>
    <w:next w:val="815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paragraph" w:styleId="675">
    <w:name w:val="Header"/>
    <w:basedOn w:val="815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6">
    <w:name w:val="Header Char"/>
    <w:basedOn w:val="841"/>
    <w:link w:val="675"/>
    <w:uiPriority w:val="99"/>
  </w:style>
  <w:style w:type="paragraph" w:styleId="677">
    <w:name w:val="Footer"/>
    <w:basedOn w:val="815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Footer Char"/>
    <w:basedOn w:val="841"/>
    <w:link w:val="677"/>
    <w:uiPriority w:val="99"/>
  </w:style>
  <w:style w:type="paragraph" w:styleId="679">
    <w:name w:val="Caption"/>
    <w:basedOn w:val="815"/>
    <w:next w:val="815"/>
    <w:link w:val="6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0">
    <w:name w:val="Caption Char"/>
    <w:basedOn w:val="679"/>
    <w:link w:val="677"/>
    <w:uiPriority w:val="99"/>
  </w:style>
  <w:style w:type="table" w:styleId="681">
    <w:name w:val="Table Grid Light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0">
    <w:name w:val="List Table 7 Colorful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1">
    <w:name w:val="List Table 7 Colorful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2">
    <w:name w:val="List Table 7 Colorful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3">
    <w:name w:val="List Table 7 Colorful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4">
    <w:name w:val="List Table 7 Colorful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5">
    <w:name w:val="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7">
    <w:name w:val="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8">
    <w:name w:val="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9">
    <w:name w:val="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0">
    <w:name w:val="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1">
    <w:name w:val="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2">
    <w:name w:val="Bordered &amp; Lined - Accent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Bordered &amp; Lined - Accent 2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Bordered &amp; Lined - Accent 3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Bordered &amp; Lined - Accent 4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Bordered &amp; Lined - Accent 5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Bordered &amp; Lined - Accent 6"/>
    <w:basedOn w:val="8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6">
    <w:name w:val="footnote text"/>
    <w:basedOn w:val="815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807">
    <w:name w:val="Footnote Text Char"/>
    <w:link w:val="806"/>
    <w:uiPriority w:val="99"/>
    <w:rPr>
      <w:sz w:val="18"/>
    </w:rPr>
  </w:style>
  <w:style w:type="character" w:styleId="808">
    <w:name w:val="footnote reference"/>
    <w:basedOn w:val="841"/>
    <w:uiPriority w:val="99"/>
    <w:unhideWhenUsed/>
    <w:rPr>
      <w:vertAlign w:val="superscript"/>
    </w:rPr>
  </w:style>
  <w:style w:type="paragraph" w:styleId="809">
    <w:name w:val="endnote text"/>
    <w:basedOn w:val="815"/>
    <w:link w:val="810"/>
    <w:uiPriority w:val="99"/>
    <w:semiHidden/>
    <w:unhideWhenUsed/>
    <w:pPr>
      <w:spacing w:after="0" w:line="240" w:lineRule="auto"/>
    </w:pPr>
    <w:rPr>
      <w:sz w:val="20"/>
    </w:rPr>
  </w:style>
  <w:style w:type="character" w:styleId="810">
    <w:name w:val="Endnote Text Char"/>
    <w:link w:val="809"/>
    <w:uiPriority w:val="99"/>
    <w:rPr>
      <w:sz w:val="20"/>
    </w:rPr>
  </w:style>
  <w:style w:type="character" w:styleId="811">
    <w:name w:val="endnote reference"/>
    <w:basedOn w:val="841"/>
    <w:uiPriority w:val="99"/>
    <w:semiHidden/>
    <w:unhideWhenUsed/>
    <w:rPr>
      <w:vertAlign w:val="superscript"/>
    </w:rPr>
  </w:style>
  <w:style w:type="paragraph" w:styleId="812">
    <w:name w:val="TOC Heading"/>
    <w:uiPriority w:val="39"/>
    <w:unhideWhenUsed/>
  </w:style>
  <w:style w:type="paragraph" w:styleId="813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814" w:default="1">
    <w:name w:val="Normal"/>
    <w:link w:val="815"/>
    <w:uiPriority w:val="0"/>
    <w:qFormat/>
  </w:style>
  <w:style w:type="character" w:styleId="815" w:default="1">
    <w:name w:val="Normal"/>
    <w:link w:val="814"/>
  </w:style>
  <w:style w:type="paragraph" w:styleId="816">
    <w:name w:val="toc 2"/>
    <w:next w:val="814"/>
    <w:link w:val="817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17">
    <w:name w:val="toc 2"/>
    <w:link w:val="816"/>
    <w:rPr>
      <w:rFonts w:ascii="XO Thames" w:hAnsi="XO Thames"/>
      <w:sz w:val="28"/>
    </w:rPr>
  </w:style>
  <w:style w:type="paragraph" w:styleId="818">
    <w:name w:val="toc 4"/>
    <w:next w:val="814"/>
    <w:link w:val="819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19">
    <w:name w:val="toc 4"/>
    <w:link w:val="818"/>
    <w:rPr>
      <w:rFonts w:ascii="XO Thames" w:hAnsi="XO Thames"/>
      <w:sz w:val="28"/>
    </w:rPr>
  </w:style>
  <w:style w:type="paragraph" w:styleId="820">
    <w:name w:val="toc 6"/>
    <w:next w:val="814"/>
    <w:link w:val="821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21">
    <w:name w:val="toc 6"/>
    <w:link w:val="820"/>
    <w:rPr>
      <w:rFonts w:ascii="XO Thames" w:hAnsi="XO Thames"/>
      <w:sz w:val="28"/>
    </w:rPr>
  </w:style>
  <w:style w:type="paragraph" w:styleId="822">
    <w:name w:val="toc 7"/>
    <w:next w:val="814"/>
    <w:link w:val="823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23">
    <w:name w:val="toc 7"/>
    <w:link w:val="822"/>
    <w:rPr>
      <w:rFonts w:ascii="XO Thames" w:hAnsi="XO Thames"/>
      <w:sz w:val="28"/>
    </w:rPr>
  </w:style>
  <w:style w:type="paragraph" w:styleId="824">
    <w:name w:val="Основной текст Знак"/>
    <w:basedOn w:val="840"/>
    <w:link w:val="825"/>
  </w:style>
  <w:style w:type="character" w:styleId="825">
    <w:name w:val="Основной текст Знак"/>
    <w:basedOn w:val="841"/>
    <w:link w:val="824"/>
  </w:style>
  <w:style w:type="paragraph" w:styleId="826">
    <w:name w:val="Endnote"/>
    <w:link w:val="827"/>
    <w:pPr>
      <w:ind w:left="0" w:firstLine="851"/>
      <w:jc w:val="both"/>
    </w:pPr>
    <w:rPr>
      <w:rFonts w:ascii="XO Thames" w:hAnsi="XO Thames"/>
      <w:sz w:val="22"/>
    </w:rPr>
  </w:style>
  <w:style w:type="character" w:styleId="827">
    <w:name w:val="Endnote"/>
    <w:link w:val="826"/>
    <w:rPr>
      <w:rFonts w:ascii="XO Thames" w:hAnsi="XO Thames"/>
      <w:sz w:val="22"/>
    </w:rPr>
  </w:style>
  <w:style w:type="paragraph" w:styleId="828">
    <w:name w:val="Heading 3"/>
    <w:next w:val="814"/>
    <w:link w:val="82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29">
    <w:name w:val="Heading 3"/>
    <w:link w:val="828"/>
    <w:rPr>
      <w:rFonts w:ascii="XO Thames" w:hAnsi="XO Thames"/>
      <w:b/>
      <w:sz w:val="26"/>
    </w:rPr>
  </w:style>
  <w:style w:type="paragraph" w:styleId="830">
    <w:name w:val="Body Text"/>
    <w:basedOn w:val="814"/>
    <w:link w:val="831"/>
    <w:pPr>
      <w:jc w:val="both"/>
      <w:spacing w:before="240" w:after="60" w:line="277" w:lineRule="exact"/>
      <w:widowControl w:val="off"/>
    </w:pPr>
    <w:rPr>
      <w:rFonts w:ascii="Times New Roman" w:hAnsi="Times New Roman"/>
      <w:sz w:val="23"/>
    </w:rPr>
  </w:style>
  <w:style w:type="character" w:styleId="831">
    <w:name w:val="Body Text"/>
    <w:basedOn w:val="815"/>
    <w:link w:val="830"/>
    <w:rPr>
      <w:rFonts w:ascii="Times New Roman" w:hAnsi="Times New Roman"/>
      <w:sz w:val="23"/>
    </w:rPr>
  </w:style>
  <w:style w:type="paragraph" w:styleId="832">
    <w:name w:val="Balloon Text"/>
    <w:basedOn w:val="814"/>
    <w:link w:val="833"/>
    <w:pPr>
      <w:spacing w:after="0" w:line="240" w:lineRule="auto"/>
    </w:pPr>
    <w:rPr>
      <w:rFonts w:ascii="Segoe UI" w:hAnsi="Segoe UI"/>
      <w:sz w:val="18"/>
    </w:rPr>
  </w:style>
  <w:style w:type="character" w:styleId="833">
    <w:name w:val="Balloon Text"/>
    <w:basedOn w:val="815"/>
    <w:link w:val="832"/>
    <w:rPr>
      <w:rFonts w:ascii="Segoe UI" w:hAnsi="Segoe UI"/>
      <w:sz w:val="18"/>
    </w:rPr>
  </w:style>
  <w:style w:type="paragraph" w:styleId="834">
    <w:name w:val="toc 3"/>
    <w:next w:val="814"/>
    <w:link w:val="835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35">
    <w:name w:val="toc 3"/>
    <w:link w:val="834"/>
    <w:rPr>
      <w:rFonts w:ascii="XO Thames" w:hAnsi="XO Thames"/>
      <w:sz w:val="28"/>
    </w:rPr>
  </w:style>
  <w:style w:type="paragraph" w:styleId="836">
    <w:name w:val="Heading 5"/>
    <w:next w:val="814"/>
    <w:link w:val="837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37">
    <w:name w:val="Heading 5"/>
    <w:link w:val="836"/>
    <w:rPr>
      <w:rFonts w:ascii="XO Thames" w:hAnsi="XO Thames"/>
      <w:b/>
      <w:sz w:val="22"/>
    </w:rPr>
  </w:style>
  <w:style w:type="paragraph" w:styleId="838">
    <w:name w:val="Heading 1"/>
    <w:next w:val="814"/>
    <w:link w:val="83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39">
    <w:name w:val="Heading 1"/>
    <w:link w:val="838"/>
    <w:rPr>
      <w:rFonts w:ascii="XO Thames" w:hAnsi="XO Thames"/>
      <w:b/>
      <w:sz w:val="32"/>
    </w:rPr>
  </w:style>
  <w:style w:type="paragraph" w:styleId="840">
    <w:name w:val="Default Paragraph Font"/>
    <w:link w:val="841"/>
  </w:style>
  <w:style w:type="character" w:styleId="841">
    <w:name w:val="Default Paragraph Font"/>
    <w:link w:val="840"/>
  </w:style>
  <w:style w:type="paragraph" w:styleId="842">
    <w:name w:val="Hyperlink"/>
    <w:link w:val="843"/>
    <w:rPr>
      <w:color w:val="0000ff"/>
      <w:u w:val="single"/>
    </w:rPr>
  </w:style>
  <w:style w:type="character" w:styleId="843">
    <w:name w:val="Hyperlink"/>
    <w:link w:val="842"/>
    <w:rPr>
      <w:color w:val="0000ff"/>
      <w:u w:val="single"/>
    </w:rPr>
  </w:style>
  <w:style w:type="paragraph" w:styleId="844">
    <w:name w:val="Footnote"/>
    <w:link w:val="845"/>
    <w:pPr>
      <w:ind w:left="0" w:firstLine="851"/>
      <w:jc w:val="both"/>
    </w:pPr>
    <w:rPr>
      <w:rFonts w:ascii="XO Thames" w:hAnsi="XO Thames"/>
      <w:sz w:val="22"/>
    </w:rPr>
  </w:style>
  <w:style w:type="character" w:styleId="845">
    <w:name w:val="Footnote"/>
    <w:link w:val="844"/>
    <w:rPr>
      <w:rFonts w:ascii="XO Thames" w:hAnsi="XO Thames"/>
      <w:sz w:val="22"/>
    </w:rPr>
  </w:style>
  <w:style w:type="paragraph" w:styleId="846">
    <w:name w:val="toc 1"/>
    <w:next w:val="814"/>
    <w:link w:val="847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47">
    <w:name w:val="toc 1"/>
    <w:link w:val="846"/>
    <w:rPr>
      <w:rFonts w:ascii="XO Thames" w:hAnsi="XO Thames"/>
      <w:b/>
      <w:sz w:val="28"/>
    </w:rPr>
  </w:style>
  <w:style w:type="paragraph" w:styleId="848">
    <w:name w:val="Header and Footer"/>
    <w:link w:val="849"/>
    <w:pPr>
      <w:jc w:val="both"/>
      <w:spacing w:line="240" w:lineRule="auto"/>
    </w:pPr>
    <w:rPr>
      <w:rFonts w:ascii="XO Thames" w:hAnsi="XO Thames"/>
      <w:sz w:val="28"/>
    </w:rPr>
  </w:style>
  <w:style w:type="character" w:styleId="849">
    <w:name w:val="Header and Footer"/>
    <w:link w:val="848"/>
    <w:rPr>
      <w:rFonts w:ascii="XO Thames" w:hAnsi="XO Thames"/>
      <w:sz w:val="28"/>
    </w:rPr>
  </w:style>
  <w:style w:type="paragraph" w:styleId="850">
    <w:name w:val="Основной текст + Полужирный"/>
    <w:basedOn w:val="840"/>
    <w:link w:val="851"/>
    <w:rPr>
      <w:rFonts w:ascii="Times New Roman" w:hAnsi="Times New Roman"/>
      <w:b/>
      <w:sz w:val="23"/>
      <w:u w:val="none"/>
    </w:rPr>
  </w:style>
  <w:style w:type="character" w:styleId="851">
    <w:name w:val="Основной текст + Полужирный"/>
    <w:basedOn w:val="841"/>
    <w:link w:val="850"/>
    <w:rPr>
      <w:rFonts w:ascii="Times New Roman" w:hAnsi="Times New Roman"/>
      <w:b/>
      <w:sz w:val="23"/>
      <w:u w:val="none"/>
    </w:rPr>
  </w:style>
  <w:style w:type="paragraph" w:styleId="852">
    <w:name w:val="toc 9"/>
    <w:next w:val="814"/>
    <w:link w:val="853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53">
    <w:name w:val="toc 9"/>
    <w:link w:val="852"/>
    <w:rPr>
      <w:rFonts w:ascii="XO Thames" w:hAnsi="XO Thames"/>
      <w:sz w:val="28"/>
    </w:rPr>
  </w:style>
  <w:style w:type="paragraph" w:styleId="854">
    <w:name w:val="toc 8"/>
    <w:next w:val="814"/>
    <w:link w:val="855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55">
    <w:name w:val="toc 8"/>
    <w:link w:val="854"/>
    <w:rPr>
      <w:rFonts w:ascii="XO Thames" w:hAnsi="XO Thames"/>
      <w:sz w:val="28"/>
    </w:rPr>
  </w:style>
  <w:style w:type="paragraph" w:styleId="856">
    <w:name w:val="toc 5"/>
    <w:next w:val="814"/>
    <w:link w:val="857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857">
    <w:name w:val="toc 5"/>
    <w:link w:val="856"/>
    <w:rPr>
      <w:rFonts w:ascii="XO Thames" w:hAnsi="XO Thames"/>
      <w:sz w:val="28"/>
    </w:rPr>
  </w:style>
  <w:style w:type="paragraph" w:styleId="858">
    <w:name w:val="Основной текст (2)"/>
    <w:basedOn w:val="814"/>
    <w:link w:val="859"/>
    <w:pPr>
      <w:jc w:val="center"/>
      <w:spacing w:before="60" w:after="60" w:line="240" w:lineRule="atLeast"/>
      <w:widowControl w:val="off"/>
    </w:pPr>
    <w:rPr>
      <w:rFonts w:ascii="Times New Roman" w:hAnsi="Times New Roman"/>
      <w:b/>
      <w:sz w:val="23"/>
    </w:rPr>
  </w:style>
  <w:style w:type="character" w:styleId="859">
    <w:name w:val="Основной текст (2)"/>
    <w:basedOn w:val="815"/>
    <w:link w:val="858"/>
    <w:rPr>
      <w:rFonts w:ascii="Times New Roman" w:hAnsi="Times New Roman"/>
      <w:b/>
      <w:sz w:val="23"/>
    </w:rPr>
  </w:style>
  <w:style w:type="paragraph" w:styleId="860">
    <w:name w:val="Subtitle"/>
    <w:basedOn w:val="814"/>
    <w:next w:val="814"/>
    <w:link w:val="861"/>
    <w:uiPriority w:val="11"/>
    <w:qFormat/>
    <w:pPr>
      <w:numPr>
        <w:ilvl w:val="1"/>
      </w:numPr>
    </w:pPr>
    <w:rPr>
      <w:color w:val="595959" w:themeColor="text1" w:themeTint="A5"/>
      <w:spacing w:val="15"/>
    </w:rPr>
  </w:style>
  <w:style w:type="character" w:styleId="861">
    <w:name w:val="Subtitle"/>
    <w:basedOn w:val="815"/>
    <w:link w:val="860"/>
    <w:rPr>
      <w:color w:val="595959" w:themeColor="text1" w:themeTint="A5"/>
      <w:spacing w:val="15"/>
    </w:rPr>
  </w:style>
  <w:style w:type="paragraph" w:styleId="862">
    <w:name w:val="Title"/>
    <w:next w:val="814"/>
    <w:link w:val="863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3">
    <w:name w:val="Title"/>
    <w:link w:val="862"/>
    <w:rPr>
      <w:rFonts w:ascii="XO Thames" w:hAnsi="XO Thames"/>
      <w:b/>
      <w:caps/>
      <w:sz w:val="40"/>
    </w:rPr>
  </w:style>
  <w:style w:type="paragraph" w:styleId="864">
    <w:name w:val="Heading 4"/>
    <w:next w:val="814"/>
    <w:link w:val="865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65">
    <w:name w:val="Heading 4"/>
    <w:link w:val="864"/>
    <w:rPr>
      <w:rFonts w:ascii="XO Thames" w:hAnsi="XO Thames"/>
      <w:b/>
      <w:sz w:val="24"/>
    </w:rPr>
  </w:style>
  <w:style w:type="paragraph" w:styleId="866">
    <w:name w:val="Heading 2"/>
    <w:next w:val="814"/>
    <w:link w:val="86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67">
    <w:name w:val="Heading 2"/>
    <w:link w:val="866"/>
    <w:rPr>
      <w:rFonts w:ascii="XO Thames" w:hAnsi="XO Thames"/>
      <w:b/>
      <w:sz w:val="28"/>
    </w:rPr>
  </w:style>
  <w:style w:type="table" w:styleId="868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9">
    <w:name w:val="Table Grid"/>
    <w:basedOn w:val="868"/>
    <w:pPr>
      <w:spacing w:after="200" w:line="276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870" w:default="1">
    <w:name w:val="No List"/>
    <w:uiPriority w:val="99"/>
    <w:semiHidden/>
    <w:unhideWhenUsed/>
  </w:style>
  <w:style w:type="character" w:styleId="871" w:customStyle="1">
    <w:name w:val="Гиперссылка"/>
    <w:uiPriority w:val="99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tu59@rosim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mariia.ivanova</cp:lastModifiedBy>
  <cp:revision>4</cp:revision>
  <dcterms:modified xsi:type="dcterms:W3CDTF">2026-08-07T09:28:34Z</dcterms:modified>
</cp:coreProperties>
</file>