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</w:rPr>
        <w:t xml:space="preserve">Приложение №1 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</w:p>
    <w:p>
      <w:pPr>
        <w:jc w:val="right"/>
        <w:rPr>
          <w:rFonts w:ascii="Times New Roman" w:hAnsi="Times New Roman" w:cs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</w:rPr>
        <w:t xml:space="preserve">к государственному контракту </w:t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</w:rPr>
        <w:t xml:space="preserve">№ ___________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</w:p>
    <w:p>
      <w:pPr>
        <w:jc w:val="right"/>
        <w:rPr>
          <w:rFonts w:ascii="Times New Roman" w:hAnsi="Times New Roman" w:cs="Times New Roman"/>
          <w:b/>
          <w:bCs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</w:rPr>
        <w:t xml:space="preserve"> от  </w:t>
      </w:r>
      <w:r>
        <w:rPr>
          <w:rFonts w:ascii="Times New Roman" w:hAnsi="Times New Roman" w:eastAsia="Times New Roman" w:cs="Times New Roman"/>
          <w:caps/>
          <w:sz w:val="24"/>
          <w:szCs w:val="24"/>
        </w:rPr>
        <w:t xml:space="preserve">«___</w:t>
      </w:r>
      <w:r>
        <w:rPr>
          <w:rFonts w:ascii="Times New Roman" w:hAnsi="Times New Roman" w:eastAsia="Times New Roman" w:cs="Times New Roman"/>
          <w:caps/>
          <w:sz w:val="24"/>
          <w:szCs w:val="24"/>
        </w:rPr>
        <w:t xml:space="preserve">» _____</w:t>
      </w:r>
      <w:r>
        <w:rPr>
          <w:rFonts w:ascii="Times New Roman" w:hAnsi="Times New Roman" w:eastAsia="Times New Roman" w:cs="Times New Roman"/>
          <w:caps/>
          <w:sz w:val="24"/>
          <w:szCs w:val="24"/>
        </w:rPr>
        <w:t xml:space="preserve">______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</w:rPr>
        <w:t xml:space="preserve">2026г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cs="Times New Roman"/>
          <w:b/>
          <w:bCs/>
          <w:sz w:val="22"/>
          <w:szCs w:val="22"/>
          <w:highlight w:val="none"/>
        </w:rPr>
      </w:r>
    </w:p>
    <w:p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ТЕХНИЧЕСКОЕ ЗАДАНИЕ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jc w:val="center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</w:rPr>
        <w:t xml:space="preserve">на </w:t>
      </w:r>
      <w:r>
        <w:rPr>
          <w:rFonts w:ascii="Times New Roman" w:hAnsi="Times New Roman" w:eastAsia="Times New Roman" w:cs="Times New Roman"/>
          <w:sz w:val="26"/>
        </w:rPr>
        <w:t xml:space="preserve">оказание услуг по</w:t>
      </w:r>
      <w:r>
        <w:rPr>
          <w:rFonts w:ascii="Times New Roman" w:hAnsi="Times New Roman" w:eastAsia="Times New Roman" w:cs="Times New Roman"/>
          <w:sz w:val="26"/>
        </w:rPr>
        <w:t xml:space="preserve"> </w:t>
      </w:r>
      <w:r>
        <w:rPr>
          <w:rFonts w:ascii="Times New Roman" w:hAnsi="Times New Roman" w:eastAsia="Times New Roman" w:cs="Times New Roman"/>
          <w:sz w:val="26"/>
        </w:rPr>
        <w:t xml:space="preserve">изготовлению сувенирной продукции по макетам Заказчика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</w:p>
    <w:p>
      <w:pPr>
        <w:jc w:val="center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</w:rPr>
      </w:r>
      <w:r>
        <w:rPr>
          <w:rFonts w:ascii="Times New Roman" w:hAnsi="Times New Roman" w:eastAsia="Times New Roman" w:cs="Times New Roman"/>
          <w:b/>
          <w:sz w:val="26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</w:p>
    <w:p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highlight w:val="none"/>
        </w:rPr>
      </w:r>
      <w:r>
        <w:rPr>
          <w:rFonts w:ascii="Times New Roman" w:hAnsi="Times New Roman" w:eastAsia="Times New Roman" w:cs="Times New Roman"/>
          <w:b/>
          <w:sz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spacing w:after="0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sz w:val="26"/>
        </w:rPr>
        <w:t xml:space="preserve">          1. Предмет контракта</w:t>
      </w:r>
      <w:r>
        <w:rPr>
          <w:rFonts w:ascii="Times New Roman" w:hAnsi="Times New Roman" w:eastAsia="Times New Roman" w:cs="Times New Roman"/>
          <w:sz w:val="26"/>
        </w:rPr>
        <w:t xml:space="preserve">: оказание услуг по </w:t>
      </w:r>
      <w:r>
        <w:rPr>
          <w:rFonts w:ascii="Times New Roman" w:hAnsi="Times New Roman" w:eastAsia="Times New Roman" w:cs="Times New Roman"/>
          <w:sz w:val="26"/>
        </w:rPr>
        <w:t xml:space="preserve">изготовлени</w:t>
      </w:r>
      <w:r>
        <w:rPr>
          <w:rFonts w:ascii="Times New Roman" w:hAnsi="Times New Roman" w:eastAsia="Times New Roman" w:cs="Times New Roman"/>
          <w:sz w:val="26"/>
        </w:rPr>
        <w:t xml:space="preserve">ю </w:t>
      </w:r>
      <w:r>
        <w:rPr>
          <w:rFonts w:ascii="Times New Roman" w:hAnsi="Times New Roman" w:eastAsia="Times New Roman" w:cs="Times New Roman"/>
          <w:sz w:val="26"/>
        </w:rPr>
        <w:t xml:space="preserve">сувенирной </w:t>
      </w:r>
      <w:r>
        <w:rPr>
          <w:rFonts w:ascii="Times New Roman" w:hAnsi="Times New Roman" w:eastAsia="Times New Roman" w:cs="Times New Roman"/>
          <w:sz w:val="26"/>
        </w:rPr>
        <w:t xml:space="preserve">продукции</w:t>
      </w:r>
      <w:r>
        <w:rPr>
          <w:rFonts w:ascii="Times New Roman" w:hAnsi="Times New Roman" w:eastAsia="Times New Roman" w:cs="Times New Roman"/>
          <w:sz w:val="26"/>
        </w:rPr>
        <w:t xml:space="preserve">, а именно </w:t>
      </w:r>
      <w:r>
        <w:rPr>
          <w:rFonts w:ascii="Times New Roman" w:hAnsi="Times New Roman" w:eastAsia="Times New Roman" w:cs="Times New Roman"/>
          <w:sz w:val="26"/>
        </w:rPr>
        <w:t xml:space="preserve">открыток, вкладышей к ним и пакетов.</w:t>
      </w:r>
      <w:r>
        <w:rPr>
          <w:rFonts w:ascii="Times New Roman" w:hAnsi="Times New Roman" w:eastAsia="Times New Roman" w:cs="Times New Roman"/>
          <w:sz w:val="26"/>
        </w:rPr>
        <w:t xml:space="preserve"> </w:t>
      </w:r>
      <w:r>
        <w:rPr>
          <w:rFonts w:ascii="Times New Roman" w:hAnsi="Times New Roman" w:eastAsia="Times New Roman" w:cs="Times New Roman"/>
          <w:sz w:val="26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highlight w:val="none"/>
        </w:rPr>
      </w:r>
      <w:r>
        <w:rPr>
          <w:rFonts w:ascii="Times New Roman" w:hAnsi="Times New Roman" w:eastAsia="Times New Roman" w:cs="Times New Roman"/>
          <w:sz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after="0"/>
        <w:rPr>
          <w:rFonts w:ascii="Times New Roman" w:hAnsi="Times New Roman" w:cs="Times New Roman"/>
          <w:b/>
          <w:bCs/>
          <w:color w:val="1a1a1a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color w:val="1a1a1a"/>
          <w:sz w:val="26"/>
        </w:rPr>
        <w:t xml:space="preserve">          2. Требования к выполнению работ</w:t>
      </w:r>
      <w:r>
        <w:rPr>
          <w:rFonts w:ascii="Times New Roman" w:hAnsi="Times New Roman" w:eastAsia="Times New Roman" w:cs="Times New Roman"/>
          <w:b/>
          <w:color w:val="1a1a1a"/>
          <w:sz w:val="26"/>
        </w:rPr>
      </w:r>
      <w:r>
        <w:rPr>
          <w:rFonts w:ascii="Times New Roman" w:hAnsi="Times New Roman" w:cs="Times New Roman"/>
          <w:b/>
          <w:bCs/>
          <w:color w:val="1a1a1a"/>
          <w:sz w:val="26"/>
          <w:szCs w:val="26"/>
          <w:highlight w:val="none"/>
        </w:rPr>
      </w:r>
    </w:p>
    <w:p>
      <w:pPr>
        <w:jc w:val="both"/>
        <w:spacing w:after="0"/>
        <w:rPr>
          <w:rFonts w:ascii="Times New Roman" w:hAnsi="Times New Roman" w:cs="Times New Roman"/>
          <w:b/>
          <w:bCs/>
          <w:color w:val="1a1a1a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color w:val="1a1a1a"/>
          <w:sz w:val="26"/>
          <w:highlight w:val="none"/>
        </w:rPr>
      </w:r>
      <w:r>
        <w:rPr>
          <w:rFonts w:ascii="Times New Roman" w:hAnsi="Times New Roman" w:eastAsia="Times New Roman" w:cs="Times New Roman"/>
          <w:b/>
          <w:color w:val="1a1a1a"/>
          <w:sz w:val="26"/>
          <w:highlight w:val="none"/>
        </w:rPr>
      </w:r>
    </w:p>
    <w:p>
      <w:pPr>
        <w:jc w:val="both"/>
        <w:spacing w:after="0"/>
        <w:rPr>
          <w:rFonts w:ascii="Times New Roman" w:hAnsi="Times New Roman" w:cs="Times New Roman"/>
          <w:color w:val="1a1a1a"/>
          <w:sz w:val="26"/>
        </w:rPr>
      </w:pPr>
      <w:r>
        <w:rPr>
          <w:rFonts w:ascii="Times New Roman" w:hAnsi="Times New Roman" w:eastAsia="Times New Roman" w:cs="Times New Roman"/>
          <w:color w:val="1a1a1a"/>
          <w:sz w:val="26"/>
        </w:rPr>
        <w:t xml:space="preserve">       </w:t>
      </w:r>
      <w:r>
        <w:rPr>
          <w:rFonts w:ascii="Times New Roman" w:hAnsi="Times New Roman" w:eastAsia="Times New Roman" w:cs="Times New Roman"/>
          <w:color w:val="1a1a1a"/>
          <w:sz w:val="26"/>
        </w:rPr>
        <w:t xml:space="preserve"> 2.1</w:t>
      </w:r>
      <w:r>
        <w:rPr>
          <w:rFonts w:ascii="Times New Roman" w:hAnsi="Times New Roman" w:eastAsia="Times New Roman" w:cs="Times New Roman"/>
          <w:color w:val="1a1a1a"/>
          <w:sz w:val="26"/>
        </w:rPr>
        <w:t xml:space="preserve"> Исполнитель в течение 2 (Двух) рабочих дней с даты заключения контракта</w:t>
      </w:r>
      <w:r>
        <w:rPr>
          <w:rFonts w:ascii="Times New Roman" w:hAnsi="Times New Roman" w:eastAsia="Times New Roman" w:cs="Times New Roman"/>
          <w:color w:val="1a1a1a"/>
          <w:sz w:val="26"/>
        </w:rPr>
        <w:t xml:space="preserve"> изучает отправленные ему по электронной почте Заказчиком </w:t>
      </w:r>
      <w:r>
        <w:rPr>
          <w:rFonts w:ascii="Times New Roman" w:hAnsi="Times New Roman" w:eastAsia="Times New Roman" w:cs="Times New Roman"/>
          <w:color w:val="1a1a1a"/>
          <w:sz w:val="26"/>
        </w:rPr>
        <w:t xml:space="preserve">макеты открыток, вкладышей к ним и пакетов. При необходимости корректирует их и направляет Заказчику по электронной почте </w:t>
      </w:r>
      <w:r>
        <w:rPr>
          <w:rFonts w:ascii="Times New Roman" w:hAnsi="Times New Roman" w:eastAsia="Times New Roman" w:cs="Times New Roman"/>
          <w:color w:val="1a1a1a"/>
          <w:sz w:val="26"/>
        </w:rPr>
      </w:r>
      <w:hyperlink r:id="rId9" w:tooltip="http://tu59@rosim.gov.ru" w:history="1">
        <w:r>
          <w:rPr>
            <w:rStyle w:val="857"/>
            <w:rFonts w:ascii="Times New Roman" w:hAnsi="Times New Roman" w:eastAsia="Times New Roman" w:cs="Times New Roman"/>
            <w:sz w:val="26"/>
          </w:rPr>
          <w:t xml:space="preserve">tu59@rosim.gov.ru</w:t>
        </w:r>
      </w:hyperlink>
      <w:r>
        <w:rPr>
          <w:rFonts w:ascii="Times New Roman" w:hAnsi="Times New Roman" w:eastAsia="Times New Roman" w:cs="Times New Roman"/>
          <w:color w:val="1a1a1a"/>
          <w:sz w:val="26"/>
        </w:rPr>
        <w:t xml:space="preserve"> </w:t>
      </w:r>
      <w:r>
        <w:rPr>
          <w:rFonts w:ascii="Times New Roman" w:hAnsi="Times New Roman" w:eastAsia="Times New Roman" w:cs="Times New Roman"/>
          <w:color w:val="1a1a1a"/>
          <w:sz w:val="26"/>
        </w:rPr>
        <w:t xml:space="preserve">(</w:t>
      </w:r>
      <w:r>
        <w:rPr>
          <w:rFonts w:ascii="Times New Roman" w:hAnsi="Times New Roman" w:eastAsia="Times New Roman" w:cs="Times New Roman"/>
          <w:color w:val="1a1a1a"/>
          <w:sz w:val="26"/>
        </w:rPr>
        <w:t xml:space="preserve">в электронном виде файлами в формате JPG, PDF, PNG) для</w:t>
      </w:r>
      <w:r>
        <w:rPr>
          <w:rFonts w:ascii="Times New Roman" w:hAnsi="Times New Roman" w:eastAsia="Times New Roman" w:cs="Times New Roman"/>
          <w:color w:val="1a1a1a"/>
          <w:sz w:val="26"/>
        </w:rPr>
        <w:t xml:space="preserve"> </w:t>
      </w:r>
      <w:r>
        <w:rPr>
          <w:rFonts w:ascii="Times New Roman" w:hAnsi="Times New Roman" w:eastAsia="Times New Roman" w:cs="Times New Roman"/>
          <w:color w:val="1a1a1a"/>
          <w:sz w:val="26"/>
        </w:rPr>
        <w:t xml:space="preserve">согласования.</w:t>
      </w:r>
      <w:r>
        <w:rPr>
          <w:rFonts w:ascii="Times New Roman" w:hAnsi="Times New Roman" w:eastAsia="Times New Roman" w:cs="Times New Roman"/>
          <w:color w:val="1a1a1a"/>
          <w:sz w:val="26"/>
        </w:rPr>
      </w:r>
      <w:r>
        <w:rPr>
          <w:rFonts w:ascii="Times New Roman" w:hAnsi="Times New Roman" w:cs="Times New Roman"/>
          <w:color w:val="1a1a1a"/>
          <w:sz w:val="26"/>
        </w:rPr>
      </w:r>
    </w:p>
    <w:p>
      <w:p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1a1a1a"/>
          <w:sz w:val="26"/>
        </w:rPr>
      </w:pPr>
      <w:r>
        <w:rPr>
          <w:rFonts w:ascii="Times New Roman" w:hAnsi="Times New Roman" w:eastAsia="Times New Roman" w:cs="Times New Roman"/>
          <w:color w:val="1a1a1a"/>
          <w:sz w:val="26"/>
        </w:rPr>
        <w:t xml:space="preserve">          2.2 Срок согласования Заказчиком полученн</w:t>
      </w:r>
      <w:r>
        <w:rPr>
          <w:rFonts w:ascii="Times New Roman" w:hAnsi="Times New Roman" w:eastAsia="Times New Roman" w:cs="Times New Roman"/>
          <w:color w:val="1a1a1a"/>
          <w:sz w:val="26"/>
        </w:rPr>
        <w:t xml:space="preserve">ых макетов не должен превышать 2</w:t>
      </w:r>
      <w:r>
        <w:rPr>
          <w:rFonts w:ascii="Times New Roman" w:hAnsi="Times New Roman" w:eastAsia="Times New Roman" w:cs="Times New Roman"/>
          <w:color w:val="1a1a1a"/>
          <w:sz w:val="26"/>
        </w:rPr>
        <w:t xml:space="preserve"> </w:t>
      </w:r>
      <w:r>
        <w:rPr>
          <w:rFonts w:ascii="Times New Roman" w:hAnsi="Times New Roman" w:eastAsia="Times New Roman" w:cs="Times New Roman"/>
          <w:color w:val="1a1a1a"/>
          <w:sz w:val="26"/>
        </w:rPr>
        <w:t xml:space="preserve">(Двух</w:t>
      </w:r>
      <w:r>
        <w:rPr>
          <w:rFonts w:ascii="Times New Roman" w:hAnsi="Times New Roman" w:eastAsia="Times New Roman" w:cs="Times New Roman"/>
          <w:color w:val="1a1a1a"/>
          <w:sz w:val="26"/>
        </w:rPr>
        <w:t xml:space="preserve">) рабочих дней со дня их получения.</w:t>
      </w:r>
      <w:r>
        <w:rPr>
          <w:rFonts w:ascii="Times New Roman" w:hAnsi="Times New Roman" w:eastAsia="Times New Roman" w:cs="Times New Roman"/>
          <w:color w:val="1a1a1a"/>
          <w:sz w:val="26"/>
        </w:rPr>
      </w:r>
      <w:r>
        <w:rPr>
          <w:rFonts w:ascii="Times New Roman" w:hAnsi="Times New Roman" w:cs="Times New Roman"/>
          <w:color w:val="1a1a1a"/>
          <w:sz w:val="26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1a1a1a"/>
          <w:sz w:val="26"/>
        </w:rPr>
      </w:pPr>
      <w:r>
        <w:rPr>
          <w:rFonts w:ascii="Times New Roman" w:hAnsi="Times New Roman" w:eastAsia="Times New Roman" w:cs="Times New Roman"/>
          <w:color w:val="1a1a1a"/>
          <w:sz w:val="26"/>
        </w:rPr>
        <w:t xml:space="preserve">       2.3 По результатам рассмотрения м</w:t>
      </w:r>
      <w:r>
        <w:rPr>
          <w:rFonts w:ascii="Times New Roman" w:hAnsi="Times New Roman" w:eastAsia="Times New Roman" w:cs="Times New Roman"/>
          <w:color w:val="1a1a1a"/>
          <w:sz w:val="26"/>
        </w:rPr>
        <w:t xml:space="preserve">акетов Заказчик направляет Исполнителю по электронной почте письмо об утверждении макетов (скан-копию письма) или уведомляет Исполнителя о необходимости произвести доработку макетов с перечнем имеющихся у Заказчика замечаний к макетам.</w:t>
      </w:r>
      <w:r>
        <w:rPr>
          <w:rFonts w:ascii="Times New Roman" w:hAnsi="Times New Roman" w:eastAsia="Times New Roman" w:cs="Times New Roman"/>
          <w:color w:val="1a1a1a"/>
          <w:sz w:val="26"/>
        </w:rPr>
      </w:r>
      <w:r>
        <w:rPr>
          <w:rFonts w:ascii="Times New Roman" w:hAnsi="Times New Roman" w:cs="Times New Roman"/>
          <w:color w:val="1a1a1a"/>
          <w:sz w:val="26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</w:rPr>
      </w:pPr>
      <w:r>
        <w:rPr>
          <w:rFonts w:ascii="Times New Roman" w:hAnsi="Times New Roman" w:eastAsia="Times New Roman" w:cs="Times New Roman"/>
          <w:color w:val="1a1a1a"/>
          <w:sz w:val="26"/>
        </w:rPr>
        <w:t xml:space="preserve">        2.4 При получении от Заказчика уведомления о необходимости произвести доработку макетов Исполнитель в течение </w:t>
      </w:r>
      <w:r>
        <w:rPr>
          <w:rFonts w:ascii="Times New Roman" w:hAnsi="Times New Roman" w:eastAsia="Times New Roman" w:cs="Times New Roman"/>
          <w:color w:val="1a1a1a"/>
          <w:sz w:val="26"/>
        </w:rPr>
        <w:t xml:space="preserve">1</w:t>
      </w:r>
      <w:r>
        <w:rPr>
          <w:rFonts w:ascii="Times New Roman" w:hAnsi="Times New Roman" w:eastAsia="Times New Roman" w:cs="Times New Roman"/>
          <w:color w:val="1a1a1a"/>
          <w:sz w:val="26"/>
        </w:rPr>
        <w:t xml:space="preserve"> </w:t>
      </w:r>
      <w:r>
        <w:rPr>
          <w:rFonts w:ascii="Times New Roman" w:hAnsi="Times New Roman" w:eastAsia="Times New Roman" w:cs="Times New Roman"/>
          <w:color w:val="1a1a1a"/>
          <w:sz w:val="26"/>
        </w:rPr>
        <w:t xml:space="preserve">(Одного)</w:t>
      </w:r>
      <w:r>
        <w:rPr>
          <w:rFonts w:ascii="Times New Roman" w:hAnsi="Times New Roman" w:eastAsia="Times New Roman" w:cs="Times New Roman"/>
          <w:color w:val="1a1a1a"/>
          <w:sz w:val="26"/>
        </w:rPr>
        <w:t xml:space="preserve"> рабочего </w:t>
      </w:r>
      <w:r>
        <w:rPr>
          <w:rFonts w:ascii="Times New Roman" w:hAnsi="Times New Roman" w:eastAsia="Times New Roman" w:cs="Times New Roman"/>
          <w:color w:val="1a1a1a"/>
          <w:sz w:val="26"/>
        </w:rPr>
        <w:t xml:space="preserve">д</w:t>
      </w:r>
      <w:r>
        <w:rPr>
          <w:rFonts w:ascii="Times New Roman" w:hAnsi="Times New Roman" w:eastAsia="Times New Roman" w:cs="Times New Roman"/>
          <w:color w:val="1a1a1a"/>
          <w:sz w:val="26"/>
        </w:rPr>
        <w:t xml:space="preserve">ня производит их доработку в соответствии с замечаниями Заказчика и направляет доработанные макеты на согласование в соответствии с пунктом 2.3. настоящего Технического задания. </w:t>
      </w:r>
      <w:r>
        <w:rPr>
          <w:rFonts w:ascii="Times New Roman" w:hAnsi="Times New Roman" w:eastAsia="Times New Roman" w:cs="Times New Roman"/>
          <w:color w:val="1a1a1a"/>
          <w:sz w:val="26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</w:rPr>
      </w:pPr>
      <w:r>
        <w:rPr>
          <w:rFonts w:ascii="Times New Roman" w:hAnsi="Times New Roman" w:eastAsia="Times New Roman" w:cs="Times New Roman"/>
          <w:color w:val="1a1a1a"/>
          <w:sz w:val="26"/>
        </w:rPr>
        <w:t xml:space="preserve">        Строго после получения от Заказчика письма уведомления (скан-копии письма) об</w:t>
      </w:r>
      <w:r>
        <w:rPr>
          <w:rFonts w:ascii="Times New Roman" w:hAnsi="Times New Roman" w:eastAsia="Times New Roman" w:cs="Times New Roman"/>
          <w:color w:val="1a1a1a"/>
          <w:sz w:val="26"/>
        </w:rPr>
        <w:t xml:space="preserve"> </w:t>
      </w:r>
      <w:r>
        <w:rPr>
          <w:rFonts w:ascii="Times New Roman" w:hAnsi="Times New Roman" w:eastAsia="Times New Roman" w:cs="Times New Roman"/>
          <w:color w:val="1a1a1a"/>
          <w:sz w:val="26"/>
        </w:rPr>
        <w:t xml:space="preserve">утверждении макетов Исполнитель может приступить к изготовлению сувенирной продукции.</w:t>
      </w:r>
      <w:r>
        <w:rPr>
          <w:rFonts w:ascii="Times New Roman" w:hAnsi="Times New Roman" w:eastAsia="Times New Roman" w:cs="Times New Roman"/>
          <w:color w:val="1a1a1a"/>
          <w:sz w:val="26"/>
        </w:rPr>
      </w:r>
      <w:r>
        <w:rPr>
          <w:rFonts w:ascii="Times New Roman" w:hAnsi="Times New Roman" w:eastAsia="Times New Roman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</w:rPr>
      </w:pPr>
      <w:r>
        <w:rPr>
          <w:rFonts w:ascii="Times New Roman" w:hAnsi="Times New Roman" w:eastAsia="Times New Roman" w:cs="Times New Roman"/>
          <w:color w:val="1a1a1a"/>
          <w:sz w:val="26"/>
        </w:rPr>
        <w:t xml:space="preserve">       2.5 В каждом экземпляре изготовленной сувенирной продукции не допускаются </w:t>
      </w:r>
      <w:r>
        <w:rPr>
          <w:rFonts w:ascii="Times New Roman" w:hAnsi="Times New Roman" w:eastAsia="Times New Roman" w:cs="Times New Roman"/>
          <w:color w:val="1a1a1a"/>
          <w:sz w:val="26"/>
        </w:rPr>
      </w:r>
    </w:p>
    <w:p>
      <w:pPr>
        <w:pStyle w:val="688"/>
        <w:numPr>
          <w:ilvl w:val="0"/>
          <w:numId w:val="11"/>
        </w:numPr>
        <w:jc w:val="both"/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</w:rPr>
      </w:pPr>
      <w:r>
        <w:rPr>
          <w:rFonts w:ascii="Times New Roman" w:hAnsi="Times New Roman" w:eastAsia="Times New Roman" w:cs="Times New Roman"/>
          <w:color w:val="1a1a1a"/>
          <w:sz w:val="26"/>
        </w:rPr>
        <w:t xml:space="preserve">дефекты при нанесении, в числе которых: непропечатка (потеря элементов изображения), нечеткая, «бледная печать (нанесение)», смазывание, забитые краской уч</w:t>
      </w:r>
      <w:r>
        <w:rPr>
          <w:rFonts w:ascii="Times New Roman" w:hAnsi="Times New Roman" w:eastAsia="Times New Roman" w:cs="Times New Roman"/>
          <w:color w:val="1a1a1a"/>
          <w:sz w:val="26"/>
        </w:rPr>
        <w:t xml:space="preserve">астки, пятна, царапины, сдвоенная печать, неправильное направление текста;</w:t>
      </w:r>
      <w:r>
        <w:rPr>
          <w:rFonts w:ascii="Times New Roman" w:hAnsi="Times New Roman" w:eastAsia="Times New Roman" w:cs="Times New Roman"/>
          <w:color w:val="1a1a1a"/>
          <w:sz w:val="26"/>
          <w:szCs w:val="26"/>
        </w:rPr>
      </w:r>
    </w:p>
    <w:p>
      <w:pPr>
        <w:ind w:left="709" w:firstLine="0"/>
        <w:jc w:val="both"/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</w:rPr>
      </w:pPr>
      <w:r>
        <w:rPr>
          <w:rFonts w:ascii="Times New Roman" w:hAnsi="Times New Roman" w:eastAsia="Times New Roman" w:cs="Times New Roman"/>
          <w:color w:val="1a1a1a"/>
          <w:sz w:val="26"/>
          <w:highlight w:val="none"/>
        </w:rPr>
      </w:r>
      <w:r>
        <w:rPr>
          <w:rFonts w:ascii="Times New Roman" w:hAnsi="Times New Roman" w:eastAsia="Times New Roman" w:cs="Times New Roman"/>
          <w:color w:val="1a1a1a"/>
          <w:sz w:val="26"/>
          <w:highlight w:val="none"/>
        </w:rPr>
      </w:r>
    </w:p>
    <w:p>
      <w:pPr>
        <w:pStyle w:val="688"/>
        <w:numPr>
          <w:ilvl w:val="0"/>
          <w:numId w:val="11"/>
        </w:numPr>
        <w:jc w:val="both"/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</w:rPr>
      </w:pPr>
      <w:r>
        <w:rPr>
          <w:rFonts w:ascii="Times New Roman" w:hAnsi="Times New Roman" w:eastAsia="Times New Roman" w:cs="Times New Roman"/>
          <w:color w:val="1a1a1a"/>
          <w:sz w:val="26"/>
        </w:rPr>
        <w:t xml:space="preserve">дефекты, затрудняющие использование по назначению, в числе которых: механические повреждения (рваные, мятые, грязные, поцарапанные экземпляры сувенирной продукции, </w:t>
      </w:r>
      <w:r>
        <w:rPr>
          <w:rFonts w:ascii="Times New Roman" w:hAnsi="Times New Roman" w:eastAsia="Times New Roman" w:cs="Times New Roman"/>
          <w:color w:val="1a1a1a"/>
          <w:sz w:val="26"/>
        </w:rPr>
        <w:t xml:space="preserve">склеенные между собой внутренние поверхности пакетов</w:t>
      </w:r>
      <w:r>
        <w:rPr>
          <w:rFonts w:ascii="Times New Roman" w:hAnsi="Times New Roman" w:eastAsia="Times New Roman" w:cs="Times New Roman"/>
          <w:color w:val="1a1a1a"/>
          <w:sz w:val="26"/>
        </w:rPr>
        <w:t xml:space="preserve">), или косо срезанные края.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Style w:val="688"/>
        <w:numPr>
          <w:ilvl w:val="0"/>
          <w:numId w:val="11"/>
        </w:numPr>
        <w:jc w:val="both"/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на поверхности пакетов (кроме швов) не должно быть трещин, разрывов, отверстий</w:t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ind w:left="709" w:firstLine="0"/>
        <w:jc w:val="both"/>
        <w:spacing w:after="0" w:line="240" w:lineRule="auto"/>
        <w:rPr>
          <w:rFonts w:ascii="Times New Roman" w:hAnsi="Times New Roman" w:cs="Times New Roman"/>
          <w:color w:val="1a1a1a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jc w:val="both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</w:rPr>
        <w:t xml:space="preserve">      </w:t>
      </w:r>
      <w:r>
        <w:rPr>
          <w:rFonts w:ascii="Times New Roman" w:hAnsi="Times New Roman" w:eastAsia="Times New Roman" w:cs="Times New Roman"/>
          <w:sz w:val="26"/>
        </w:rPr>
        <w:t xml:space="preserve">2</w:t>
      </w:r>
      <w:r>
        <w:rPr>
          <w:rFonts w:ascii="Times New Roman" w:hAnsi="Times New Roman" w:eastAsia="Times New Roman" w:cs="Times New Roman"/>
          <w:sz w:val="26"/>
        </w:rPr>
        <w:t xml:space="preserve">.</w:t>
      </w:r>
      <w:r>
        <w:rPr>
          <w:rFonts w:ascii="Times New Roman" w:hAnsi="Times New Roman" w:eastAsia="Times New Roman" w:cs="Times New Roman"/>
          <w:sz w:val="26"/>
        </w:rPr>
        <w:t xml:space="preserve">6</w:t>
      </w:r>
      <w:r>
        <w:rPr>
          <w:rFonts w:ascii="Times New Roman" w:hAnsi="Times New Roman" w:eastAsia="Times New Roman" w:cs="Times New Roman"/>
          <w:sz w:val="26"/>
        </w:rPr>
        <w:t xml:space="preserve">. После согласования Заказчиком печатного образца </w:t>
      </w:r>
      <w:r>
        <w:rPr>
          <w:rFonts w:ascii="Times New Roman" w:hAnsi="Times New Roman" w:eastAsia="Times New Roman" w:cs="Times New Roman"/>
          <w:sz w:val="26"/>
        </w:rPr>
        <w:t xml:space="preserve">открытки, </w:t>
      </w:r>
      <w:r>
        <w:rPr>
          <w:rFonts w:ascii="Times New Roman" w:hAnsi="Times New Roman" w:eastAsia="Times New Roman" w:cs="Times New Roman"/>
          <w:sz w:val="26"/>
        </w:rPr>
        <w:t xml:space="preserve">вкладыша к нему и пакетов</w:t>
      </w:r>
      <w:r>
        <w:rPr>
          <w:rFonts w:ascii="Times New Roman" w:hAnsi="Times New Roman" w:eastAsia="Times New Roman" w:cs="Times New Roman"/>
          <w:sz w:val="26"/>
        </w:rPr>
        <w:t xml:space="preserve"> осуществляется печать в полном объеме и доставка по адресу Заказчика.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jc w:val="both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highlight w:val="none"/>
        </w:rPr>
      </w:r>
      <w:r>
        <w:rPr>
          <w:rFonts w:ascii="Times New Roman" w:hAnsi="Times New Roman" w:eastAsia="Times New Roman" w:cs="Times New Roman"/>
          <w:sz w:val="26"/>
          <w:highlight w:val="none"/>
        </w:rPr>
      </w:r>
    </w:p>
    <w:p>
      <w:pPr>
        <w:ind w:left="0" w:right="0" w:firstLine="567"/>
        <w:jc w:val="both"/>
        <w:spacing w:after="0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highlight w:val="none"/>
        </w:rPr>
      </w:r>
      <w:r>
        <w:rPr>
          <w:rFonts w:ascii="Times New Roman" w:hAnsi="Times New Roman" w:eastAsia="Times New Roman" w:cs="Times New Roman"/>
          <w:sz w:val="26"/>
        </w:rPr>
        <w:t xml:space="preserve"> </w:t>
      </w:r>
      <w:r>
        <w:rPr>
          <w:rFonts w:ascii="Times New Roman" w:hAnsi="Times New Roman" w:eastAsia="Times New Roman" w:cs="Times New Roman"/>
          <w:b/>
          <w:sz w:val="26"/>
        </w:rPr>
        <w:t xml:space="preserve">3.</w:t>
      </w:r>
      <w:r>
        <w:rPr>
          <w:rFonts w:ascii="Times New Roman" w:hAnsi="Times New Roman" w:eastAsia="Times New Roman" w:cs="Times New Roman"/>
          <w:b/>
          <w:sz w:val="26"/>
        </w:rPr>
        <w:t xml:space="preserve"> Место поставки сувенирной продукции</w:t>
      </w:r>
      <w:r>
        <w:rPr>
          <w:rFonts w:ascii="Times New Roman" w:hAnsi="Times New Roman" w:eastAsia="Times New Roman" w:cs="Times New Roman"/>
          <w:b/>
          <w:sz w:val="26"/>
        </w:rPr>
        <w:t xml:space="preserve">:</w:t>
      </w:r>
      <w:r>
        <w:rPr>
          <w:rFonts w:ascii="Times New Roman" w:hAnsi="Times New Roman" w:eastAsia="Times New Roman" w:cs="Times New Roman"/>
          <w:sz w:val="26"/>
        </w:rPr>
        <w:t xml:space="preserve"> 614015 г. Пермь, ул. Куйбышева, д. 6.</w:t>
      </w:r>
      <w:r>
        <w:rPr>
          <w:rFonts w:ascii="Times New Roman" w:hAnsi="Times New Roman" w:eastAsia="Times New Roman" w:cs="Times New Roman"/>
          <w:sz w:val="26"/>
        </w:rPr>
        <w:t xml:space="preserve">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jc w:val="both"/>
        <w:spacing w:after="0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</w:rPr>
        <w:t xml:space="preserve">       Поставка осуществляется строго в течение рабочего времени Заказчика:  пн.-чт. с 09:00 до 18:00, пт. с 09:00 до 16:45 (обед с 13:00 до 13:45) местного времени.</w:t>
      </w:r>
      <w:r>
        <w:rPr>
          <w:rFonts w:ascii="Times New Roman" w:hAnsi="Times New Roman" w:eastAsia="Times New Roman" w:cs="Times New Roman"/>
          <w:sz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jc w:val="both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highlight w:val="none"/>
        </w:rPr>
      </w:r>
      <w:r>
        <w:rPr>
          <w:rFonts w:ascii="Times New Roman" w:hAnsi="Times New Roman" w:eastAsia="Times New Roman" w:cs="Times New Roman"/>
          <w:sz w:val="26"/>
          <w:highlight w:val="none"/>
        </w:rPr>
      </w:r>
    </w:p>
    <w:p>
      <w:pPr>
        <w:jc w:val="both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</w:rPr>
        <w:t xml:space="preserve">  </w:t>
      </w:r>
      <w:r>
        <w:rPr>
          <w:rFonts w:ascii="Times New Roman" w:hAnsi="Times New Roman" w:eastAsia="Times New Roman" w:cs="Times New Roman"/>
          <w:sz w:val="26"/>
        </w:rPr>
        <w:t xml:space="preserve"> </w:t>
      </w:r>
      <w:r>
        <w:rPr>
          <w:rFonts w:ascii="Times New Roman" w:hAnsi="Times New Roman" w:eastAsia="Times New Roman" w:cs="Times New Roman"/>
          <w:sz w:val="26"/>
        </w:rPr>
        <w:t xml:space="preserve">    4</w:t>
      </w:r>
      <w:r>
        <w:rPr>
          <w:rFonts w:ascii="Times New Roman" w:hAnsi="Times New Roman" w:eastAsia="Times New Roman" w:cs="Times New Roman"/>
          <w:b/>
          <w:sz w:val="26"/>
        </w:rPr>
        <w:t xml:space="preserve">.</w:t>
      </w:r>
      <w:r>
        <w:rPr>
          <w:rFonts w:ascii="Times New Roman" w:hAnsi="Times New Roman" w:eastAsia="Times New Roman" w:cs="Times New Roman"/>
          <w:b/>
          <w:sz w:val="26"/>
        </w:rPr>
        <w:t xml:space="preserve"> </w:t>
      </w:r>
      <w:r>
        <w:rPr>
          <w:rFonts w:ascii="Times New Roman" w:hAnsi="Times New Roman" w:eastAsia="Times New Roman" w:cs="Times New Roman"/>
          <w:b/>
          <w:sz w:val="26"/>
        </w:rPr>
        <w:t xml:space="preserve">Технические и качественные характеристики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tbl>
      <w:tblPr>
        <w:tblStyle w:val="879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118"/>
        <w:gridCol w:w="992"/>
        <w:gridCol w:w="5352"/>
      </w:tblGrid>
      <w:tr>
        <w:tblPrEx/>
        <w:trPr>
          <w:trHeight w:val="6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Наименование продукции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Количество, шт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Характеристика продукции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Открытка “Поздравляем!”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Формат 210х210 мм (в развороте), уф-печать с одной стороны, бумага дизайнерская Маджестик No 30/31,1 биг,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ушки под кальку 198х95,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калька золото без печати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Открытка “С Новым годом и Рождеством!”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2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Формат 210х210 мм (в развороте), уф-печать с одной стороны, бумага дизайнерская Маджестик No 30/31,1 биг,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ушки под кальку 198х95,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калька золото без печати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Открытка “С 23 февраля!”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Формат 210х210 мм (в развороте), уф-печать с одной стороны, бумага дизайнерская Маджестик No 30/31,1 биг,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ушки под кальку 198х95,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калька золото без печати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Открытка-конверт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георгиевской лентой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Формат 210*105 мм;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уф-печать с одной стороны, бумага дизайнерская Маджестик N 30/31, плоттерная резка, склейка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Открытка-конверт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ез георгиевской ленты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Формат 210*105 мм;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уф-печать с одной стороны, бумага дизайнерская Маджестик No 30/31,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плоттерная резка, склейка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Вкладыш “С 8 марта”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Формат 200*95 мм; печать 4+0,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калька золото, резка,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Тюльпаны розовые на золотом фоне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Вкладыш “С праздником Весны и Труда и Днем Великой Победы!”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Формат 198х95 мм,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печать 4+0,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калька золото, резка, с текстом поздравления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Вкладыш золотой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Формат 198х95 мм, без печати, калька золото, резка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Пакет п\э “Росимущество”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Формат 400*500 мм, цвет темно-зеленый, печать в 1 цвет (золото), формат печати А4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Пакет “Росимущество”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Формат 300*400 мм,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цвет темно-зеленый, печать в 1 цвет (золото), формат печати А5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jc w:val="both"/>
        <w:spacing w:after="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 xml:space="preserve"> </w:t>
      </w:r>
      <w:r>
        <w:rPr>
          <w:rFonts w:ascii="Times New Roman" w:hAnsi="Times New Roman" w:eastAsia="Times New Roman" w:cs="Times New Roman"/>
          <w:sz w:val="26"/>
        </w:rPr>
        <w:t xml:space="preserve">     </w:t>
      </w:r>
      <w:r>
        <w:rPr>
          <w:rFonts w:ascii="Times New Roman" w:hAnsi="Times New Roman" w:eastAsia="Times New Roman" w:cs="Times New Roman"/>
          <w:b/>
          <w:bCs/>
          <w:sz w:val="26"/>
        </w:rPr>
        <w:t xml:space="preserve">5</w:t>
      </w:r>
      <w:r>
        <w:rPr>
          <w:rFonts w:ascii="Times New Roman" w:hAnsi="Times New Roman" w:eastAsia="Times New Roman" w:cs="Times New Roman"/>
          <w:b/>
          <w:bCs/>
          <w:sz w:val="26"/>
        </w:rPr>
        <w:t xml:space="preserve">. </w:t>
      </w:r>
      <w:r>
        <w:rPr>
          <w:rFonts w:ascii="Times New Roman" w:hAnsi="Times New Roman" w:eastAsia="Times New Roman" w:cs="Times New Roman"/>
          <w:b/>
          <w:sz w:val="26"/>
        </w:rPr>
        <w:t xml:space="preserve">Требования к качеству </w:t>
      </w:r>
      <w:r>
        <w:rPr>
          <w:rFonts w:ascii="Times New Roman" w:hAnsi="Times New Roman" w:eastAsia="Times New Roman" w:cs="Times New Roman"/>
          <w:b/>
          <w:sz w:val="26"/>
        </w:rPr>
        <w:t xml:space="preserve">работ</w:t>
      </w:r>
      <w:r>
        <w:rPr>
          <w:rFonts w:ascii="Times New Roman" w:hAnsi="Times New Roman" w:eastAsia="Times New Roman" w:cs="Times New Roman"/>
          <w:b/>
          <w:sz w:val="26"/>
        </w:rPr>
        <w:t xml:space="preserve">:</w:t>
      </w:r>
      <w:r>
        <w:rPr>
          <w:rFonts w:ascii="Times New Roman" w:hAnsi="Times New Roman" w:eastAsia="Times New Roman" w:cs="Times New Roman"/>
          <w:sz w:val="26"/>
        </w:rPr>
      </w:r>
      <w:r>
        <w:rPr>
          <w:rFonts w:ascii="Times New Roman" w:hAnsi="Times New Roman" w:cs="Times New Roman"/>
          <w:sz w:val="26"/>
        </w:rPr>
      </w:r>
    </w:p>
    <w:p>
      <w:pPr>
        <w:jc w:val="both"/>
        <w:spacing w:after="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w:t xml:space="preserve">      5.1. Качество печатной продукции должно соответствовать требованиям ГОСТ 29.124-94 «Издания книжные для взрослых читателей. Издания книжные. Общие технические условия», ГОСТ 15467-79 «Управление качеством продукции».</w:t>
      </w:r>
      <w:r>
        <w:rPr>
          <w:rFonts w:ascii="Times New Roman" w:hAnsi="Times New Roman" w:eastAsia="Times New Roman" w:cs="Times New Roman"/>
          <w:sz w:val="26"/>
        </w:rPr>
      </w:r>
      <w:r>
        <w:rPr>
          <w:rFonts w:ascii="Times New Roman" w:hAnsi="Times New Roman" w:cs="Times New Roman"/>
          <w:sz w:val="26"/>
        </w:rPr>
      </w:r>
    </w:p>
    <w:p>
      <w:pPr>
        <w:jc w:val="both"/>
        <w:spacing w:after="0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</w:rPr>
        <w:t xml:space="preserve">     5.2. Основные показатели качества печати должны соответствовать требованиям ГОСТ 54766-2011 – «Технология полиграфии. Контроль процесса изготовления цифровых файлов, растровых цветоделении, пробных и тиражных оттисков».</w:t>
      </w:r>
      <w:r>
        <w:rPr>
          <w:rFonts w:ascii="Times New Roman" w:hAnsi="Times New Roman" w:eastAsia="Times New Roman" w:cs="Times New Roman"/>
          <w:sz w:val="26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6"/>
          <w:highlight w:val="none"/>
        </w:rPr>
        <w:t xml:space="preserve">     5.3.Качество изготовления полиэтиленовых пакетов должно соответствовать требованиям </w:t>
      </w:r>
      <w:r>
        <w:rPr>
          <w:rFonts w:ascii="Times New Roman" w:hAnsi="Times New Roman" w:eastAsia="Times New Roman" w:cs="Times New Roman"/>
          <w:sz w:val="26"/>
          <w:highlight w:val="none"/>
        </w:rPr>
        <w:t xml:space="preserve">ГОСТ 12302-2013 </w:t>
      </w:r>
      <w:r>
        <w:rPr>
          <w:rFonts w:ascii="Times New Roman" w:hAnsi="Times New Roman" w:eastAsia="Times New Roman" w:cs="Times New Roman"/>
          <w:sz w:val="26"/>
          <w:highlight w:val="none"/>
        </w:rPr>
        <w:t xml:space="preserve">«Пакеты из полимерных плёнок и комбинированных материалов. Общие технические условия»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jc w:val="both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</w:rPr>
        <w:t xml:space="preserve">     </w:t>
      </w:r>
      <w:r>
        <w:rPr>
          <w:rFonts w:ascii="Times New Roman" w:hAnsi="Times New Roman" w:eastAsia="Times New Roman" w:cs="Times New Roman"/>
          <w:b/>
          <w:bCs/>
        </w:rPr>
        <w:t xml:space="preserve">6. </w:t>
      </w:r>
      <w:r>
        <w:rPr>
          <w:rFonts w:ascii="Times New Roman" w:hAnsi="Times New Roman" w:eastAsia="Times New Roman" w:cs="Times New Roman"/>
          <w:b/>
          <w:bCs/>
        </w:rPr>
        <w:t xml:space="preserve">Макеты открыток (для ознакомления):</w:t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688"/>
        <w:numPr>
          <w:ilvl w:val="0"/>
          <w:numId w:val="13"/>
        </w:num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  <w:t xml:space="preserve">Пакет РОСИМУЩЕСТВО</w:t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295990" cy="4053539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60244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rcRect l="17056" t="6650" r="15175" b="10252"/>
                        <a:stretch/>
                      </pic:blipFill>
                      <pic:spPr bwMode="auto">
                        <a:xfrm flipH="0" flipV="0">
                          <a:off x="0" y="0"/>
                          <a:ext cx="3295989" cy="40535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9.53pt;height:319.18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  <w:t xml:space="preserve">2. ОТКРЫТКА ПОЗДРАВЛЯЕМ!</w:t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highlight w:val="none"/>
        </w:rPr>
      </w: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289766" cy="4288038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027344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flipH="0" flipV="0">
                          <a:off x="0" y="0"/>
                          <a:ext cx="4289766" cy="42880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37.78pt;height:337.64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/>
      <w:r>
        <w:rPr>
          <w:rFonts w:ascii="Times New Roman" w:hAnsi="Times New Roman" w:eastAsia="Times New Roman" w:cs="Times New Roman"/>
          <w:highlight w:val="none"/>
        </w:rPr>
      </w:r>
      <w:r/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  <w:t xml:space="preserve">3. ОТКРЫТКА С 23 ФЕВРАЛЯ!</w:t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643069" cy="4299357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766255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rcRect l="12068" t="9293" r="7968" b="23953"/>
                        <a:stretch/>
                      </pic:blipFill>
                      <pic:spPr bwMode="auto">
                        <a:xfrm flipH="0" flipV="0">
                          <a:off x="0" y="0"/>
                          <a:ext cx="3643068" cy="42993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286.86pt;height:338.53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/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  <w:t xml:space="preserve">4. Открытка-конверт с георгиевской лентой и вкладыш С ПРАЗДНИКОМ ВЕСНЫ И ТРУДА И ДНЕМ ПОБЕДЫ</w:t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277065" cy="421495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433194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rcRect l="14709" t="14277" r="14440" b="15574"/>
                        <a:stretch/>
                      </pic:blipFill>
                      <pic:spPr bwMode="auto">
                        <a:xfrm flipH="0" flipV="0">
                          <a:off x="0" y="0"/>
                          <a:ext cx="4277064" cy="42149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336.78pt;height:331.89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highlight w:val="none"/>
        </w:rPr>
      </w:r>
      <w:r/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  <w:t xml:space="preserve">5. </w:t>
      </w:r>
      <w:r>
        <w:rPr>
          <w:rFonts w:ascii="Times New Roman" w:hAnsi="Times New Roman" w:eastAsia="Times New Roman" w:cs="Times New Roman"/>
          <w:highlight w:val="none"/>
        </w:rPr>
        <w:t xml:space="preserve">Открытка-конверт и вкладыш С</w:t>
      </w:r>
      <w:r>
        <w:rPr>
          <w:rFonts w:ascii="Times New Roman" w:hAnsi="Times New Roman" w:eastAsia="Times New Roman" w:cs="Times New Roman"/>
          <w:highlight w:val="none"/>
        </w:rPr>
        <w:t xml:space="preserve"> 8 МАРТА!</w:t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67860" cy="2828080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531507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rcRect l="6140" t="6390" r="1642" b="10879"/>
                        <a:stretch/>
                      </pic:blipFill>
                      <pic:spPr bwMode="auto">
                        <a:xfrm flipH="0" flipV="0">
                          <a:off x="0" y="0"/>
                          <a:ext cx="5367859" cy="28280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22.67pt;height:222.68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  <w:t xml:space="preserve">6. ВКЛАДЫШ ЗОЛОТОЙ</w:t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25308" cy="2653717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352008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rcRect l="2478" t="7051" r="2152" b="13282"/>
                        <a:stretch/>
                      </pic:blipFill>
                      <pic:spPr bwMode="auto">
                        <a:xfrm flipH="0" flipV="0">
                          <a:off x="0" y="0"/>
                          <a:ext cx="5725308" cy="26537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50.81pt;height:208.95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highlight w:val="none"/>
        </w:rPr>
      </w:r>
      <w:r/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  <w:t xml:space="preserve">7. ОТКРЫТКА С НОВЫМ ГОДОМ И РОЖДЕСТВОМ!</w:t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748054" cy="3732285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761935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 flipH="0" flipV="0">
                          <a:off x="0" y="0"/>
                          <a:ext cx="4748054" cy="37322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373.86pt;height:293.88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tbl>
      <w:tblPr>
        <w:tblW w:w="106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699"/>
        <w:gridCol w:w="215"/>
        <w:gridCol w:w="1762"/>
        <w:gridCol w:w="215"/>
        <w:gridCol w:w="2510"/>
        <w:gridCol w:w="287"/>
        <w:gridCol w:w="1686"/>
        <w:gridCol w:w="1262"/>
      </w:tblGrid>
      <w:tr>
        <w:tblPrEx/>
        <w:trPr/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2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4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Исполнитель: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2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18"/>
              </w:rPr>
              <w:t xml:space="preserve">ТУ Росимущества в Пермском крае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1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2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4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699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15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762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Миронова Е.В.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5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510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87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686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62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92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«_____»___________2026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4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«_____»___________2026 г.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sectPr>
      <w:footnotePr/>
      <w:endnotePr/>
      <w:type w:val="nextPage"/>
      <w:pgSz w:w="11906" w:h="16838" w:orient="portrait"/>
      <w:pgMar w:top="851" w:right="680" w:bottom="1134" w:left="102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Times New Roman">
    <w:panose1 w:val="02020603050405020304"/>
  </w:font>
  <w:font w:name="XO Thames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09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09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XO Thames" w:hAnsi="XO Thames" w:eastAsia="Times New Roman" w:cs="Times New Roman"/>
        <w:color w:val="000000"/>
        <w:sz w:val="24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4">
    <w:name w:val="Default Paragraph Font"/>
    <w:uiPriority w:val="1"/>
    <w:semiHidden/>
    <w:unhideWhenUsed/>
  </w:style>
  <w:style w:type="character" w:styleId="675">
    <w:name w:val="Heading 1 Char"/>
    <w:basedOn w:val="674"/>
    <w:link w:val="855"/>
    <w:uiPriority w:val="9"/>
    <w:rPr>
      <w:rFonts w:ascii="Arial" w:hAnsi="Arial" w:eastAsia="Arial" w:cs="Arial"/>
      <w:sz w:val="40"/>
      <w:szCs w:val="40"/>
    </w:rPr>
  </w:style>
  <w:style w:type="character" w:styleId="676">
    <w:name w:val="Heading 2 Char"/>
    <w:basedOn w:val="674"/>
    <w:link w:val="877"/>
    <w:uiPriority w:val="9"/>
    <w:rPr>
      <w:rFonts w:ascii="Arial" w:hAnsi="Arial" w:eastAsia="Arial" w:cs="Arial"/>
      <w:sz w:val="34"/>
    </w:rPr>
  </w:style>
  <w:style w:type="character" w:styleId="677">
    <w:name w:val="Heading 3 Char"/>
    <w:basedOn w:val="674"/>
    <w:link w:val="849"/>
    <w:uiPriority w:val="9"/>
    <w:rPr>
      <w:rFonts w:ascii="Arial" w:hAnsi="Arial" w:eastAsia="Arial" w:cs="Arial"/>
      <w:sz w:val="30"/>
      <w:szCs w:val="30"/>
    </w:rPr>
  </w:style>
  <w:style w:type="character" w:styleId="678">
    <w:name w:val="Heading 4 Char"/>
    <w:basedOn w:val="674"/>
    <w:link w:val="875"/>
    <w:uiPriority w:val="9"/>
    <w:rPr>
      <w:rFonts w:ascii="Arial" w:hAnsi="Arial" w:eastAsia="Arial" w:cs="Arial"/>
      <w:b/>
      <w:bCs/>
      <w:sz w:val="26"/>
      <w:szCs w:val="26"/>
    </w:rPr>
  </w:style>
  <w:style w:type="character" w:styleId="679">
    <w:name w:val="Heading 5 Char"/>
    <w:basedOn w:val="674"/>
    <w:link w:val="853"/>
    <w:uiPriority w:val="9"/>
    <w:rPr>
      <w:rFonts w:ascii="Arial" w:hAnsi="Arial" w:eastAsia="Arial" w:cs="Arial"/>
      <w:b/>
      <w:bCs/>
      <w:sz w:val="24"/>
      <w:szCs w:val="24"/>
    </w:rPr>
  </w:style>
  <w:style w:type="paragraph" w:styleId="680">
    <w:name w:val="Heading 6"/>
    <w:basedOn w:val="837"/>
    <w:next w:val="837"/>
    <w:link w:val="6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1">
    <w:name w:val="Heading 6 Char"/>
    <w:basedOn w:val="674"/>
    <w:link w:val="680"/>
    <w:uiPriority w:val="9"/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837"/>
    <w:next w:val="837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3">
    <w:name w:val="Heading 7 Char"/>
    <w:basedOn w:val="674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837"/>
    <w:next w:val="837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5">
    <w:name w:val="Heading 8 Char"/>
    <w:basedOn w:val="674"/>
    <w:link w:val="684"/>
    <w:uiPriority w:val="9"/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837"/>
    <w:next w:val="837"/>
    <w:link w:val="6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>
    <w:name w:val="Heading 9 Char"/>
    <w:basedOn w:val="674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688">
    <w:name w:val="List Paragraph"/>
    <w:basedOn w:val="837"/>
    <w:uiPriority w:val="34"/>
    <w:qFormat/>
    <w:pPr>
      <w:contextualSpacing/>
      <w:ind w:left="720"/>
    </w:pPr>
  </w:style>
  <w:style w:type="paragraph" w:styleId="689">
    <w:name w:val="No Spacing"/>
    <w:uiPriority w:val="1"/>
    <w:qFormat/>
    <w:pPr>
      <w:spacing w:before="0" w:after="0" w:line="240" w:lineRule="auto"/>
    </w:pPr>
  </w:style>
  <w:style w:type="character" w:styleId="690">
    <w:name w:val="Title Char"/>
    <w:basedOn w:val="674"/>
    <w:link w:val="873"/>
    <w:uiPriority w:val="10"/>
    <w:rPr>
      <w:sz w:val="48"/>
      <w:szCs w:val="48"/>
    </w:rPr>
  </w:style>
  <w:style w:type="character" w:styleId="691">
    <w:name w:val="Subtitle Char"/>
    <w:basedOn w:val="674"/>
    <w:link w:val="871"/>
    <w:uiPriority w:val="11"/>
    <w:rPr>
      <w:sz w:val="24"/>
      <w:szCs w:val="24"/>
    </w:rPr>
  </w:style>
  <w:style w:type="paragraph" w:styleId="692">
    <w:name w:val="Quote"/>
    <w:basedOn w:val="837"/>
    <w:next w:val="837"/>
    <w:link w:val="693"/>
    <w:uiPriority w:val="29"/>
    <w:qFormat/>
    <w:pPr>
      <w:ind w:left="720" w:right="720"/>
    </w:pPr>
    <w:rPr>
      <w:i/>
    </w:rPr>
  </w:style>
  <w:style w:type="character" w:styleId="693">
    <w:name w:val="Quote Char"/>
    <w:link w:val="692"/>
    <w:uiPriority w:val="29"/>
    <w:rPr>
      <w:i/>
    </w:rPr>
  </w:style>
  <w:style w:type="paragraph" w:styleId="694">
    <w:name w:val="Intense Quote"/>
    <w:basedOn w:val="837"/>
    <w:next w:val="837"/>
    <w:link w:val="69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5">
    <w:name w:val="Intense Quote Char"/>
    <w:link w:val="694"/>
    <w:uiPriority w:val="30"/>
    <w:rPr>
      <w:i/>
    </w:rPr>
  </w:style>
  <w:style w:type="paragraph" w:styleId="696">
    <w:name w:val="Header"/>
    <w:basedOn w:val="837"/>
    <w:link w:val="6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>
    <w:name w:val="Header Char"/>
    <w:basedOn w:val="674"/>
    <w:link w:val="696"/>
    <w:uiPriority w:val="99"/>
  </w:style>
  <w:style w:type="paragraph" w:styleId="698">
    <w:name w:val="Footer"/>
    <w:basedOn w:val="837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>
    <w:name w:val="Footer Char"/>
    <w:basedOn w:val="674"/>
    <w:link w:val="698"/>
    <w:uiPriority w:val="99"/>
  </w:style>
  <w:style w:type="paragraph" w:styleId="700">
    <w:name w:val="Caption"/>
    <w:basedOn w:val="837"/>
    <w:next w:val="837"/>
    <w:link w:val="70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1">
    <w:name w:val="Caption Char"/>
    <w:basedOn w:val="700"/>
    <w:link w:val="698"/>
    <w:uiPriority w:val="99"/>
  </w:style>
  <w:style w:type="table" w:styleId="70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8">
    <w:name w:val="footnote text"/>
    <w:basedOn w:val="837"/>
    <w:link w:val="829"/>
    <w:uiPriority w:val="99"/>
    <w:semiHidden/>
    <w:unhideWhenUsed/>
    <w:pPr>
      <w:spacing w:after="40" w:line="240" w:lineRule="auto"/>
    </w:pPr>
    <w:rPr>
      <w:sz w:val="18"/>
    </w:rPr>
  </w:style>
  <w:style w:type="character" w:styleId="829">
    <w:name w:val="Footnote Text Char"/>
    <w:link w:val="828"/>
    <w:uiPriority w:val="99"/>
    <w:rPr>
      <w:sz w:val="18"/>
    </w:rPr>
  </w:style>
  <w:style w:type="character" w:styleId="830">
    <w:name w:val="footnote reference"/>
    <w:basedOn w:val="674"/>
    <w:uiPriority w:val="99"/>
    <w:unhideWhenUsed/>
    <w:rPr>
      <w:vertAlign w:val="superscript"/>
    </w:rPr>
  </w:style>
  <w:style w:type="paragraph" w:styleId="831">
    <w:name w:val="endnote text"/>
    <w:basedOn w:val="837"/>
    <w:link w:val="832"/>
    <w:uiPriority w:val="99"/>
    <w:semiHidden/>
    <w:unhideWhenUsed/>
    <w:pPr>
      <w:spacing w:after="0" w:line="240" w:lineRule="auto"/>
    </w:pPr>
    <w:rPr>
      <w:sz w:val="20"/>
    </w:rPr>
  </w:style>
  <w:style w:type="character" w:styleId="832">
    <w:name w:val="Endnote Text Char"/>
    <w:link w:val="831"/>
    <w:uiPriority w:val="99"/>
    <w:rPr>
      <w:sz w:val="20"/>
    </w:rPr>
  </w:style>
  <w:style w:type="character" w:styleId="833">
    <w:name w:val="endnote reference"/>
    <w:basedOn w:val="674"/>
    <w:uiPriority w:val="99"/>
    <w:semiHidden/>
    <w:unhideWhenUsed/>
    <w:rPr>
      <w:vertAlign w:val="superscript"/>
    </w:rPr>
  </w:style>
  <w:style w:type="paragraph" w:styleId="834">
    <w:name w:val="TOC Heading"/>
    <w:uiPriority w:val="39"/>
    <w:unhideWhenUsed/>
  </w:style>
  <w:style w:type="paragraph" w:styleId="835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6" w:default="1">
    <w:name w:val="Normal"/>
    <w:link w:val="837"/>
    <w:uiPriority w:val="0"/>
    <w:qFormat/>
    <w:pPr>
      <w:jc w:val="both"/>
      <w:spacing w:line="240" w:lineRule="auto"/>
    </w:pPr>
    <w:rPr>
      <w:rFonts w:ascii="XO Thames" w:hAnsi="XO Thames"/>
      <w:sz w:val="28"/>
    </w:rPr>
  </w:style>
  <w:style w:type="character" w:styleId="837" w:default="1">
    <w:name w:val="Normal"/>
    <w:link w:val="836"/>
    <w:rPr>
      <w:rFonts w:ascii="XO Thames" w:hAnsi="XO Thames"/>
      <w:sz w:val="28"/>
    </w:rPr>
  </w:style>
  <w:style w:type="paragraph" w:styleId="838">
    <w:name w:val="toc 2"/>
    <w:next w:val="836"/>
    <w:link w:val="839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839">
    <w:name w:val="toc 2"/>
    <w:link w:val="838"/>
    <w:rPr>
      <w:rFonts w:ascii="XO Thames" w:hAnsi="XO Thames"/>
      <w:sz w:val="28"/>
    </w:rPr>
  </w:style>
  <w:style w:type="paragraph" w:styleId="840">
    <w:name w:val="toc 4"/>
    <w:next w:val="836"/>
    <w:link w:val="841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841">
    <w:name w:val="toc 4"/>
    <w:link w:val="840"/>
    <w:rPr>
      <w:rFonts w:ascii="XO Thames" w:hAnsi="XO Thames"/>
      <w:sz w:val="28"/>
    </w:rPr>
  </w:style>
  <w:style w:type="paragraph" w:styleId="842">
    <w:name w:val="toc 6"/>
    <w:next w:val="836"/>
    <w:link w:val="843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843">
    <w:name w:val="toc 6"/>
    <w:link w:val="842"/>
    <w:rPr>
      <w:rFonts w:ascii="XO Thames" w:hAnsi="XO Thames"/>
      <w:sz w:val="28"/>
    </w:rPr>
  </w:style>
  <w:style w:type="paragraph" w:styleId="844">
    <w:name w:val="toc 7"/>
    <w:next w:val="836"/>
    <w:link w:val="845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845">
    <w:name w:val="toc 7"/>
    <w:link w:val="844"/>
    <w:rPr>
      <w:rFonts w:ascii="XO Thames" w:hAnsi="XO Thames"/>
      <w:sz w:val="28"/>
    </w:rPr>
  </w:style>
  <w:style w:type="paragraph" w:styleId="846">
    <w:name w:val="Endnote"/>
    <w:link w:val="847"/>
    <w:pPr>
      <w:ind w:left="0" w:firstLine="851"/>
      <w:jc w:val="both"/>
    </w:pPr>
    <w:rPr>
      <w:rFonts w:ascii="XO Thames" w:hAnsi="XO Thames"/>
      <w:sz w:val="22"/>
    </w:rPr>
  </w:style>
  <w:style w:type="character" w:styleId="847">
    <w:name w:val="Endnote"/>
    <w:link w:val="846"/>
    <w:rPr>
      <w:rFonts w:ascii="XO Thames" w:hAnsi="XO Thames"/>
      <w:sz w:val="22"/>
    </w:rPr>
  </w:style>
  <w:style w:type="paragraph" w:styleId="848">
    <w:name w:val="Heading 3"/>
    <w:next w:val="836"/>
    <w:link w:val="849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849">
    <w:name w:val="Heading 3"/>
    <w:link w:val="848"/>
    <w:rPr>
      <w:rFonts w:ascii="XO Thames" w:hAnsi="XO Thames"/>
      <w:b/>
      <w:sz w:val="26"/>
    </w:rPr>
  </w:style>
  <w:style w:type="paragraph" w:styleId="850">
    <w:name w:val="toc 3"/>
    <w:next w:val="836"/>
    <w:link w:val="851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851">
    <w:name w:val="toc 3"/>
    <w:link w:val="850"/>
    <w:rPr>
      <w:rFonts w:ascii="XO Thames" w:hAnsi="XO Thames"/>
      <w:sz w:val="28"/>
    </w:rPr>
  </w:style>
  <w:style w:type="paragraph" w:styleId="852">
    <w:name w:val="Heading 5"/>
    <w:next w:val="836"/>
    <w:link w:val="853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853">
    <w:name w:val="Heading 5"/>
    <w:link w:val="852"/>
    <w:rPr>
      <w:rFonts w:ascii="XO Thames" w:hAnsi="XO Thames"/>
      <w:b/>
      <w:sz w:val="22"/>
    </w:rPr>
  </w:style>
  <w:style w:type="paragraph" w:styleId="854">
    <w:name w:val="Heading 1"/>
    <w:next w:val="836"/>
    <w:link w:val="855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855">
    <w:name w:val="Heading 1"/>
    <w:link w:val="854"/>
    <w:rPr>
      <w:rFonts w:ascii="XO Thames" w:hAnsi="XO Thames"/>
      <w:b/>
      <w:sz w:val="32"/>
    </w:rPr>
  </w:style>
  <w:style w:type="paragraph" w:styleId="856">
    <w:name w:val="Hyperlink"/>
    <w:link w:val="857"/>
    <w:rPr>
      <w:color w:val="0000ff"/>
      <w:u w:val="single"/>
    </w:rPr>
  </w:style>
  <w:style w:type="character" w:styleId="857">
    <w:name w:val="Hyperlink"/>
    <w:link w:val="856"/>
    <w:rPr>
      <w:color w:val="0000ff"/>
      <w:u w:val="single"/>
    </w:rPr>
  </w:style>
  <w:style w:type="paragraph" w:styleId="858">
    <w:name w:val="Footnote"/>
    <w:link w:val="859"/>
    <w:pPr>
      <w:ind w:left="0" w:firstLine="851"/>
      <w:jc w:val="both"/>
    </w:pPr>
    <w:rPr>
      <w:rFonts w:ascii="XO Thames" w:hAnsi="XO Thames"/>
      <w:sz w:val="22"/>
    </w:rPr>
  </w:style>
  <w:style w:type="character" w:styleId="859">
    <w:name w:val="Footnote"/>
    <w:link w:val="858"/>
    <w:rPr>
      <w:rFonts w:ascii="XO Thames" w:hAnsi="XO Thames"/>
      <w:sz w:val="22"/>
    </w:rPr>
  </w:style>
  <w:style w:type="paragraph" w:styleId="860">
    <w:name w:val="toc 1"/>
    <w:next w:val="836"/>
    <w:link w:val="861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861">
    <w:name w:val="toc 1"/>
    <w:link w:val="860"/>
    <w:rPr>
      <w:rFonts w:ascii="XO Thames" w:hAnsi="XO Thames"/>
      <w:b/>
      <w:sz w:val="28"/>
    </w:rPr>
  </w:style>
  <w:style w:type="paragraph" w:styleId="862">
    <w:name w:val="Header and Footer"/>
    <w:link w:val="863"/>
    <w:pPr>
      <w:jc w:val="both"/>
      <w:spacing w:line="240" w:lineRule="auto"/>
    </w:pPr>
    <w:rPr>
      <w:rFonts w:ascii="XO Thames" w:hAnsi="XO Thames"/>
      <w:sz w:val="28"/>
    </w:rPr>
  </w:style>
  <w:style w:type="character" w:styleId="863">
    <w:name w:val="Header and Footer"/>
    <w:link w:val="862"/>
    <w:rPr>
      <w:rFonts w:ascii="XO Thames" w:hAnsi="XO Thames"/>
      <w:sz w:val="28"/>
    </w:rPr>
  </w:style>
  <w:style w:type="paragraph" w:styleId="864">
    <w:name w:val="toc 9"/>
    <w:next w:val="836"/>
    <w:link w:val="865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865">
    <w:name w:val="toc 9"/>
    <w:link w:val="864"/>
    <w:rPr>
      <w:rFonts w:ascii="XO Thames" w:hAnsi="XO Thames"/>
      <w:sz w:val="28"/>
    </w:rPr>
  </w:style>
  <w:style w:type="paragraph" w:styleId="866">
    <w:name w:val="toc 8"/>
    <w:next w:val="836"/>
    <w:link w:val="867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867">
    <w:name w:val="toc 8"/>
    <w:link w:val="866"/>
    <w:rPr>
      <w:rFonts w:ascii="XO Thames" w:hAnsi="XO Thames"/>
      <w:sz w:val="28"/>
    </w:rPr>
  </w:style>
  <w:style w:type="paragraph" w:styleId="868">
    <w:name w:val="toc 5"/>
    <w:next w:val="836"/>
    <w:link w:val="869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869">
    <w:name w:val="toc 5"/>
    <w:link w:val="868"/>
    <w:rPr>
      <w:rFonts w:ascii="XO Thames" w:hAnsi="XO Thames"/>
      <w:sz w:val="28"/>
    </w:rPr>
  </w:style>
  <w:style w:type="paragraph" w:styleId="870">
    <w:name w:val="Subtitle"/>
    <w:next w:val="836"/>
    <w:link w:val="871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71">
    <w:name w:val="Subtitle"/>
    <w:link w:val="870"/>
    <w:rPr>
      <w:rFonts w:ascii="XO Thames" w:hAnsi="XO Thames"/>
      <w:i/>
      <w:sz w:val="24"/>
    </w:rPr>
  </w:style>
  <w:style w:type="paragraph" w:styleId="872">
    <w:name w:val="Title"/>
    <w:next w:val="836"/>
    <w:link w:val="873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73">
    <w:name w:val="Title"/>
    <w:link w:val="872"/>
    <w:rPr>
      <w:rFonts w:ascii="XO Thames" w:hAnsi="XO Thames"/>
      <w:b/>
      <w:caps/>
      <w:sz w:val="40"/>
    </w:rPr>
  </w:style>
  <w:style w:type="paragraph" w:styleId="874">
    <w:name w:val="Heading 4"/>
    <w:next w:val="836"/>
    <w:link w:val="875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875">
    <w:name w:val="Heading 4"/>
    <w:link w:val="874"/>
    <w:rPr>
      <w:rFonts w:ascii="XO Thames" w:hAnsi="XO Thames"/>
      <w:b/>
      <w:sz w:val="24"/>
    </w:rPr>
  </w:style>
  <w:style w:type="paragraph" w:styleId="876">
    <w:name w:val="Heading 2"/>
    <w:next w:val="836"/>
    <w:link w:val="877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877">
    <w:name w:val="Heading 2"/>
    <w:link w:val="876"/>
    <w:rPr>
      <w:rFonts w:ascii="XO Thames" w:hAnsi="XO Thames"/>
      <w:b/>
      <w:sz w:val="28"/>
    </w:rPr>
  </w:style>
  <w:style w:type="numbering" w:styleId="878" w:default="1">
    <w:name w:val="No List"/>
    <w:uiPriority w:val="99"/>
    <w:semiHidden/>
    <w:unhideWhenUsed/>
  </w:style>
  <w:style w:type="table" w:styleId="87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tu59@rosim.gov.ru" TargetMode="Externa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png"/><Relationship Id="rId15" Type="http://schemas.openxmlformats.org/officeDocument/2006/relationships/image" Target="media/image6.jpg"/><Relationship Id="rId16" Type="http://schemas.openxmlformats.org/officeDocument/2006/relationships/image" Target="media/image7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mariia.ivanova</cp:lastModifiedBy>
  <cp:revision>21</cp:revision>
  <dcterms:modified xsi:type="dcterms:W3CDTF">2026-08-07T10:11:20Z</dcterms:modified>
</cp:coreProperties>
</file>