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auto"/>
        <w:ind w:firstLine="0" w:left="4962"/>
        <w:rPr>
          <w:rFonts w:ascii="Times New Roman" w:hAnsi="Times New Roman"/>
          <w:b w:val="1"/>
          <w:sz w:val="24"/>
        </w:rPr>
      </w:pPr>
    </w:p>
    <w:p w14:paraId="04000000">
      <w:pPr>
        <w:widowControl w:val="0"/>
        <w:spacing w:after="0" w:line="240" w:lineRule="auto"/>
        <w:ind w:firstLine="0" w:left="496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Приложение к электронной версии контракта </w:t>
      </w:r>
    </w:p>
    <w:p w14:paraId="05000000">
      <w:pPr>
        <w:widowControl w:val="0"/>
        <w:spacing w:after="0" w:line="240" w:lineRule="auto"/>
        <w:ind w:firstLine="0" w:left="496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 закупке № _____________________________</w:t>
      </w:r>
    </w:p>
    <w:p w14:paraId="06000000">
      <w:pPr>
        <w:widowControl w:val="0"/>
        <w:spacing w:after="0" w:line="240" w:lineRule="auto"/>
        <w:ind w:firstLine="0" w:left="496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 ЕАТ «Березка»</w:t>
      </w:r>
    </w:p>
    <w:p w14:paraId="07000000">
      <w:pPr>
        <w:widowControl w:val="0"/>
        <w:spacing w:after="0" w:line="240" w:lineRule="auto"/>
        <w:ind w:firstLine="0" w:left="4962"/>
        <w:rPr>
          <w:rFonts w:ascii="Times New Roman" w:hAnsi="Times New Roman"/>
          <w:b w:val="1"/>
          <w:sz w:val="24"/>
        </w:rPr>
      </w:pPr>
    </w:p>
    <w:p w14:paraId="08000000">
      <w:pPr>
        <w:widowControl w:val="0"/>
        <w:spacing w:after="0" w:line="240" w:lineRule="auto"/>
        <w:ind w:firstLine="0"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Регистрационный номер Контракта </w:t>
      </w:r>
    </w:p>
    <w:p w14:paraId="09000000">
      <w:pPr>
        <w:widowControl w:val="0"/>
        <w:spacing w:after="0" w:line="240" w:lineRule="auto"/>
        <w:ind w:firstLine="0"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Роструде</w:t>
      </w:r>
      <w:r>
        <w:rPr>
          <w:rFonts w:ascii="Times New Roman" w:hAnsi="Times New Roman"/>
          <w:sz w:val="24"/>
        </w:rPr>
        <w:t xml:space="preserve">  _</w:t>
      </w:r>
      <w:r>
        <w:rPr>
          <w:rFonts w:ascii="Times New Roman" w:hAnsi="Times New Roman"/>
          <w:sz w:val="24"/>
        </w:rPr>
        <w:t>____-юр</w:t>
      </w:r>
    </w:p>
    <w:p w14:paraId="0A000000">
      <w:pPr>
        <w:widowControl w:val="0"/>
        <w:spacing w:after="0" w:line="240" w:lineRule="auto"/>
        <w:ind w:firstLine="0" w:left="4962"/>
        <w:rPr>
          <w:rFonts w:ascii="Times New Roman" w:hAnsi="Times New Roman"/>
          <w:b w:val="1"/>
          <w:sz w:val="24"/>
        </w:rPr>
      </w:pPr>
    </w:p>
    <w:p w14:paraId="0B000000">
      <w:pPr>
        <w:widowControl w:val="0"/>
        <w:spacing w:after="0" w:line="240" w:lineRule="auto"/>
        <w:ind w:firstLine="0"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Закупка в соответствии с п. 4 ч. 1 ст. 93 Федерального закона № 44-ФЗ </w:t>
      </w:r>
    </w:p>
    <w:p w14:paraId="0C000000">
      <w:pPr>
        <w:widowControl w:val="0"/>
        <w:spacing w:after="0" w:line="240" w:lineRule="auto"/>
        <w:ind w:firstLine="0"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(закупка до 600 тыс. </w:t>
      </w:r>
      <w:r>
        <w:rPr>
          <w:rFonts w:ascii="Times New Roman" w:hAnsi="Times New Roman"/>
          <w:sz w:val="24"/>
        </w:rPr>
        <w:t>руб.)</w:t>
      </w:r>
    </w:p>
    <w:p w14:paraId="0D000000">
      <w:pPr>
        <w:pStyle w:val="Style_2"/>
        <w:ind w:hanging="4962" w:left="4962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Предмет закупки:</w:t>
      </w:r>
      <w:r>
        <w:rPr>
          <w:rStyle w:val="Style_2_ch"/>
          <w:sz w:val="24"/>
        </w:rPr>
        <w:t xml:space="preserve"> «Приобретение средств технической защиты»</w:t>
      </w:r>
    </w:p>
    <w:p w14:paraId="0E000000">
      <w:pPr>
        <w:widowControl w:val="0"/>
        <w:spacing w:after="0" w:line="240" w:lineRule="auto"/>
        <w:ind w:firstLine="0"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(Сторона Контракта): Федеральная служба по труду и занятости</w:t>
      </w:r>
    </w:p>
    <w:p w14:paraId="0F000000">
      <w:pPr>
        <w:widowControl w:val="0"/>
        <w:spacing w:after="0" w:line="240" w:lineRule="auto"/>
        <w:ind w:firstLine="0" w:left="4962"/>
        <w:rPr>
          <w:rFonts w:ascii="Times New Roman" w:hAnsi="Times New Roman"/>
          <w:sz w:val="24"/>
        </w:rPr>
      </w:pPr>
    </w:p>
    <w:p w14:paraId="10000000">
      <w:pPr>
        <w:widowControl w:val="0"/>
        <w:spacing w:after="0" w:line="240" w:lineRule="auto"/>
        <w:ind w:firstLine="0"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Поставщик (Сторона Контракта): </w:t>
      </w:r>
      <w:r>
        <w:rPr>
          <w:rFonts w:ascii="Times New Roman" w:hAnsi="Times New Roman"/>
          <w:i w:val="1"/>
          <w:sz w:val="24"/>
        </w:rPr>
        <w:t>определ</w:t>
      </w:r>
      <w:r>
        <w:rPr>
          <w:rFonts w:ascii="Times New Roman" w:hAnsi="Times New Roman"/>
          <w:i w:val="1"/>
          <w:sz w:val="24"/>
        </w:rPr>
        <w:t xml:space="preserve">яется по итогам проведения закупочной сессии в ЕАТ «Березка» </w:t>
      </w:r>
    </w:p>
    <w:p w14:paraId="11000000">
      <w:pPr>
        <w:widowControl w:val="0"/>
        <w:spacing w:after="0" w:line="240" w:lineRule="auto"/>
        <w:ind w:firstLine="0" w:left="4962"/>
        <w:rPr>
          <w:rFonts w:ascii="Times New Roman" w:hAnsi="Times New Roman"/>
          <w:b w:val="1"/>
          <w:sz w:val="24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pacing w:val="-4"/>
          <w:sz w:val="24"/>
        </w:rPr>
      </w:pPr>
      <w:r>
        <w:rPr>
          <w:rFonts w:ascii="Times New Roman" w:hAnsi="Times New Roman"/>
          <w:b w:val="1"/>
          <w:spacing w:val="-4"/>
          <w:sz w:val="24"/>
        </w:rPr>
        <w:t>1. Предмет Контракта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 Поставщик обязуется осуществить поставку средств технической защиты (далее – Товар) в соответствии с условиями Контракта в количестве и ассортименте, указанном в разде</w:t>
      </w:r>
      <w:r>
        <w:rPr>
          <w:rFonts w:ascii="Times New Roman" w:hAnsi="Times New Roman"/>
          <w:sz w:val="24"/>
        </w:rPr>
        <w:t xml:space="preserve">ле 11 «Спецификация поставляемого Товара» и разделе 12 «Характеристики и объем (содержание) поставляемого Товара» настоящего Приложения. 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Поставка Товара осуществляется силами и за счет Поставщика. Место поставки Товара: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г. Москва, ул. Мясницкая, д. </w:t>
      </w:r>
      <w:r>
        <w:rPr>
          <w:rFonts w:ascii="Times New Roman" w:hAnsi="Times New Roman"/>
          <w:sz w:val="24"/>
        </w:rPr>
        <w:t>40, стр. 16. Дата и время поставки Товара согласовывается Поставщиком с Заказчиком. Товар поставляется в полном объеме, частичная поставка Товара не допускается.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16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Срок действия Контракта, сроки поставки Товара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Контракт вступает в силу и становится </w:t>
      </w:r>
      <w:r>
        <w:rPr>
          <w:rFonts w:ascii="Times New Roman" w:hAnsi="Times New Roman"/>
          <w:sz w:val="24"/>
        </w:rPr>
        <w:t>обязательным для Сторон с даты заключения и действует до 31 декабря 2026 года.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 Срок поставки Товара: до 31 июля 2026 года включительно.  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 Окончание срока действия Контракта не влечет прекращения неисполненных обязательств Сторон.</w:t>
      </w:r>
    </w:p>
    <w:p w14:paraId="1A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</w:p>
    <w:p w14:paraId="1B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3. Цена </w:t>
      </w:r>
      <w:r>
        <w:rPr>
          <w:rFonts w:ascii="Times New Roman" w:hAnsi="Times New Roman"/>
          <w:b w:val="1"/>
          <w:sz w:val="24"/>
        </w:rPr>
        <w:t>Контракта и порядок расчетов</w:t>
      </w:r>
    </w:p>
    <w:p w14:paraId="1C000000">
      <w:pPr>
        <w:keepNext w:val="1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i w:val="1"/>
          <w:spacing w:val="-2"/>
          <w:sz w:val="24"/>
        </w:rPr>
      </w:pPr>
      <w:r>
        <w:rPr>
          <w:rFonts w:ascii="Times New Roman" w:hAnsi="Times New Roman"/>
          <w:sz w:val="24"/>
        </w:rPr>
        <w:t xml:space="preserve">3.1. Цена Контракта </w:t>
      </w:r>
      <w:r>
        <w:rPr>
          <w:rFonts w:ascii="Times New Roman" w:hAnsi="Times New Roman"/>
          <w:sz w:val="24"/>
        </w:rPr>
        <w:t>составляет  _</w:t>
      </w:r>
      <w:r>
        <w:rPr>
          <w:rFonts w:ascii="Times New Roman" w:hAnsi="Times New Roman"/>
          <w:sz w:val="24"/>
        </w:rPr>
        <w:t xml:space="preserve">_________  (________) рублей ___ копеек, </w:t>
      </w:r>
      <w:r>
        <w:rPr>
          <w:rFonts w:ascii="Times New Roman" w:hAnsi="Times New Roman"/>
          <w:i w:val="1"/>
          <w:sz w:val="24"/>
        </w:rPr>
        <w:t>в том числе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 xml:space="preserve">НДС  % - __________ (_______) рублей ___ копейки </w:t>
      </w:r>
      <w:r>
        <w:rPr>
          <w:rFonts w:ascii="Times New Roman" w:hAnsi="Times New Roman"/>
          <w:sz w:val="24"/>
        </w:rPr>
        <w:t>(далее – Цена Контракта).</w:t>
      </w:r>
      <w:r>
        <w:rPr>
          <w:rFonts w:ascii="Times New Roman" w:hAnsi="Times New Roman"/>
          <w:i w:val="1"/>
          <w:spacing w:val="-2"/>
          <w:sz w:val="24"/>
        </w:rPr>
        <w:t xml:space="preserve"> </w:t>
      </w:r>
    </w:p>
    <w:p w14:paraId="1D000000">
      <w:pPr>
        <w:keepNext w:val="1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i w:val="1"/>
          <w:spacing w:val="-2"/>
          <w:sz w:val="24"/>
        </w:rPr>
      </w:pPr>
      <w:r>
        <w:rPr>
          <w:rFonts w:ascii="Times New Roman" w:hAnsi="Times New Roman"/>
          <w:i w:val="1"/>
          <w:spacing w:val="-2"/>
          <w:sz w:val="24"/>
        </w:rPr>
        <w:t>В случае, если Поставщик имеет право на освобождение от уплаты НД</w:t>
      </w:r>
      <w:r>
        <w:rPr>
          <w:rFonts w:ascii="Times New Roman" w:hAnsi="Times New Roman"/>
          <w:i w:val="1"/>
          <w:spacing w:val="-2"/>
          <w:sz w:val="24"/>
        </w:rPr>
        <w:t>С</w:t>
      </w:r>
      <w:r>
        <w:rPr>
          <w:rStyle w:val="Style_3_ch"/>
          <w:rFonts w:ascii="Times New Roman" w:hAnsi="Times New Roman"/>
          <w:i w:val="1"/>
          <w:spacing w:val="-2"/>
          <w:sz w:val="24"/>
        </w:rPr>
        <w:footnoteReference w:id="1"/>
      </w:r>
      <w:r>
        <w:rPr>
          <w:rFonts w:ascii="Times New Roman" w:hAnsi="Times New Roman"/>
          <w:i w:val="1"/>
          <w:spacing w:val="-2"/>
          <w:sz w:val="24"/>
        </w:rPr>
        <w:t xml:space="preserve">, то слова «в </w:t>
      </w:r>
      <w:r>
        <w:rPr>
          <w:rFonts w:ascii="Times New Roman" w:hAnsi="Times New Roman"/>
          <w:i w:val="1"/>
          <w:spacing w:val="-2"/>
          <w:sz w:val="24"/>
        </w:rPr>
        <w:t>т.ч</w:t>
      </w:r>
      <w:r>
        <w:rPr>
          <w:rFonts w:ascii="Times New Roman" w:hAnsi="Times New Roman"/>
          <w:i w:val="1"/>
          <w:spacing w:val="-2"/>
          <w:sz w:val="24"/>
        </w:rPr>
        <w:t>. НДС» заменяются словами «НДС не облагается на основании_____».</w:t>
      </w:r>
    </w:p>
    <w:p w14:paraId="1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Цена Контракта включает общую стоимость всего Товара, уплачиваемую Заказчиком Поставщику за полное выполнение Поставщиком своих обязательств по поставке Товара по Контракту. Цена Контракта является твердой и определяется на весь срок исполнения Контра</w:t>
      </w:r>
      <w:r>
        <w:rPr>
          <w:rFonts w:ascii="Times New Roman" w:hAnsi="Times New Roman"/>
          <w:sz w:val="24"/>
        </w:rPr>
        <w:t xml:space="preserve">кта.  </w:t>
      </w: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 Цена Контракта может быть снижена по соглашению Сторон без изменения предусмотренных Контрактом количества, качества поставляемого Товара и иных условий Контракта. Изменение условий Контракта допускается в случаях, предусмотренных </w:t>
      </w:r>
      <w:r>
        <w:rPr>
          <w:rFonts w:ascii="Times New Roman" w:hAnsi="Times New Roman"/>
          <w:sz w:val="24"/>
        </w:rPr>
        <w:t>статьей  95</w:t>
      </w:r>
      <w:r>
        <w:rPr>
          <w:rFonts w:ascii="Times New Roman" w:hAnsi="Times New Roman"/>
          <w:sz w:val="24"/>
        </w:rPr>
        <w:t xml:space="preserve">  </w:t>
      </w:r>
      <w:r>
        <w:rPr>
          <w:rFonts w:ascii="Times New Roman" w:hAnsi="Times New Roman"/>
          <w:sz w:val="24"/>
        </w:rPr>
        <w:t>Федерального закона № 44-ФЗ.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Оплата за поставленный Товар по Контракту осуществляется в течение 10 (десяти) рабочих дней со дня подписания Заказчиком Акта приемки-передачи товара, составленного по форме, приведенной в разделе 13 настоящего Приложения,</w:t>
      </w:r>
      <w:r>
        <w:rPr>
          <w:rFonts w:ascii="Times New Roman" w:hAnsi="Times New Roman"/>
          <w:sz w:val="24"/>
        </w:rPr>
        <w:t xml:space="preserve"> согласно представленным Поставщиком счету, </w:t>
      </w:r>
      <w:r>
        <w:rPr>
          <w:rFonts w:ascii="Times New Roman" w:hAnsi="Times New Roman"/>
          <w:i w:val="1"/>
          <w:sz w:val="24"/>
        </w:rPr>
        <w:t>счету-фактуре (при необходимости)</w:t>
      </w:r>
      <w:r>
        <w:rPr>
          <w:rStyle w:val="Style_3_ch"/>
          <w:rFonts w:ascii="Times New Roman" w:hAnsi="Times New Roman"/>
          <w:i w:val="1"/>
          <w:sz w:val="24"/>
        </w:rPr>
        <w:footnoteReference w:id="2"/>
      </w:r>
      <w:r>
        <w:rPr>
          <w:rFonts w:ascii="Times New Roman" w:hAnsi="Times New Roman"/>
          <w:sz w:val="24"/>
        </w:rPr>
        <w:t xml:space="preserve"> и товарной накладной, при условии доведения до Заказчика утвержденных кодов мероприятий </w:t>
      </w:r>
      <w:r>
        <w:rPr>
          <w:rFonts w:ascii="Times New Roman" w:hAnsi="Times New Roman"/>
          <w:sz w:val="24"/>
        </w:rPr>
        <w:t>информатизации  и</w:t>
      </w:r>
      <w:r>
        <w:rPr>
          <w:rFonts w:ascii="Times New Roman" w:hAnsi="Times New Roman"/>
          <w:sz w:val="24"/>
        </w:rPr>
        <w:t xml:space="preserve"> лимитов бюджетных обязательств и отсутствия их блокировки.</w:t>
      </w:r>
    </w:p>
    <w:p w14:paraId="2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z w:val="24"/>
        </w:rPr>
        <w:t xml:space="preserve">3.5. Оплата </w:t>
      </w:r>
      <w:r>
        <w:rPr>
          <w:rFonts w:ascii="Times New Roman" w:hAnsi="Times New Roman"/>
          <w:sz w:val="24"/>
        </w:rPr>
        <w:t>по Контракту осуществляется путем безналичного расчета за счет средств федерального бюджета, выделенных Федеральной службе по труду и занятости на 2026 год: раздел 04 – «Национальная экономика», подраздел 01 – «Общеэкономические вопросы», целевая статья 07</w:t>
      </w:r>
      <w:r>
        <w:rPr>
          <w:rFonts w:ascii="Times New Roman" w:hAnsi="Times New Roman"/>
          <w:sz w:val="24"/>
        </w:rPr>
        <w:t>40390020 «Расходы на обеспечение деятельности федеральных государственных органов» в рамках комплекса процессных мероприятий «Надзор и контроль в сфере труда и занятости» государственной программы «Содействие занятости населения», вид расходов 242 - «Закуп</w:t>
      </w:r>
      <w:r>
        <w:rPr>
          <w:rFonts w:ascii="Times New Roman" w:hAnsi="Times New Roman"/>
          <w:sz w:val="24"/>
        </w:rPr>
        <w:t>ка товаров, работ, услуг в сфере информационно-коммуникационных технологий»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в том числе по</w:t>
      </w:r>
      <w:r>
        <w:rPr>
          <w:rFonts w:ascii="Times New Roman" w:hAnsi="Times New Roman"/>
          <w:spacing w:val="-4"/>
          <w:sz w:val="24"/>
        </w:rPr>
        <w:t xml:space="preserve"> КОCГУ 310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_________руб. __ коп. и КОCГУ 226 _________руб. __ коп.</w:t>
      </w:r>
      <w:bookmarkStart w:id="1" w:name="_GoBack"/>
      <w:bookmarkEnd w:id="1"/>
      <w:r>
        <w:rPr>
          <w:rFonts w:ascii="Times New Roman" w:hAnsi="Times New Roman"/>
          <w:spacing w:val="-4"/>
          <w:sz w:val="24"/>
        </w:rPr>
        <w:t xml:space="preserve"> 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Обязательства Заказчика по оплате Цены Контракта считаются исполненными с момента списания денежных сред</w:t>
      </w:r>
      <w:r>
        <w:rPr>
          <w:rFonts w:ascii="Times New Roman" w:hAnsi="Times New Roman"/>
          <w:sz w:val="24"/>
        </w:rPr>
        <w:t>ств в размере Цены Контракта с лицевого счета Заказчика, указанного в разделе 14 настоящего Приложения.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3.6. В случае если Контракт заключается с юридическим лицом или физическим лицом, в том числе зарегистрированным в качестве индивидуального предпринимат</w:t>
      </w:r>
      <w:r>
        <w:rPr>
          <w:rFonts w:ascii="Times New Roman" w:hAnsi="Times New Roman"/>
          <w:sz w:val="24"/>
        </w:rPr>
        <w:t>еля, сумма, подлежащая уплате Заказчиком таким лицам,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</w:t>
      </w:r>
      <w:r>
        <w:rPr>
          <w:rFonts w:ascii="Times New Roman" w:hAnsi="Times New Roman"/>
          <w:sz w:val="24"/>
        </w:rPr>
        <w:t>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4"/>
        </w:rPr>
      </w:pPr>
    </w:p>
    <w:p w14:paraId="25000000">
      <w:pPr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 приемки Товара</w:t>
      </w:r>
    </w:p>
    <w:p w14:paraId="26000000">
      <w:pPr>
        <w:tabs>
          <w:tab w:leader="none" w:pos="0" w:val="left"/>
          <w:tab w:leader="none" w:pos="709" w:val="left"/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4.1. Приемка Товара осуществляется в соответствии с действующим законодательство</w:t>
      </w:r>
      <w:r>
        <w:rPr>
          <w:rFonts w:ascii="Times New Roman" w:hAnsi="Times New Roman"/>
          <w:sz w:val="24"/>
        </w:rPr>
        <w:t>м и положениями Контракта.</w:t>
      </w:r>
    </w:p>
    <w:p w14:paraId="27000000">
      <w:pPr>
        <w:tabs>
          <w:tab w:leader="none" w:pos="0" w:val="left"/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4.2. Поставщик обязан согласовать с Заказчиком точное время и дату поставки.</w:t>
      </w:r>
    </w:p>
    <w:p w14:paraId="28000000">
      <w:pPr>
        <w:tabs>
          <w:tab w:leader="none" w:pos="0" w:val="left"/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4.3. Поставщик поставляет Товар Заказчику собственным транспортом или с привлечением транспорта третьих лиц за свой счет. Все виды </w:t>
      </w:r>
      <w:r>
        <w:rPr>
          <w:rFonts w:ascii="Times New Roman" w:hAnsi="Times New Roman"/>
          <w:sz w:val="24"/>
        </w:rPr>
        <w:t>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29000000">
      <w:pPr>
        <w:tabs>
          <w:tab w:leader="none" w:pos="0" w:val="left"/>
          <w:tab w:leader="none" w:pos="709" w:val="left"/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4.4. Товар, поставляемый Поставщиком Заказчику, должен соответствовать техническим характери</w:t>
      </w:r>
      <w:r>
        <w:rPr>
          <w:rFonts w:ascii="Times New Roman" w:hAnsi="Times New Roman"/>
          <w:sz w:val="24"/>
        </w:rPr>
        <w:t>стикам, указанным в разделе 12 настоящего Приложения.</w:t>
      </w:r>
    </w:p>
    <w:p w14:paraId="2A000000">
      <w:pPr>
        <w:tabs>
          <w:tab w:leader="none" w:pos="0" w:val="left"/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</w:t>
      </w:r>
      <w:r>
        <w:rPr>
          <w:rFonts w:ascii="Times New Roman" w:hAnsi="Times New Roman"/>
          <w:sz w:val="24"/>
        </w:rPr>
        <w:t>ыми по сравнению с качеством и характеристиками Товара, указанными в разделе 12 настоящего Приложения. В этом случае изменение Контракта оформляется в порядке, установленном в пункте 10.3 настоящего Приложения.</w:t>
      </w:r>
    </w:p>
    <w:p w14:paraId="2B000000">
      <w:pPr>
        <w:tabs>
          <w:tab w:leader="none" w:pos="0" w:val="left"/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4.5. Упаковка и маркировка Товара должны соо</w:t>
      </w:r>
      <w:r>
        <w:rPr>
          <w:rFonts w:ascii="Times New Roman" w:hAnsi="Times New Roman"/>
          <w:sz w:val="24"/>
        </w:rPr>
        <w:t>тветствовать требованиям действующих нормативных актов Российской Федерации, а упаковка и маркировка импортного Товара – международным стандартам упаковки.</w:t>
      </w:r>
    </w:p>
    <w:p w14:paraId="2C000000">
      <w:pPr>
        <w:tabs>
          <w:tab w:leader="none" w:pos="0" w:val="left"/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4.6. Маркировка Товара должна содержать: наименование изделия, наименование фирмы-изготовителя, юри</w:t>
      </w:r>
      <w:r>
        <w:rPr>
          <w:rFonts w:ascii="Times New Roman" w:hAnsi="Times New Roman"/>
          <w:sz w:val="24"/>
        </w:rPr>
        <w:t>дический адрес изготовителя.</w:t>
      </w:r>
    </w:p>
    <w:p w14:paraId="2D000000">
      <w:pPr>
        <w:tabs>
          <w:tab w:leader="none" w:pos="0" w:val="left"/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4.7. Маркировка упаковки должна строго соответствовать маркировке Товара.</w:t>
      </w:r>
    </w:p>
    <w:p w14:paraId="2E000000">
      <w:pPr>
        <w:tabs>
          <w:tab w:leader="none" w:pos="0" w:val="left"/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4.8. 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14:paraId="2F000000">
      <w:pPr>
        <w:tabs>
          <w:tab w:leader="none" w:pos="0" w:val="left"/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4.9. Уборка и </w:t>
      </w:r>
      <w:r>
        <w:rPr>
          <w:rFonts w:ascii="Times New Roman" w:hAnsi="Times New Roman"/>
          <w:sz w:val="24"/>
        </w:rPr>
        <w:t>вывоз упаковки производится силами и за счет Поставщика.</w:t>
      </w:r>
    </w:p>
    <w:p w14:paraId="30000000">
      <w:pPr>
        <w:tabs>
          <w:tab w:leader="none" w:pos="0" w:val="left"/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4.10. В день поставки Товара Поставщик обязан передать Заказчику оригиналы товарной накладной, счета, </w:t>
      </w:r>
      <w:r>
        <w:rPr>
          <w:rFonts w:ascii="Times New Roman" w:hAnsi="Times New Roman"/>
          <w:i w:val="1"/>
          <w:sz w:val="24"/>
        </w:rPr>
        <w:t>счета-фактуры (при необходимости)</w:t>
      </w:r>
      <w:r>
        <w:rPr>
          <w:rFonts w:ascii="Times New Roman" w:hAnsi="Times New Roman"/>
          <w:sz w:val="24"/>
        </w:rPr>
        <w:t xml:space="preserve"> и Акта приемки-передачи товара в 2-х экземплярах, составленног</w:t>
      </w:r>
      <w:r>
        <w:rPr>
          <w:rFonts w:ascii="Times New Roman" w:hAnsi="Times New Roman"/>
          <w:sz w:val="24"/>
        </w:rPr>
        <w:t xml:space="preserve">о по форме, приведенной в разделе 13 настоящего Приложения, </w:t>
      </w:r>
      <w:r>
        <w:rPr>
          <w:rFonts w:ascii="Times New Roman" w:hAnsi="Times New Roman"/>
          <w:sz w:val="24"/>
        </w:rPr>
        <w:t>подписанные Поставщиком, и иные документы, подтверждающие качество Товара, оформленные в соответствии с законодательством Российской Федерации.</w:t>
      </w:r>
    </w:p>
    <w:p w14:paraId="31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4.11. В течение 5 (пяти) рабочих дней после получени</w:t>
      </w:r>
      <w:r>
        <w:rPr>
          <w:rFonts w:ascii="Times New Roman" w:hAnsi="Times New Roman"/>
          <w:sz w:val="24"/>
        </w:rPr>
        <w:t>я от Поставщика документов, указанных в пункте 4.10 настоящего раздела, Заказчик с особенностями, установленными Федеральным законом № 44-ФЗ, проводит экспертизу результатов, предусмотренных Контрактом, в части их соответствия условиям Контракта, с оформле</w:t>
      </w:r>
      <w:r>
        <w:rPr>
          <w:rFonts w:ascii="Times New Roman" w:hAnsi="Times New Roman"/>
          <w:sz w:val="24"/>
        </w:rPr>
        <w:t>нием Заключения и Экспертного заключения (в случае привлечения экспертов, экспертных организаций). Экспертиза поставленного Поставщиком Товара по Контракту может проводиться Заказчиком своими силами или к ее проведению могут привлекаться эксперты, экспертн</w:t>
      </w:r>
      <w:r>
        <w:rPr>
          <w:rFonts w:ascii="Times New Roman" w:hAnsi="Times New Roman"/>
          <w:sz w:val="24"/>
        </w:rPr>
        <w:t xml:space="preserve">ые организации. </w:t>
      </w:r>
    </w:p>
    <w:p w14:paraId="32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4.12. Приемочная комиссия Заказчика в течение 7 (семи) рабочих дней со дня получения Заключения и Экспертного заключения (в случае привлечения экспертов, экспертных организаций) с учетом результатов экспертизы и рассмотрения результатов по</w:t>
      </w:r>
      <w:r>
        <w:rPr>
          <w:rFonts w:ascii="Times New Roman" w:hAnsi="Times New Roman"/>
          <w:sz w:val="24"/>
        </w:rPr>
        <w:t>ставки Товара по Контракту, составляет Протокол о надлежащем исполнении или ненадлежащем исполнении Контракта.</w:t>
      </w:r>
    </w:p>
    <w:p w14:paraId="33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4.13. По результатам Протокола Приемочной комиссии Заказчик не позднее, чем через 5 (пять) рабочих дней с даты подписания Протокола Приемочной ко</w:t>
      </w:r>
      <w:r>
        <w:rPr>
          <w:rFonts w:ascii="Times New Roman" w:hAnsi="Times New Roman"/>
          <w:sz w:val="24"/>
        </w:rPr>
        <w:t>миссии, подписывает со своей стороны Акт приемки-передачи товара по Контракту и передает его Поставщику или отказывает в приемке, направляя мотивированный отказ от приемки Товара с изложением причин отказа и выявленных недостатков.</w:t>
      </w:r>
    </w:p>
    <w:p w14:paraId="34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4.14.</w:t>
      </w:r>
      <w:r>
        <w:t xml:space="preserve"> </w:t>
      </w:r>
      <w:r>
        <w:rPr>
          <w:rFonts w:ascii="Times New Roman" w:hAnsi="Times New Roman"/>
          <w:sz w:val="24"/>
        </w:rPr>
        <w:t>В случае отказа За</w:t>
      </w:r>
      <w:r>
        <w:rPr>
          <w:rFonts w:ascii="Times New Roman" w:hAnsi="Times New Roman"/>
          <w:sz w:val="24"/>
        </w:rPr>
        <w:t>казчика от приемки поставленного Товара Поставщик в течение 5 (пяти) рабочих дней с даты получения мотивированного отказа обязуется устранить указанные недостатки и поставить Товар Заказчику в порядке, установленном настоящим разделом (повторная приемка).</w:t>
      </w:r>
    </w:p>
    <w:p w14:paraId="35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4.15. Подписанный Сторонами Акт приемки-передачи товара по Контракту оформляет и удостоверяет факт принятия Заказчиком Товара и является основанием для оплаты поставленного Поставщиком Товара.</w:t>
      </w:r>
    </w:p>
    <w:p w14:paraId="36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Датой приемки поставленного Товара считается дата подписания Ак</w:t>
      </w:r>
      <w:r>
        <w:rPr>
          <w:rFonts w:ascii="Times New Roman" w:hAnsi="Times New Roman"/>
          <w:sz w:val="24"/>
        </w:rPr>
        <w:t>та приемки-передачи товара уполномоченным лицом Заказчика.</w:t>
      </w:r>
    </w:p>
    <w:p w14:paraId="37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4.16. Гарантийный срок производителя на Товар, все его комплектующие, составные части и принадлежности должен составлять 12 месяцев. При этом предоставление такой гарантии осуществляется вместе с Т</w:t>
      </w:r>
      <w:r>
        <w:rPr>
          <w:rFonts w:ascii="Times New Roman" w:hAnsi="Times New Roman"/>
          <w:sz w:val="24"/>
        </w:rPr>
        <w:t>оваром. Поставщик гарантирует, что качество поставляемого Товара соответствует действующим ГОСТам, техническим регламентам, санитарным нормам и отвечает требованиям качества, безопасности и другим требованиям, предъявленным законодательством Российской Фед</w:t>
      </w:r>
      <w:r>
        <w:rPr>
          <w:rFonts w:ascii="Times New Roman" w:hAnsi="Times New Roman"/>
          <w:sz w:val="24"/>
        </w:rPr>
        <w:t>ерации и Контрактом.</w:t>
      </w:r>
    </w:p>
    <w:p w14:paraId="38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4.16.1. Если в течение действия гарантийного срока на поставляемый Товар возникнут недостатки, препятствующие нормальной эксплуатации поставляемого Товара, Поставщик обязан устранить выявленные недостатки своими силами и за свой счёт, </w:t>
      </w:r>
      <w:r>
        <w:rPr>
          <w:rFonts w:ascii="Times New Roman" w:hAnsi="Times New Roman"/>
          <w:sz w:val="24"/>
        </w:rPr>
        <w:t xml:space="preserve">без каких-либо дополнительных затрат со стороны Заказчика. Срок действия гарантии Поставщика на данный Товар должен быть не менее чем срок действии гарантии производителя данного товара и должен составлять 12 месяцев. За нарушение гарантийных обязательств </w:t>
      </w:r>
      <w:r>
        <w:rPr>
          <w:rFonts w:ascii="Times New Roman" w:hAnsi="Times New Roman"/>
          <w:sz w:val="24"/>
        </w:rPr>
        <w:t>Поставщик несет ответственность в соответствии с законодательством Российской Федерации.</w:t>
      </w: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3A000000">
      <w:pPr>
        <w:numPr>
          <w:ilvl w:val="0"/>
          <w:numId w:val="1"/>
        </w:num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Права и обязанности Сторон</w:t>
      </w:r>
    </w:p>
    <w:p w14:paraId="3B000000">
      <w:pPr>
        <w:tabs>
          <w:tab w:leader="none" w:pos="709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Заказчик вправе:</w:t>
      </w:r>
    </w:p>
    <w:p w14:paraId="3C000000">
      <w:pPr>
        <w:tabs>
          <w:tab w:leader="none" w:pos="709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5.1.1.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Требовать </w:t>
      </w:r>
      <w:r>
        <w:rPr>
          <w:rFonts w:ascii="Times New Roman" w:hAnsi="Times New Roman"/>
          <w:sz w:val="24"/>
        </w:rPr>
        <w:t>от Поставщика</w:t>
      </w:r>
      <w:r>
        <w:rPr>
          <w:rFonts w:ascii="Times New Roman" w:hAnsi="Times New Roman"/>
          <w:sz w:val="24"/>
        </w:rPr>
        <w:t xml:space="preserve"> надлежащего исполнения обязательств в соответствии с условиями Контракта.</w:t>
      </w:r>
    </w:p>
    <w:p w14:paraId="3D000000">
      <w:pPr>
        <w:tabs>
          <w:tab w:leader="none" w:pos="709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5.1.2.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Требовать от Поставщика представления надлежащим образом оформленных документов, указанных в пункте 4.10 настоящего Приложения, подтверждающих исполнение обязательств в соответствии с условиями Контракта.</w:t>
      </w:r>
    </w:p>
    <w:p w14:paraId="3E000000">
      <w:pPr>
        <w:tabs>
          <w:tab w:leader="none" w:pos="709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5.1.3.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Запрашивать у Поставщика информацию о ход</w:t>
      </w:r>
      <w:r>
        <w:rPr>
          <w:rFonts w:ascii="Times New Roman" w:hAnsi="Times New Roman"/>
          <w:sz w:val="24"/>
        </w:rPr>
        <w:t>е исполнения обязательств Поставщика по Контракту.</w:t>
      </w:r>
    </w:p>
    <w:p w14:paraId="3F000000">
      <w:pPr>
        <w:tabs>
          <w:tab w:leader="none" w:pos="709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5.1.4.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Осуществлять контроль за порядком и сроками поставки Товара.</w:t>
      </w:r>
    </w:p>
    <w:p w14:paraId="40000000">
      <w:pPr>
        <w:tabs>
          <w:tab w:leader="none" w:pos="709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5.1.5.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Для проверки соответствия качества поставляемого Товара привлекать независимых экспертов, выбор которых осуществляется в порядке, </w:t>
      </w:r>
      <w:r>
        <w:rPr>
          <w:rFonts w:ascii="Times New Roman" w:hAnsi="Times New Roman"/>
          <w:sz w:val="24"/>
        </w:rPr>
        <w:t>предусмотренном Федеральным законом             № 44-ФЗ.</w:t>
      </w:r>
    </w:p>
    <w:p w14:paraId="41000000">
      <w:pPr>
        <w:tabs>
          <w:tab w:leader="none" w:pos="709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5.1.6.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Ссылаться на недостатки поставляемого Товара, в том числе в части количества, качества, ассортимента этого Товара.</w:t>
      </w:r>
    </w:p>
    <w:p w14:paraId="42000000">
      <w:pPr>
        <w:tabs>
          <w:tab w:leader="none" w:pos="709" w:val="left"/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5.2.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Заказчик обязан:</w:t>
      </w:r>
    </w:p>
    <w:p w14:paraId="43000000">
      <w:pPr>
        <w:tabs>
          <w:tab w:leader="none" w:pos="709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Своевременно принять и оплатить поставку Това</w:t>
      </w:r>
      <w:r>
        <w:rPr>
          <w:rFonts w:ascii="Times New Roman" w:hAnsi="Times New Roman"/>
          <w:sz w:val="24"/>
        </w:rPr>
        <w:t>ра в соответствии с условиями Контракта.</w:t>
      </w:r>
    </w:p>
    <w:p w14:paraId="44000000">
      <w:pPr>
        <w:tabs>
          <w:tab w:leader="none" w:pos="709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5.2.2. При обнаружении уполномоченными контрольными органами несоответствия количества, качества, ассортимента и стоимости поставленного Товара условиям Контракта вызвать полномочных представителей Поставщика для пр</w:t>
      </w:r>
      <w:r>
        <w:rPr>
          <w:rFonts w:ascii="Times New Roman" w:hAnsi="Times New Roman"/>
          <w:sz w:val="24"/>
        </w:rPr>
        <w:t>едставления разъяснений в отношении поставленного Товара.</w:t>
      </w:r>
    </w:p>
    <w:p w14:paraId="45000000">
      <w:pPr>
        <w:tabs>
          <w:tab w:leader="none" w:pos="709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Требовать оплаты неустойки (штрафа, пени) в соответствии с условиями Контракта.</w:t>
      </w:r>
    </w:p>
    <w:p w14:paraId="46000000">
      <w:pPr>
        <w:tabs>
          <w:tab w:leader="none" w:pos="709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Поставщик вправе:</w:t>
      </w:r>
    </w:p>
    <w:p w14:paraId="47000000">
      <w:pPr>
        <w:tabs>
          <w:tab w:leader="none" w:pos="709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Требовать подписания в соответствии с пунктом 4.13 настоящего Приложения Заказчик</w:t>
      </w:r>
      <w:r>
        <w:rPr>
          <w:rFonts w:ascii="Times New Roman" w:hAnsi="Times New Roman"/>
          <w:sz w:val="24"/>
        </w:rPr>
        <w:t>ом Акта приемки-передачи товара по Контракту.</w:t>
      </w:r>
    </w:p>
    <w:p w14:paraId="48000000">
      <w:pPr>
        <w:tabs>
          <w:tab w:leader="none" w:pos="709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Требовать своевременной оплаты за поставленный Товар в соответствии с разделом 3 настоящего Приложения.</w:t>
      </w:r>
    </w:p>
    <w:p w14:paraId="49000000">
      <w:pPr>
        <w:tabs>
          <w:tab w:leader="none" w:pos="709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Привлекать к исполнению своих обязательств по Контракту других лиц – субпоставщиков. При это</w:t>
      </w:r>
      <w:r>
        <w:rPr>
          <w:rFonts w:ascii="Times New Roman" w:hAnsi="Times New Roman"/>
          <w:sz w:val="24"/>
        </w:rPr>
        <w:t>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Контракту.</w:t>
      </w:r>
    </w:p>
    <w:p w14:paraId="4A000000">
      <w:pPr>
        <w:tabs>
          <w:tab w:leader="none" w:pos="709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5.3.4.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Запрашивать у Заказчика </w:t>
      </w:r>
      <w:r>
        <w:rPr>
          <w:rFonts w:ascii="Times New Roman" w:hAnsi="Times New Roman"/>
          <w:sz w:val="24"/>
        </w:rPr>
        <w:t>предоставления разъяснений и уточнений по вопросам поставки Товара в рамках Контракта.</w:t>
      </w:r>
    </w:p>
    <w:p w14:paraId="4B000000">
      <w:pPr>
        <w:tabs>
          <w:tab w:leader="none" w:pos="709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Поставщик обязан:</w:t>
      </w:r>
    </w:p>
    <w:p w14:paraId="4C000000">
      <w:pPr>
        <w:tabs>
          <w:tab w:leader="none" w:pos="709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Своевременно и надлежащим образом поставить Товар в соответствии с условиями Контракта.</w:t>
      </w:r>
    </w:p>
    <w:p w14:paraId="4D000000">
      <w:pPr>
        <w:tabs>
          <w:tab w:leader="none" w:pos="709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Предоставить Заказчику декларацию о стране п</w:t>
      </w:r>
      <w:r>
        <w:rPr>
          <w:rFonts w:ascii="Times New Roman" w:hAnsi="Times New Roman"/>
          <w:sz w:val="24"/>
        </w:rPr>
        <w:t>роисхождения Товара и (или) документы, подтверждающие, что Товар произведен на территории Российской Федерации, если наличие таких документов предусмотрено законодательством Российской Федерации и такие документы в соответствии с законодательством Российск</w:t>
      </w:r>
      <w:r>
        <w:rPr>
          <w:rFonts w:ascii="Times New Roman" w:hAnsi="Times New Roman"/>
          <w:sz w:val="24"/>
        </w:rPr>
        <w:t>ой Федерации передаются вместе с Товаром.</w:t>
      </w:r>
    </w:p>
    <w:p w14:paraId="4E000000">
      <w:pPr>
        <w:tabs>
          <w:tab w:leader="none" w:pos="709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bookmarkStart w:id="2" w:name="Par102"/>
      <w:bookmarkEnd w:id="2"/>
      <w:r>
        <w:rPr>
          <w:rFonts w:ascii="Times New Roman" w:hAnsi="Times New Roman"/>
          <w:sz w:val="24"/>
        </w:rPr>
        <w:t>5.4.3.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Представить по запросу Заказчика в сроки, указанные в таком запросе, информацию о ходе исполнения обязательств по Контракту, в том числе о сложностях, возникающих при исполнении Контракта.</w:t>
      </w:r>
    </w:p>
    <w:p w14:paraId="4F000000">
      <w:pPr>
        <w:tabs>
          <w:tab w:leader="none" w:pos="709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5.4.4.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Исполнять и</w:t>
      </w:r>
      <w:r>
        <w:rPr>
          <w:rFonts w:ascii="Times New Roman" w:hAnsi="Times New Roman"/>
          <w:sz w:val="24"/>
        </w:rPr>
        <w:t>ные обязательства, предусмотренные законодательством Российской Федерации и Контрактом.</w:t>
      </w: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51000000">
      <w:pPr>
        <w:spacing w:after="0"/>
        <w:ind w:firstLine="426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 Ответственность сторон</w:t>
      </w:r>
    </w:p>
    <w:p w14:paraId="5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Федерации. </w:t>
      </w:r>
    </w:p>
    <w:p w14:paraId="5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В случае просрочки исполнения Заказчиком обязательств, предусмотренных Контрактом,</w:t>
      </w:r>
      <w:r>
        <w:rPr>
          <w:rFonts w:ascii="Times New Roman" w:hAnsi="Times New Roman"/>
          <w:sz w:val="24"/>
        </w:rPr>
        <w:t xml:space="preserve">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14:paraId="54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6.2.1. Пеня начисляется за каждый день просрочки исполнения обязательства</w:t>
      </w:r>
      <w:r>
        <w:rPr>
          <w:rFonts w:ascii="Times New Roman" w:hAnsi="Times New Roman"/>
          <w:sz w:val="24"/>
        </w:rPr>
        <w:t>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</w:t>
      </w:r>
      <w:r>
        <w:rPr>
          <w:rFonts w:ascii="Times New Roman" w:hAnsi="Times New Roman"/>
          <w:sz w:val="24"/>
        </w:rPr>
        <w:t xml:space="preserve">ьного банка Российской Федерации от не уплаченной в срок суммы. </w:t>
      </w:r>
    </w:p>
    <w:p w14:paraId="5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6.2.2. 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14:paraId="5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каж</w:t>
      </w:r>
      <w:r>
        <w:rPr>
          <w:rFonts w:ascii="Times New Roman" w:hAnsi="Times New Roman"/>
          <w:sz w:val="24"/>
        </w:rPr>
        <w:t>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Контрактом в порядке, установленном Правительством Российской Федерации в</w:t>
      </w:r>
      <w:r>
        <w:rPr>
          <w:rFonts w:ascii="Times New Roman" w:hAnsi="Times New Roman"/>
          <w:sz w:val="24"/>
        </w:rPr>
        <w:t xml:space="preserve"> сумме 1 000 (Одна тысяча) рублей 00 копеек.</w:t>
      </w:r>
    </w:p>
    <w:p w14:paraId="5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6.2.3. 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5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В случае просрочки исполнения Поставщиком обязательс</w:t>
      </w:r>
      <w:r>
        <w:rPr>
          <w:rFonts w:ascii="Times New Roman" w:hAnsi="Times New Roman"/>
          <w:sz w:val="24"/>
        </w:rPr>
        <w:t>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</w:t>
      </w:r>
      <w:r>
        <w:rPr>
          <w:rFonts w:ascii="Times New Roman" w:hAnsi="Times New Roman"/>
          <w:sz w:val="24"/>
        </w:rPr>
        <w:t>рафов, пеней).</w:t>
      </w:r>
    </w:p>
    <w:p w14:paraId="5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6.3.1.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</w:t>
      </w:r>
      <w:r>
        <w:rPr>
          <w:rFonts w:ascii="Times New Roman" w:hAnsi="Times New Roman"/>
          <w:sz w:val="24"/>
        </w:rPr>
        <w:t>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</w:t>
      </w:r>
      <w:r>
        <w:rPr>
          <w:rFonts w:ascii="Times New Roman" w:hAnsi="Times New Roman"/>
          <w:sz w:val="24"/>
        </w:rPr>
        <w:t>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5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6.3.2. Штрафы начисляются за неисполнени</w:t>
      </w:r>
      <w:r>
        <w:rPr>
          <w:rFonts w:ascii="Times New Roman" w:hAnsi="Times New Roman"/>
          <w:sz w:val="24"/>
        </w:rPr>
        <w:t>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Контрактом:</w:t>
      </w:r>
    </w:p>
    <w:p w14:paraId="5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за каждый факт неисполнения или ненадл</w:t>
      </w:r>
      <w:r>
        <w:rPr>
          <w:rFonts w:ascii="Times New Roman" w:hAnsi="Times New Roman"/>
          <w:sz w:val="24"/>
        </w:rPr>
        <w:t>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установленно</w:t>
      </w:r>
      <w:r>
        <w:rPr>
          <w:rFonts w:ascii="Times New Roman" w:hAnsi="Times New Roman"/>
          <w:sz w:val="24"/>
        </w:rPr>
        <w:t>м Правительством Российской Федерации в сумме _________ (_______) рублей ____ копеек.</w:t>
      </w:r>
      <w:r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Style w:val="Style_3_ch"/>
          <w:rFonts w:ascii="Times New Roman" w:hAnsi="Times New Roman"/>
          <w:sz w:val="24"/>
        </w:rPr>
        <w:footnoteReference w:id="3"/>
      </w:r>
    </w:p>
    <w:p w14:paraId="5C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</w:t>
      </w:r>
      <w:r>
        <w:rPr>
          <w:rFonts w:ascii="Times New Roman" w:hAnsi="Times New Roman"/>
          <w:sz w:val="24"/>
        </w:rPr>
        <w:t>фа устанавливается Контрактом в порядке, установленном Правительством Российской Федерации в сумме 1 000 (Одна тысяча) рублей 00 копеек.</w:t>
      </w:r>
    </w:p>
    <w:p w14:paraId="5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6.3.3. Общая сумма начисленных штрафов за неисполнение или ненадлежащее исполнение Поставщиком обязательств, предусмотр</w:t>
      </w:r>
      <w:r>
        <w:rPr>
          <w:rFonts w:ascii="Times New Roman" w:hAnsi="Times New Roman"/>
          <w:sz w:val="24"/>
        </w:rPr>
        <w:t>енных Контрактом, не может превышать цену Контракта.</w:t>
      </w:r>
    </w:p>
    <w:p w14:paraId="5E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Заказчик при оплате поставленного по Контракту Товара вправе удержать сумму неисполненных Поставщиком требований об уплате неустоек (штрафов, пеней), предъявленных Заказчиком в соответствии с Федера</w:t>
      </w:r>
      <w:r>
        <w:rPr>
          <w:rFonts w:ascii="Times New Roman" w:hAnsi="Times New Roman"/>
          <w:sz w:val="24"/>
        </w:rPr>
        <w:t>льным законом № 44-ФЗ и настоящим Контрактом, из суммы, подлежащей оплате Поставщику. При этом исполнение обязательства Поставщика по перечислению неустойки (штрафа, пеней) в доход бюджетов бюджетной системы Российской Федерации возлагается на Заказчика.</w:t>
      </w:r>
    </w:p>
    <w:p w14:paraId="5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.5. В случае, если по какой-либо причине Заказчик не удержит сумму неисполненных Поставщиком требований об уплате неустоек (штрафов, пеней), предъявленных Заказчиком в соответствии с Федеральным законом № 44-ФЗ и настоящим Контрактом, при оплате поставленн</w:t>
      </w:r>
      <w:r>
        <w:rPr>
          <w:rFonts w:ascii="Times New Roman" w:hAnsi="Times New Roman"/>
          <w:sz w:val="24"/>
        </w:rPr>
        <w:t>ых Товаров, Поставщик обязан оплатить сумму таких неисполненных Поставщиком требований об уплате неустоек (штрафов, пеней) в федеральный бюджет по первому требованию Заказчика в течение 5 (пяти) рабочих дней. Исполнение обязательства Поставщика по Контракт</w:t>
      </w:r>
      <w:r>
        <w:rPr>
          <w:rFonts w:ascii="Times New Roman" w:hAnsi="Times New Roman"/>
          <w:sz w:val="24"/>
        </w:rPr>
        <w:t>у по перечислению неустойки в доход бюджетов бюджетной системы Российской Федерации (федеральный бюджет) возложено на Поставщика.</w:t>
      </w:r>
    </w:p>
    <w:p w14:paraId="6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6.6. Сторона освобождается от уплаты неустойки (штрафа, пени), если докажет, что неисполнение или ненадлежащее исполнение обяз</w:t>
      </w:r>
      <w:r>
        <w:rPr>
          <w:rFonts w:ascii="Times New Roman" w:hAnsi="Times New Roman"/>
          <w:sz w:val="24"/>
        </w:rPr>
        <w:t>ательства, предусмотренного Контрактом, произошло вследствие непреодолимой силы или по вине другой стороны.</w:t>
      </w:r>
    </w:p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6.7. Под ненадлежащим исполнением Поставщиком обязательств понимается поставка товара, выполнение работ, оказание </w:t>
      </w:r>
      <w:r>
        <w:rPr>
          <w:rFonts w:ascii="Times New Roman" w:hAnsi="Times New Roman"/>
          <w:sz w:val="24"/>
        </w:rPr>
        <w:t>услуг</w:t>
      </w:r>
      <w:r>
        <w:rPr>
          <w:rFonts w:ascii="Times New Roman" w:hAnsi="Times New Roman"/>
          <w:sz w:val="24"/>
        </w:rPr>
        <w:t xml:space="preserve"> не соответствующих </w:t>
      </w:r>
      <w:r>
        <w:rPr>
          <w:rFonts w:ascii="Times New Roman" w:hAnsi="Times New Roman"/>
          <w:sz w:val="24"/>
        </w:rPr>
        <w:t>требованиям к качеству, объему товара, работ, услуг, установленных Контрактом.</w:t>
      </w: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6.8. В случаях, не предусмотренных Контрактом, имущественная ответственность определяется в соответствии с законодательством Российской Федерации.</w:t>
      </w:r>
    </w:p>
    <w:p w14:paraId="6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6.9. Уплата неустойки и возмещ</w:t>
      </w:r>
      <w:r>
        <w:rPr>
          <w:rFonts w:ascii="Times New Roman" w:hAnsi="Times New Roman"/>
          <w:sz w:val="24"/>
        </w:rPr>
        <w:t>ение убытков, причиненных ненадлежащим исполнением обязательств, не освобождает от исполнения обязательств по Контракту в полном объеме.</w:t>
      </w:r>
    </w:p>
    <w:p w14:paraId="64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6.10. Окончание срока действия Контракта не освобождает Стороны от ответственности за нарушение его условий в период ег</w:t>
      </w:r>
      <w:r>
        <w:rPr>
          <w:rFonts w:ascii="Times New Roman" w:hAnsi="Times New Roman"/>
          <w:sz w:val="24"/>
        </w:rPr>
        <w:t>о действия.</w:t>
      </w:r>
    </w:p>
    <w:p w14:paraId="6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66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7. Обстоятельства непреодолимой силы</w:t>
      </w:r>
    </w:p>
    <w:p w14:paraId="6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Стороны освобождаются от ответственности за частичное или полное неисполнение обязательств по Контракту, если это неисполнение явилось следствием обстоятельств непреодолимой силы, возникших после заклю</w:t>
      </w:r>
      <w:r>
        <w:rPr>
          <w:rFonts w:ascii="Times New Roman" w:hAnsi="Times New Roman"/>
          <w:sz w:val="24"/>
        </w:rPr>
        <w:t>чения Контракта, которые Стороны не могли предвидеть или предотвратить. Извещение о наступлении указанного обстоятельства должно быть направлено другой Стороне в письменной форме с указанием характера наступившего обстоятельства и его причин в срок не позд</w:t>
      </w:r>
      <w:r>
        <w:rPr>
          <w:rFonts w:ascii="Times New Roman" w:hAnsi="Times New Roman"/>
          <w:sz w:val="24"/>
        </w:rPr>
        <w:t>нее 2 (двух) рабочих дней со дня возникновения обстоятельства непреодолимой силы.</w:t>
      </w:r>
    </w:p>
    <w:p w14:paraId="6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7.2. Если Сторона не направит или несвоевременно направит извещение, </w:t>
      </w:r>
      <w:r>
        <w:rPr>
          <w:rFonts w:ascii="Times New Roman" w:hAnsi="Times New Roman"/>
          <w:sz w:val="24"/>
        </w:rPr>
        <w:t>предусмотренное  п.</w:t>
      </w:r>
      <w:r>
        <w:rPr>
          <w:rFonts w:ascii="Times New Roman" w:hAnsi="Times New Roman"/>
          <w:sz w:val="24"/>
        </w:rPr>
        <w:t xml:space="preserve"> 7.1 настоящего Приложения, то она обязана возместить другой Стороне причиненный реаль</w:t>
      </w:r>
      <w:r>
        <w:rPr>
          <w:rFonts w:ascii="Times New Roman" w:hAnsi="Times New Roman"/>
          <w:sz w:val="24"/>
        </w:rPr>
        <w:t xml:space="preserve">ный ущерб. </w:t>
      </w: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 В случаях наступления обстоятельств, предусмотренных п. 7.1 настоящего раздела, срок исполнения Стороной обязательств изменяется соразмерно времени, в течение которого действуют указанные обстоятельства и их последствия, но не более чем до</w:t>
      </w:r>
      <w:r>
        <w:rPr>
          <w:rFonts w:ascii="Times New Roman" w:hAnsi="Times New Roman"/>
          <w:sz w:val="24"/>
        </w:rPr>
        <w:t xml:space="preserve"> истечения срока действия Контракта.</w:t>
      </w:r>
    </w:p>
    <w:p w14:paraId="6A000000">
      <w:pPr>
        <w:spacing w:after="0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8. Разрешение споров</w:t>
      </w:r>
    </w:p>
    <w:p w14:paraId="6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</w:t>
      </w:r>
      <w:r>
        <w:rPr>
          <w:rFonts w:ascii="Times New Roman" w:hAnsi="Times New Roman"/>
          <w:sz w:val="24"/>
        </w:rPr>
        <w:t>зий и разногласий.</w:t>
      </w:r>
    </w:p>
    <w:p w14:paraId="6C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6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 До передачи спора на разрешение Арбитражного суда города Москвы Стороны примут меры к его урегулир</w:t>
      </w:r>
      <w:r>
        <w:rPr>
          <w:rFonts w:ascii="Times New Roman" w:hAnsi="Times New Roman"/>
          <w:sz w:val="24"/>
        </w:rPr>
        <w:t>ованию в претензионном порядке.</w:t>
      </w:r>
    </w:p>
    <w:p w14:paraId="6E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8.3.1. Претензия должна быть направлена в письменном виде. По полученной претензии Сторона должна дать письменный ответ по существу в срок не позднее 5 (пяти) рабочих дней с даты ее получения. Оставление претензии без ответа</w:t>
      </w:r>
      <w:r>
        <w:rPr>
          <w:rFonts w:ascii="Times New Roman" w:hAnsi="Times New Roman"/>
          <w:sz w:val="24"/>
        </w:rPr>
        <w:t xml:space="preserve"> в установленный срок означает признание требований претензии.</w:t>
      </w:r>
    </w:p>
    <w:p w14:paraId="6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8.3.2.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</w:t>
      </w:r>
      <w:r>
        <w:rPr>
          <w:rFonts w:ascii="Times New Roman" w:hAnsi="Times New Roman"/>
          <w:sz w:val="24"/>
        </w:rPr>
        <w:t>ции (учреждения, предприятия), которой направлена претензия.</w:t>
      </w:r>
    </w:p>
    <w:p w14:paraId="7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8.3.3. Если претензионные требования подлежат денежной оценке, в претензии указывается </w:t>
      </w:r>
      <w:r>
        <w:rPr>
          <w:rFonts w:ascii="Times New Roman" w:hAnsi="Times New Roman"/>
          <w:sz w:val="24"/>
        </w:rPr>
        <w:t>истребуемая</w:t>
      </w:r>
      <w:r>
        <w:rPr>
          <w:rFonts w:ascii="Times New Roman" w:hAnsi="Times New Roman"/>
          <w:sz w:val="24"/>
        </w:rPr>
        <w:t xml:space="preserve"> сумма и ее полный и обоснованный расчет.</w:t>
      </w:r>
    </w:p>
    <w:p w14:paraId="71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8.3.4. В подтверждение заявленных требований к претензи</w:t>
      </w:r>
      <w:r>
        <w:rPr>
          <w:rFonts w:ascii="Times New Roman" w:hAnsi="Times New Roman"/>
          <w:sz w:val="24"/>
        </w:rPr>
        <w:t>и должны быть приложены надлежащим образом оформленные и заверенные необходимые документы либо выписки из них.</w:t>
      </w:r>
    </w:p>
    <w:p w14:paraId="7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</w:t>
      </w:r>
      <w:r>
        <w:rPr>
          <w:rFonts w:ascii="Times New Roman" w:hAnsi="Times New Roman"/>
          <w:sz w:val="24"/>
        </w:rPr>
        <w:t>ъективному урегулированию спора.</w:t>
      </w:r>
    </w:p>
    <w:p w14:paraId="7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В случае невыполнения Сторонами своих обязательств и не достижения взаимного согласия споры по Контракту разрешаются в Арбитражном суде города Москвы.</w:t>
      </w:r>
    </w:p>
    <w:p w14:paraId="74000000">
      <w:pPr>
        <w:spacing w:after="0"/>
        <w:ind w:firstLine="540" w:left="0"/>
        <w:jc w:val="both"/>
        <w:rPr>
          <w:rFonts w:ascii="Times New Roman" w:hAnsi="Times New Roman"/>
          <w:sz w:val="24"/>
          <w:highlight w:val="white"/>
        </w:rPr>
      </w:pPr>
    </w:p>
    <w:p w14:paraId="75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9. Порядок расторжения Контракта</w:t>
      </w:r>
    </w:p>
    <w:p w14:paraId="76000000">
      <w:pPr>
        <w:tabs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Контракт может быть расторгн</w:t>
      </w:r>
      <w:r>
        <w:rPr>
          <w:rFonts w:ascii="Times New Roman" w:hAnsi="Times New Roman"/>
          <w:sz w:val="24"/>
        </w:rPr>
        <w:t>ут:</w:t>
      </w:r>
    </w:p>
    <w:p w14:paraId="77000000">
      <w:pPr>
        <w:tabs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по соглашению Сторон;</w:t>
      </w:r>
    </w:p>
    <w:p w14:paraId="78000000">
      <w:pPr>
        <w:tabs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по решению суда;</w:t>
      </w:r>
    </w:p>
    <w:p w14:paraId="79000000">
      <w:pPr>
        <w:tabs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 одностороннем порядке в соответствии с действующим законодательством.</w:t>
      </w:r>
    </w:p>
    <w:p w14:paraId="7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 Заказчик вправе принять решение об одностороннем отказе от исполнения Контракта по основаниям, предусмотренным Гражданским кодекс</w:t>
      </w:r>
      <w:r>
        <w:rPr>
          <w:rFonts w:ascii="Times New Roman" w:hAnsi="Times New Roman"/>
          <w:sz w:val="24"/>
        </w:rPr>
        <w:t>ом Российской Федерации в порядке, установленном статьей 95 Федерального закона № 44-ФЗ.</w:t>
      </w:r>
    </w:p>
    <w:p w14:paraId="7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9.3.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в порядк</w:t>
      </w:r>
      <w:r>
        <w:rPr>
          <w:rFonts w:ascii="Times New Roman" w:hAnsi="Times New Roman"/>
          <w:sz w:val="24"/>
        </w:rPr>
        <w:t>е, установленном статьей 95 Федерального закона № 44-ФЗ.</w:t>
      </w:r>
    </w:p>
    <w:p w14:paraId="7C000000">
      <w:pPr>
        <w:tabs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9.4.  Расторжение Контракта влечёт за собой прекращение обязательств Сторон по нему, но не освобождает от ответственности за неисполнение договорных обязательств, которые имели место до расторжения К</w:t>
      </w:r>
      <w:r>
        <w:rPr>
          <w:rFonts w:ascii="Times New Roman" w:hAnsi="Times New Roman"/>
          <w:sz w:val="24"/>
        </w:rPr>
        <w:t>онтракта.</w:t>
      </w:r>
      <w:r>
        <w:rPr>
          <w:rFonts w:ascii="Times New Roman" w:hAnsi="Times New Roman"/>
          <w:sz w:val="24"/>
        </w:rPr>
        <w:tab/>
      </w:r>
    </w:p>
    <w:p w14:paraId="7D000000">
      <w:pPr>
        <w:tabs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9.5.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Сторона, которой направлено предложение о расторжении Контракта по соглашению сторон, должна дать письменный ответ по существу в срок не позднее 5 (пяти) рабочих дней с даты его получения.</w:t>
      </w:r>
    </w:p>
    <w:p w14:paraId="7E000000">
      <w:pPr>
        <w:tabs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9.6.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Расторжение Контракта производится Сторонами п</w:t>
      </w:r>
      <w:r>
        <w:rPr>
          <w:rFonts w:ascii="Times New Roman" w:hAnsi="Times New Roman"/>
          <w:sz w:val="24"/>
        </w:rPr>
        <w:t>утем подписания соответствующего соглашения о расторжении.</w:t>
      </w:r>
    </w:p>
    <w:p w14:paraId="7F000000">
      <w:pPr>
        <w:tabs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9.7.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 случае расторжения Контракта по инициативе любой из Сторон Стороны производят сверку расчетов, которой подтверждается объем Товара, переданного Поставщиком.</w:t>
      </w:r>
    </w:p>
    <w:p w14:paraId="8000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sz w:val="24"/>
        </w:rPr>
      </w:pPr>
    </w:p>
    <w:p w14:paraId="8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10. Прочие условия</w:t>
      </w:r>
    </w:p>
    <w:p w14:paraId="82000000">
      <w:pPr>
        <w:spacing w:after="0" w:line="240" w:lineRule="auto"/>
        <w:ind w:firstLine="72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10.1. В </w:t>
      </w:r>
      <w:r>
        <w:rPr>
          <w:rFonts w:ascii="Times New Roman" w:hAnsi="Times New Roman"/>
          <w:sz w:val="24"/>
        </w:rPr>
        <w:t>случае изменения наименования, местонахождения или банковских реквизитов Сторона обязана уведомить об этом другую Сторону в течение 5 (пяти) рабочих дней со дня наступления указанных обстоятельств путем направления уведомления, оформленного на бланке орган</w:t>
      </w:r>
      <w:r>
        <w:rPr>
          <w:rFonts w:ascii="Times New Roman" w:hAnsi="Times New Roman"/>
          <w:sz w:val="24"/>
        </w:rPr>
        <w:t>изации с указанием даты вступления в силу таких изменений и подписанного уполномоченным лицом.</w:t>
      </w:r>
    </w:p>
    <w:p w14:paraId="83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 об изменении наименования, местонахождения или банковских реквизитов может быть направлено по почте заказным письмо м либо посредством факсимильной с</w:t>
      </w:r>
      <w:r>
        <w:rPr>
          <w:rFonts w:ascii="Times New Roman" w:hAnsi="Times New Roman"/>
          <w:sz w:val="24"/>
        </w:rPr>
        <w:t>вязи, либо по адресу электронной почты, либо с использованием иных средств связи и доставки.</w:t>
      </w:r>
    </w:p>
    <w:p w14:paraId="8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10.2.</w:t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sz w:val="24"/>
        </w:rPr>
        <w:t xml:space="preserve">Ответственное должностное лицо Заказчика по управлению Контрактом –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Мосунов</w:t>
      </w:r>
      <w:r>
        <w:rPr>
          <w:rFonts w:ascii="Times New Roman" w:hAnsi="Times New Roman"/>
          <w:sz w:val="24"/>
        </w:rPr>
        <w:t xml:space="preserve"> Г.В. тел. +7 (495) 402-04-41, адрес эл. почты: mosunovgv@rostrud.gov.ru, который</w:t>
      </w:r>
      <w:r>
        <w:rPr>
          <w:rFonts w:ascii="Times New Roman" w:hAnsi="Times New Roman"/>
          <w:sz w:val="24"/>
        </w:rPr>
        <w:t xml:space="preserve"> с даты заключения Контракта будет принимать непосредственное участие в регулировании вопросов исполнения Контракта, а также осуществлять контроль за ходом выполнения Контракта.</w:t>
      </w:r>
    </w:p>
    <w:p w14:paraId="85000000">
      <w:pPr>
        <w:keepNext w:val="1"/>
        <w:spacing w:after="0" w:line="240" w:lineRule="auto"/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10.3. Любые изменения и дополнения к настоящему Контракту, не противоречащие з</w:t>
      </w:r>
      <w:r>
        <w:rPr>
          <w:rFonts w:ascii="Times New Roman" w:hAnsi="Times New Roman"/>
          <w:sz w:val="24"/>
        </w:rPr>
        <w:t>аконодательству Российской Федерации, оформляются дополнительным соглашением Сторон, если иное не предусмотрено Контрактом.</w:t>
      </w:r>
    </w:p>
    <w:p w14:paraId="86000000">
      <w:pPr>
        <w:keepNext w:val="1"/>
        <w:spacing w:after="0" w:line="240" w:lineRule="auto"/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10.4. Во всем, что не предусмотрено Контрактом, Стороны руководствуются законодательством Российской Федерации.</w:t>
      </w:r>
    </w:p>
    <w:p w14:paraId="87000000">
      <w:pPr>
        <w:keepNext w:val="1"/>
        <w:spacing w:after="0" w:line="240" w:lineRule="auto"/>
        <w:ind w:firstLine="720" w:left="0"/>
        <w:jc w:val="both"/>
        <w:rPr>
          <w:rFonts w:ascii="Times New Roman" w:hAnsi="Times New Roman"/>
          <w:sz w:val="24"/>
        </w:rPr>
      </w:pPr>
    </w:p>
    <w:p w14:paraId="88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bookmarkStart w:id="3" w:name="Par435"/>
      <w:bookmarkEnd w:id="3"/>
      <w:r>
        <w:rPr>
          <w:rFonts w:ascii="Times New Roman" w:hAnsi="Times New Roman"/>
          <w:b w:val="1"/>
          <w:sz w:val="24"/>
        </w:rPr>
        <w:t>11. Спецификация по</w:t>
      </w:r>
      <w:r>
        <w:rPr>
          <w:rFonts w:ascii="Times New Roman" w:hAnsi="Times New Roman"/>
          <w:b w:val="1"/>
          <w:sz w:val="24"/>
        </w:rPr>
        <w:t>ставляемого Товара</w:t>
      </w:r>
    </w:p>
    <w:p w14:paraId="89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(заполняется по итогу проведения закупочной сессии в ЕАТ «Березка»)</w:t>
      </w:r>
    </w:p>
    <w:p w14:paraId="8A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tbl>
      <w:tblPr>
        <w:tblStyle w:val="Style_4"/>
        <w:tblW w:type="auto" w:w="0"/>
        <w:jc w:val="center"/>
        <w:tblLayout w:type="fixed"/>
        <w:tblCellMar>
          <w:left w:type="dxa" w:w="75"/>
          <w:right w:type="dxa" w:w="75"/>
        </w:tblCellMar>
      </w:tblPr>
      <w:tblGrid>
        <w:gridCol w:w="2478"/>
        <w:gridCol w:w="1987"/>
        <w:gridCol w:w="850"/>
        <w:gridCol w:w="1418"/>
        <w:gridCol w:w="1701"/>
        <w:gridCol w:w="1842"/>
      </w:tblGrid>
      <w:tr>
        <w:trPr>
          <w:trHeight w:hRule="atLeast" w:val="800"/>
        </w:trPr>
        <w:tc>
          <w:tcPr>
            <w:tcW w:type="dxa" w:w="2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B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товара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C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   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происхождения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D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изм.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E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F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Цена за единицу, руб.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 w:val="1"/>
              </w:rPr>
              <w:t xml:space="preserve">(с </w:t>
            </w:r>
            <w:r>
              <w:rPr>
                <w:rFonts w:ascii="Times New Roman" w:hAnsi="Times New Roman"/>
                <w:i w:val="1"/>
              </w:rPr>
              <w:t xml:space="preserve">учетом  </w:t>
            </w:r>
            <w:r>
              <w:rPr>
                <w:rFonts w:ascii="Times New Roman" w:hAnsi="Times New Roman"/>
                <w:i w:val="1"/>
              </w:rPr>
              <w:br/>
            </w:r>
            <w:r>
              <w:rPr>
                <w:rFonts w:ascii="Times New Roman" w:hAnsi="Times New Roman"/>
                <w:i w:val="1"/>
              </w:rPr>
              <w:t>НДС</w:t>
            </w:r>
            <w:r>
              <w:rPr>
                <w:rFonts w:ascii="Times New Roman" w:hAnsi="Times New Roman"/>
                <w:i w:val="1"/>
              </w:rPr>
              <w:t>)*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0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Сумма, руб.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 w:val="1"/>
              </w:rPr>
              <w:t xml:space="preserve">(с учетом  </w:t>
            </w:r>
            <w:r>
              <w:rPr>
                <w:rFonts w:ascii="Times New Roman" w:hAnsi="Times New Roman"/>
                <w:i w:val="1"/>
              </w:rPr>
              <w:br/>
            </w:r>
            <w:r>
              <w:rPr>
                <w:rFonts w:ascii="Times New Roman" w:hAnsi="Times New Roman"/>
                <w:i w:val="1"/>
              </w:rPr>
              <w:t>НДС)*</w:t>
            </w:r>
          </w:p>
        </w:tc>
      </w:tr>
      <w:tr>
        <w:tc>
          <w:tcPr>
            <w:tcW w:type="dxa" w:w="247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1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2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3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4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5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6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c>
          <w:tcPr>
            <w:tcW w:type="dxa" w:w="247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7000000">
            <w:pPr>
              <w:widowControl w:val="0"/>
              <w:spacing w:after="0" w:line="228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98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8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9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A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B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C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47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D000000">
            <w:pPr>
              <w:widowControl w:val="0"/>
              <w:spacing w:after="0" w:line="228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98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E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F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0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1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2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47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3000000">
            <w:pPr>
              <w:widowControl w:val="0"/>
              <w:spacing w:after="0" w:line="228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98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4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5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6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7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8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47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9000000">
            <w:pPr>
              <w:widowControl w:val="0"/>
              <w:spacing w:after="0" w:line="228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98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A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B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C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D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E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434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F000000">
            <w:pPr>
              <w:widowControl w:val="0"/>
              <w:spacing w:after="0" w:line="228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Итого: </w:t>
            </w:r>
          </w:p>
          <w:p w14:paraId="B0000000">
            <w:pPr>
              <w:widowControl w:val="0"/>
              <w:spacing w:after="0" w:line="228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1"/>
              </w:rPr>
              <w:t>в т. ч. НДС %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1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B2000000">
      <w:pPr>
        <w:keepNext w:val="1"/>
        <w:spacing w:after="0" w:line="240" w:lineRule="auto"/>
        <w:ind/>
        <w:jc w:val="both"/>
        <w:outlineLvl w:val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*)В</w:t>
      </w:r>
      <w:r>
        <w:rPr>
          <w:rFonts w:ascii="Times New Roman" w:hAnsi="Times New Roman"/>
          <w:i w:val="1"/>
          <w:sz w:val="24"/>
        </w:rPr>
        <w:t xml:space="preserve"> случае если Поставщик имеет право на освобождение от уплаты НДС, то слова «в том числе НДС» заменяются на слова «НДС не облагается»</w:t>
      </w:r>
    </w:p>
    <w:p w14:paraId="B3000000">
      <w:pPr>
        <w:keepNext w:val="1"/>
        <w:tabs>
          <w:tab w:leader="none" w:pos="0" w:val="left"/>
        </w:tabs>
        <w:spacing w:after="0" w:line="240" w:lineRule="auto"/>
        <w:ind w:firstLine="540" w:left="0"/>
        <w:jc w:val="both"/>
        <w:outlineLvl w:val="0"/>
        <w:rPr>
          <w:rFonts w:ascii="Times New Roman" w:hAnsi="Times New Roman"/>
          <w:sz w:val="24"/>
        </w:rPr>
      </w:pPr>
    </w:p>
    <w:p w14:paraId="B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B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B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B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12. Характеристики и объем (содержание) поставляемого Товара</w:t>
      </w:r>
    </w:p>
    <w:p w14:paraId="B8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B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При описании </w:t>
      </w:r>
      <w:r>
        <w:rPr>
          <w:rFonts w:ascii="Times New Roman" w:hAnsi="Times New Roman"/>
          <w:i w:val="1"/>
          <w:sz w:val="24"/>
        </w:rPr>
        <w:t>характеристик предлагаемого к поставке товара следует руководствоваться следующим:</w:t>
      </w:r>
    </w:p>
    <w:p w14:paraId="B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- Конкретные показатели и характеристики товара представляются в отношении каждого вида (типа) поставляемого товара;</w:t>
      </w:r>
    </w:p>
    <w:p w14:paraId="B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-  </w:t>
      </w:r>
      <w:r>
        <w:rPr>
          <w:rFonts w:ascii="Times New Roman" w:hAnsi="Times New Roman"/>
          <w:i w:val="1"/>
          <w:sz w:val="24"/>
        </w:rPr>
        <w:t>В</w:t>
      </w:r>
      <w:r>
        <w:rPr>
          <w:rFonts w:ascii="Times New Roman" w:hAnsi="Times New Roman"/>
          <w:i w:val="1"/>
          <w:sz w:val="24"/>
        </w:rPr>
        <w:t xml:space="preserve"> случае перечисления характеристик через запятую, со</w:t>
      </w:r>
      <w:r>
        <w:rPr>
          <w:rFonts w:ascii="Times New Roman" w:hAnsi="Times New Roman"/>
          <w:i w:val="1"/>
          <w:sz w:val="24"/>
        </w:rPr>
        <w:t>юз «и» или знак «/» означает, что к поставке подлежит товар со всеми перечисленными характеристиками;</w:t>
      </w:r>
    </w:p>
    <w:p w14:paraId="B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- Если при описании характеристик товара используется термин «не менее», участником должно быть представлено значение равное или превышающее указанное. Ес</w:t>
      </w:r>
      <w:r>
        <w:rPr>
          <w:rFonts w:ascii="Times New Roman" w:hAnsi="Times New Roman"/>
          <w:i w:val="1"/>
          <w:sz w:val="24"/>
        </w:rPr>
        <w:t>ли при описании характеристик используется термин «не более», участником должно быть представлено значение равное или менее указанного.</w:t>
      </w:r>
    </w:p>
    <w:p w14:paraId="BD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4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27"/>
        <w:gridCol w:w="7287"/>
        <w:gridCol w:w="989"/>
      </w:tblGrid>
      <w:tr>
        <w:trPr>
          <w:trHeight w:hRule="atLeast" w:val="360"/>
        </w:trP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ab/>
            </w:r>
            <w:r>
              <w:rPr>
                <w:rFonts w:ascii="Times New Roman" w:hAnsi="Times New Roman"/>
                <w:b w:val="1"/>
                <w:sz w:val="24"/>
              </w:rPr>
              <w:t>Наименование</w:t>
            </w:r>
          </w:p>
        </w:tc>
        <w:tc>
          <w:tcPr>
            <w:tcW w:type="dxa" w:w="7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Требования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 (шт.)</w:t>
            </w:r>
          </w:p>
        </w:tc>
      </w:tr>
      <w:tr>
        <w:trPr>
          <w:trHeight w:hRule="atLeast" w:val="360"/>
        </w:trP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USB-устройство (тип 1)</w:t>
            </w:r>
          </w:p>
        </w:tc>
        <w:tc>
          <w:tcPr>
            <w:tcW w:type="dxa" w:w="7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USB-устройство с аппаратной реализацией: ГОСТ Р</w:t>
            </w:r>
            <w:r>
              <w:rPr>
                <w:rFonts w:ascii="Times New Roman" w:hAnsi="Times New Roman"/>
                <w:sz w:val="24"/>
              </w:rPr>
              <w:t xml:space="preserve"> 34.10-2012 с длиной ключа 256/512 бит и ГОСТ Р 34.11-2012, а также новых симметричные шифров Магма и Кузнечик и международных алгоритмов электронной подписи RSA и ECDSA. Криптографические операции выполняются без копирования ключа в память компьютера.</w:t>
            </w:r>
          </w:p>
          <w:p w14:paraId="C3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</w:t>
            </w:r>
            <w:r>
              <w:rPr>
                <w:rFonts w:ascii="Times New Roman" w:hAnsi="Times New Roman"/>
                <w:sz w:val="24"/>
              </w:rPr>
              <w:t xml:space="preserve">ерфейс: не менее USB 1.1 </w:t>
            </w:r>
          </w:p>
          <w:p w14:paraId="C4000000">
            <w:pPr>
              <w:numPr>
                <w:ilvl w:val="0"/>
                <w:numId w:val="2"/>
              </w:numPr>
              <w:spacing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EEPROM память: не менее 128 Кбайт</w:t>
            </w:r>
          </w:p>
          <w:p w14:paraId="C5000000">
            <w:pPr>
              <w:numPr>
                <w:ilvl w:val="0"/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Размеры: не менее 58 х 16 х 8 мм</w:t>
            </w:r>
          </w:p>
          <w:p w14:paraId="C6000000">
            <w:pPr>
              <w:numPr>
                <w:ilvl w:val="0"/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Масса: не менее 6,3 г.</w:t>
            </w:r>
          </w:p>
          <w:p w14:paraId="C7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Аппаратная реализация алгоритмов ГОСТ Р 34.10-2012/ГОСТ 34.10-2018 (256 и 512 бит): генерация ключевых пар с проверкой качества, форми</w:t>
            </w:r>
            <w:r>
              <w:rPr>
                <w:rFonts w:ascii="Times New Roman" w:hAnsi="Times New Roman"/>
                <w:sz w:val="24"/>
              </w:rPr>
              <w:t>рование и проверка электронной подписи, срок действия закрытых ключей до 3-х лет.</w:t>
            </w:r>
          </w:p>
          <w:p w14:paraId="C8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Аппаратная реализация алгоритмов ГОСТ Р 34.11-2012/ГОСТ 34.11-2018 (256 и 512 бит): вычисление значения хеш-функции данных, в том числе с возможностью последующего формирован</w:t>
            </w:r>
            <w:r>
              <w:rPr>
                <w:rFonts w:ascii="Times New Roman" w:hAnsi="Times New Roman"/>
                <w:sz w:val="24"/>
              </w:rPr>
              <w:t>ия ЭП.</w:t>
            </w:r>
          </w:p>
          <w:p w14:paraId="C9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ГОСТ Р 34.12-2015/ГОСТ 34.12-2018 (</w:t>
            </w:r>
            <w:r>
              <w:rPr>
                <w:rFonts w:ascii="Times New Roman" w:hAnsi="Times New Roman"/>
                <w:b w:val="1"/>
                <w:sz w:val="24"/>
              </w:rPr>
              <w:t>Кузнечик</w:t>
            </w:r>
            <w:r>
              <w:rPr>
                <w:rFonts w:ascii="Times New Roman" w:hAnsi="Times New Roman"/>
                <w:sz w:val="24"/>
              </w:rPr>
              <w:t xml:space="preserve">): генерация и импорт ключей шифрования, шифрование данных в режимах простой замены, </w:t>
            </w:r>
            <w:r>
              <w:rPr>
                <w:rFonts w:ascii="Times New Roman" w:hAnsi="Times New Roman"/>
                <w:sz w:val="24"/>
              </w:rPr>
              <w:t>гаммирования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>гаммирования</w:t>
            </w:r>
            <w:r>
              <w:rPr>
                <w:rFonts w:ascii="Times New Roman" w:hAnsi="Times New Roman"/>
                <w:sz w:val="24"/>
              </w:rPr>
              <w:t xml:space="preserve"> с обратной связью, вычисление и проверка криптографической контрольной суммы данных (</w:t>
            </w:r>
            <w:r>
              <w:rPr>
                <w:rFonts w:ascii="Times New Roman" w:hAnsi="Times New Roman"/>
                <w:sz w:val="24"/>
              </w:rPr>
              <w:t>имитовст</w:t>
            </w:r>
            <w:r>
              <w:rPr>
                <w:rFonts w:ascii="Times New Roman" w:hAnsi="Times New Roman"/>
                <w:sz w:val="24"/>
              </w:rPr>
              <w:t>авки</w:t>
            </w:r>
            <w:r>
              <w:rPr>
                <w:rFonts w:ascii="Times New Roman" w:hAnsi="Times New Roman"/>
                <w:sz w:val="24"/>
              </w:rPr>
              <w:t xml:space="preserve"> ГОСТ).</w:t>
            </w:r>
          </w:p>
          <w:p w14:paraId="CA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ГОСТ Р 34.12-2015/ГОСТ 34.12-2018 (</w:t>
            </w:r>
            <w:r>
              <w:rPr>
                <w:rFonts w:ascii="Times New Roman" w:hAnsi="Times New Roman"/>
                <w:b w:val="1"/>
                <w:sz w:val="24"/>
              </w:rPr>
              <w:t>Магма</w:t>
            </w:r>
            <w:r>
              <w:rPr>
                <w:rFonts w:ascii="Times New Roman" w:hAnsi="Times New Roman"/>
                <w:sz w:val="24"/>
              </w:rPr>
              <w:t xml:space="preserve">): генерация и импорт ключей шифрования, шифрование данных в режимах простой замены, </w:t>
            </w:r>
            <w:r>
              <w:rPr>
                <w:rFonts w:ascii="Times New Roman" w:hAnsi="Times New Roman"/>
                <w:sz w:val="24"/>
              </w:rPr>
              <w:t>гаммирования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>гаммирования</w:t>
            </w:r>
            <w:r>
              <w:rPr>
                <w:rFonts w:ascii="Times New Roman" w:hAnsi="Times New Roman"/>
                <w:sz w:val="24"/>
              </w:rPr>
              <w:t xml:space="preserve"> с обратной связью, вычисление и проверка криптографической контрольной суммы данных (</w:t>
            </w:r>
            <w:r>
              <w:rPr>
                <w:rFonts w:ascii="Times New Roman" w:hAnsi="Times New Roman"/>
                <w:sz w:val="24"/>
              </w:rPr>
              <w:t>имитовставки</w:t>
            </w:r>
            <w:r>
              <w:rPr>
                <w:rFonts w:ascii="Times New Roman" w:hAnsi="Times New Roman"/>
                <w:sz w:val="24"/>
              </w:rPr>
              <w:t xml:space="preserve"> ГОСТ).</w:t>
            </w:r>
          </w:p>
          <w:p w14:paraId="CB000000">
            <w:pPr>
              <w:numPr>
                <w:ilvl w:val="0"/>
                <w:numId w:val="2"/>
              </w:numPr>
              <w:spacing w:after="0" w:before="24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Выработка сессионных (ключей парной связи):</w:t>
            </w:r>
          </w:p>
          <w:p w14:paraId="CC000000">
            <w:pPr>
              <w:numPr>
                <w:ilvl w:val="0"/>
                <w:numId w:val="2"/>
              </w:numPr>
              <w:spacing w:after="0" w:before="24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схеме VKO GOST R 34.10-2012 (RFC 7836);</w:t>
            </w:r>
          </w:p>
          <w:p w14:paraId="CD000000">
            <w:pPr>
              <w:numPr>
                <w:ilvl w:val="0"/>
                <w:numId w:val="2"/>
              </w:numPr>
              <w:spacing w:after="0" w:before="24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расшифрование</w:t>
            </w:r>
            <w:r>
              <w:rPr>
                <w:rFonts w:ascii="Times New Roman" w:hAnsi="Times New Roman"/>
                <w:sz w:val="24"/>
              </w:rPr>
              <w:t xml:space="preserve"> по схеме EC </w:t>
            </w:r>
            <w:r>
              <w:rPr>
                <w:rFonts w:ascii="Times New Roman" w:hAnsi="Times New Roman"/>
                <w:sz w:val="24"/>
              </w:rPr>
              <w:t>El-Gamal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E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RSA: поддержка ключей размером 1024, 2048, 4096 бит, генерация ключевых пар с настраиваемой проверкой качества, и</w:t>
            </w:r>
            <w:r>
              <w:rPr>
                <w:rFonts w:ascii="Times New Roman" w:hAnsi="Times New Roman"/>
                <w:sz w:val="24"/>
              </w:rPr>
              <w:t>мпорт ключевых пар, формирование электронной подписи.</w:t>
            </w:r>
          </w:p>
          <w:p w14:paraId="CF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ECDSA</w:t>
            </w:r>
            <w:r>
              <w:rPr>
                <w:rFonts w:ascii="Times New Roman" w:hAnsi="Times New Roman"/>
                <w:sz w:val="24"/>
              </w:rPr>
              <w:t xml:space="preserve"> с кривыми secp256k1, secp256r1 и secp384r1, secp521r1: генерация ключевых пар с настраиваемой проверкой качества, импорт ключевых пар, формирование электронной подписи.</w:t>
            </w:r>
          </w:p>
          <w:p w14:paraId="D0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Генерация последовательност</w:t>
            </w:r>
            <w:r>
              <w:rPr>
                <w:rFonts w:ascii="Times New Roman" w:hAnsi="Times New Roman"/>
                <w:sz w:val="24"/>
              </w:rPr>
              <w:t>и случайных чисел требуемой длины.</w:t>
            </w:r>
          </w:p>
          <w:p w14:paraId="D1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Двухфакторная аутентификация: по предъявлению самого идентификатора и по предъявлению уникального PIN-кода.</w:t>
            </w:r>
          </w:p>
          <w:p w14:paraId="D2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3 категорий владельцев: Администратор, Пользователь, Гость.</w:t>
            </w:r>
          </w:p>
          <w:p w14:paraId="D3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2-х Глобальных PIN-кодов: Админис</w:t>
            </w:r>
            <w:r>
              <w:rPr>
                <w:rFonts w:ascii="Times New Roman" w:hAnsi="Times New Roman"/>
                <w:sz w:val="24"/>
              </w:rPr>
              <w:t>тратора и Пользователя.</w:t>
            </w:r>
          </w:p>
          <w:p w14:paraId="D4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Локальных PIN-кодов для защиты конкретных объектов (например, контейнеров сертификатов) в памяти устройства.</w:t>
            </w:r>
          </w:p>
          <w:p w14:paraId="D5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Настраиваемые аппаратные политики качества PIN-кодов, обрабатываются микропрограммой при соответствующих операция</w:t>
            </w:r>
            <w:r>
              <w:rPr>
                <w:rFonts w:ascii="Times New Roman" w:hAnsi="Times New Roman"/>
                <w:sz w:val="24"/>
              </w:rPr>
              <w:t>х. Устанавливаются при форматировании, опционально могут изменяться позднее по PIN-коду Администратора;</w:t>
            </w:r>
          </w:p>
          <w:p w14:paraId="D6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 политик: Ограничение минимальной длина PIN-кода;</w:t>
            </w:r>
          </w:p>
          <w:p w14:paraId="D7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Ограничение использования PIN-кода по умолчанию;</w:t>
            </w:r>
          </w:p>
          <w:p w14:paraId="D8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Запрет PIN-кода, состоящего из одного повторя</w:t>
            </w:r>
            <w:r>
              <w:rPr>
                <w:rFonts w:ascii="Times New Roman" w:hAnsi="Times New Roman"/>
                <w:sz w:val="24"/>
              </w:rPr>
              <w:t>ющегося символа;</w:t>
            </w:r>
          </w:p>
          <w:p w14:paraId="D9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Независимые требования по наличию в PIN-коде: прописных, строчных букв латинского и русского алфавитов; цифр; специальных символов;</w:t>
            </w:r>
          </w:p>
          <w:p w14:paraId="DA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Запоминание до 10 устанавливаемых значений PIN-кода, и возможность запрета установки ранее использованного </w:t>
            </w:r>
            <w:r>
              <w:rPr>
                <w:rFonts w:ascii="Times New Roman" w:hAnsi="Times New Roman"/>
                <w:sz w:val="24"/>
              </w:rPr>
              <w:t>PIN-кода.</w:t>
            </w:r>
          </w:p>
          <w:p w14:paraId="DB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комбинированной аутентификации: по схеме «Администратор или Пользователь» и аутентификация по Глобальным PIN-кодам в сочетании с аутентификацией по Локальным PIN-кодам.</w:t>
            </w:r>
          </w:p>
          <w:p w14:paraId="DC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локальных PIN-кодов для дополнительной защиты части ключев</w:t>
            </w:r>
            <w:r>
              <w:rPr>
                <w:rFonts w:ascii="Times New Roman" w:hAnsi="Times New Roman"/>
                <w:sz w:val="24"/>
              </w:rPr>
              <w:t>ой информации, хранящейся на USB-</w:t>
            </w:r>
            <w:r>
              <w:rPr>
                <w:rFonts w:ascii="Times New Roman" w:hAnsi="Times New Roman"/>
                <w:sz w:val="24"/>
              </w:rPr>
              <w:t>токене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Возможность одновременной работы с несколькими локальными PIN-кодами (до 7 шт.).</w:t>
            </w:r>
          </w:p>
          <w:p w14:paraId="DD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Ограничение числа попыток ввода PIN-кода.</w:t>
            </w:r>
          </w:p>
          <w:p w14:paraId="DE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Индикация факта смены Глобальных PIN-кодов по умолчанию на оригинальные.</w:t>
            </w:r>
          </w:p>
          <w:p w14:paraId="DF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обмена по </w:t>
            </w:r>
            <w:r>
              <w:rPr>
                <w:rFonts w:ascii="Times New Roman" w:hAnsi="Times New Roman"/>
                <w:sz w:val="24"/>
              </w:rPr>
              <w:t>ISO/IEC 7816-12.</w:t>
            </w:r>
          </w:p>
          <w:p w14:paraId="E0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Интерфейс подключения USB CCID: работа без установки драйверов устройства в современных версиях ОС.</w:t>
            </w:r>
          </w:p>
          <w:p w14:paraId="E1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PC/SC.</w:t>
            </w:r>
          </w:p>
          <w:p w14:paraId="E2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Microsoft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Crypto</w:t>
            </w:r>
            <w:r>
              <w:rPr>
                <w:rFonts w:ascii="Times New Roman" w:hAnsi="Times New Roman"/>
                <w:sz w:val="24"/>
              </w:rPr>
              <w:t xml:space="preserve"> API.</w:t>
            </w:r>
          </w:p>
          <w:p w14:paraId="E3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Microsoft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SmartCard</w:t>
            </w:r>
            <w:r>
              <w:rPr>
                <w:rFonts w:ascii="Times New Roman" w:hAnsi="Times New Roman"/>
                <w:sz w:val="24"/>
              </w:rPr>
              <w:t xml:space="preserve"> API.</w:t>
            </w:r>
          </w:p>
          <w:p w14:paraId="E4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PKCS#11 (включая российский профиль).</w:t>
            </w:r>
          </w:p>
          <w:p w14:paraId="E5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Современный защищенный </w:t>
            </w:r>
            <w:r>
              <w:rPr>
                <w:rFonts w:ascii="Times New Roman" w:hAnsi="Times New Roman"/>
                <w:sz w:val="24"/>
              </w:rPr>
              <w:t>микроконтроллер.</w:t>
            </w:r>
          </w:p>
          <w:p w14:paraId="E6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Идентификация с помощью 32-битного уникального серийного номера.</w:t>
            </w:r>
          </w:p>
          <w:p w14:paraId="E7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Поддержка операционных систем: </w:t>
            </w:r>
            <w:r>
              <w:rPr>
                <w:rFonts w:ascii="Times New Roman" w:hAnsi="Times New Roman"/>
                <w:sz w:val="24"/>
              </w:rPr>
              <w:t>Microsoft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Windows</w:t>
            </w:r>
            <w:r>
              <w:rPr>
                <w:rFonts w:ascii="Times New Roman" w:hAnsi="Times New Roman"/>
                <w:sz w:val="24"/>
              </w:rPr>
              <w:t xml:space="preserve"> 2022/11/10/8.1/2019/2016/2012R2/8/2012/7/2008R2; GNU/</w:t>
            </w:r>
            <w:r>
              <w:rPr>
                <w:rFonts w:ascii="Times New Roman" w:hAnsi="Times New Roman"/>
                <w:sz w:val="24"/>
              </w:rPr>
              <w:t>Linux</w:t>
            </w:r>
            <w:r>
              <w:rPr>
                <w:rFonts w:ascii="Times New Roman" w:hAnsi="Times New Roman"/>
                <w:sz w:val="24"/>
              </w:rPr>
              <w:t xml:space="preserve"> (в том числе отечественные); </w:t>
            </w:r>
            <w:r>
              <w:rPr>
                <w:rFonts w:ascii="Times New Roman" w:hAnsi="Times New Roman"/>
                <w:sz w:val="24"/>
              </w:rPr>
              <w:t>Apple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macOS</w:t>
            </w:r>
            <w:r>
              <w:rPr>
                <w:rFonts w:ascii="Times New Roman" w:hAnsi="Times New Roman"/>
                <w:sz w:val="24"/>
              </w:rPr>
              <w:t xml:space="preserve"> 10.13 и новее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; </w:t>
            </w:r>
            <w:r>
              <w:rPr>
                <w:rFonts w:ascii="Times New Roman" w:hAnsi="Times New Roman"/>
                <w:sz w:val="24"/>
                <w:highlight w:val="white"/>
              </w:rPr>
              <w:t>iOS</w:t>
            </w:r>
            <w:r>
              <w:rPr>
                <w:rFonts w:ascii="Times New Roman" w:hAnsi="Times New Roman"/>
                <w:sz w:val="24"/>
                <w:highlight w:val="white"/>
              </w:rPr>
              <w:t>/</w:t>
            </w:r>
            <w:r>
              <w:rPr>
                <w:rFonts w:ascii="Times New Roman" w:hAnsi="Times New Roman"/>
                <w:sz w:val="24"/>
                <w:highlight w:val="white"/>
              </w:rPr>
              <w:t>iPadOS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16.2 и новее; </w:t>
            </w:r>
            <w:r>
              <w:rPr>
                <w:rFonts w:ascii="Times New Roman" w:hAnsi="Times New Roman"/>
                <w:sz w:val="24"/>
                <w:highlight w:val="white"/>
              </w:rPr>
              <w:t>Android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7 и новее; Аврора 4+</w:t>
            </w:r>
          </w:p>
          <w:p w14:paraId="E8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СКЗИ «</w:t>
            </w:r>
            <w:r>
              <w:rPr>
                <w:rFonts w:ascii="Times New Roman" w:hAnsi="Times New Roman"/>
                <w:sz w:val="24"/>
              </w:rPr>
              <w:t>КриптоПро</w:t>
            </w:r>
            <w:r>
              <w:rPr>
                <w:rFonts w:ascii="Times New Roman" w:hAnsi="Times New Roman"/>
                <w:sz w:val="24"/>
              </w:rPr>
              <w:t xml:space="preserve"> CSP 5.0 R2» и новее по протоколу защиты канала SESPAKE (ФКН2).</w:t>
            </w:r>
          </w:p>
          <w:p w14:paraId="E9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Собственный CSP со стандартным набором интерфейсов и функций API.</w:t>
            </w:r>
          </w:p>
          <w:p w14:paraId="EA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Minidriver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интеграции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 Microsoft Base Smart Card Cryptographic Service Provider.</w:t>
            </w:r>
          </w:p>
          <w:p w14:paraId="EB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Журналирование</w:t>
            </w:r>
            <w:r>
              <w:rPr>
                <w:rFonts w:ascii="Times New Roman" w:hAnsi="Times New Roman"/>
                <w:sz w:val="24"/>
              </w:rPr>
              <w:t xml:space="preserve"> операций электронной подписи, сформированных по ГОСТ-алгоритмам, фиксация параметров электронной подписи и окружения.</w:t>
            </w:r>
          </w:p>
          <w:p w14:paraId="EC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неубывающего счетчика операций электронной подписи в рам</w:t>
            </w:r>
            <w:r>
              <w:rPr>
                <w:rFonts w:ascii="Times New Roman" w:hAnsi="Times New Roman"/>
                <w:sz w:val="24"/>
              </w:rPr>
              <w:t>ках журнала.</w:t>
            </w:r>
          </w:p>
          <w:p w14:paraId="ED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Доверенное получение журнала, подтвержденное электронной подписью.</w:t>
            </w:r>
          </w:p>
          <w:p w14:paraId="EE000000">
            <w:pPr>
              <w:numPr>
                <w:ilvl w:val="0"/>
                <w:numId w:val="2"/>
              </w:numPr>
              <w:spacing w:after="0" w:before="2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Журнал событий безопасности, в котором фиксируются: Операции форматирования; Удаление/генерация любых </w:t>
            </w:r>
            <w:r>
              <w:rPr>
                <w:rFonts w:ascii="Times New Roman" w:hAnsi="Times New Roman"/>
                <w:sz w:val="24"/>
              </w:rPr>
              <w:t>неизвлекаемых</w:t>
            </w:r>
            <w:r>
              <w:rPr>
                <w:rFonts w:ascii="Times New Roman" w:hAnsi="Times New Roman"/>
                <w:sz w:val="24"/>
              </w:rPr>
              <w:t xml:space="preserve"> ключей, созданных через библиотеки </w:t>
            </w:r>
            <w:r>
              <w:rPr>
                <w:rFonts w:ascii="Times New Roman" w:hAnsi="Times New Roman"/>
                <w:sz w:val="24"/>
              </w:rPr>
              <w:t>Рутокен</w:t>
            </w:r>
            <w:r>
              <w:rPr>
                <w:rFonts w:ascii="Times New Roman" w:hAnsi="Times New Roman"/>
                <w:sz w:val="24"/>
              </w:rPr>
              <w:t xml:space="preserve"> (PKCS#11, </w:t>
            </w:r>
            <w:r>
              <w:rPr>
                <w:rFonts w:ascii="Times New Roman" w:hAnsi="Times New Roman"/>
                <w:sz w:val="24"/>
              </w:rPr>
              <w:t>Aktiv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</w:t>
            </w:r>
            <w:r>
              <w:rPr>
                <w:rFonts w:ascii="Times New Roman" w:hAnsi="Times New Roman"/>
                <w:sz w:val="24"/>
              </w:rPr>
              <w:t>uToken</w:t>
            </w:r>
            <w:r>
              <w:rPr>
                <w:rFonts w:ascii="Times New Roman" w:hAnsi="Times New Roman"/>
                <w:sz w:val="24"/>
              </w:rPr>
              <w:t xml:space="preserve"> CSP, </w:t>
            </w:r>
            <w:r>
              <w:rPr>
                <w:rFonts w:ascii="Times New Roman" w:hAnsi="Times New Roman"/>
                <w:sz w:val="24"/>
              </w:rPr>
              <w:t>minidriver</w:t>
            </w:r>
            <w:r>
              <w:rPr>
                <w:rFonts w:ascii="Times New Roman" w:hAnsi="Times New Roman"/>
                <w:sz w:val="24"/>
              </w:rPr>
              <w:t xml:space="preserve">), а также ФКН-контейнеры </w:t>
            </w:r>
            <w:r>
              <w:rPr>
                <w:rFonts w:ascii="Times New Roman" w:hAnsi="Times New Roman"/>
                <w:sz w:val="24"/>
              </w:rPr>
              <w:t>КриптоПро</w:t>
            </w:r>
            <w:r>
              <w:rPr>
                <w:rFonts w:ascii="Times New Roman" w:hAnsi="Times New Roman"/>
                <w:sz w:val="24"/>
              </w:rPr>
              <w:t xml:space="preserve"> CSP 5.0+; Смена PIN-кодов Пользователя/Администратора.</w:t>
            </w:r>
          </w:p>
          <w:p w14:paraId="EF000000">
            <w:pPr>
              <w:numPr>
                <w:ilvl w:val="0"/>
                <w:numId w:val="2"/>
              </w:numPr>
              <w:spacing w:after="0" w:before="24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целостности микропрограммы (прошивки) </w:t>
            </w:r>
            <w:r>
              <w:rPr>
                <w:rFonts w:ascii="Times New Roman" w:hAnsi="Times New Roman"/>
                <w:sz w:val="24"/>
              </w:rPr>
              <w:t>Рутокен</w:t>
            </w:r>
            <w:r>
              <w:rPr>
                <w:rFonts w:ascii="Times New Roman" w:hAnsi="Times New Roman"/>
                <w:sz w:val="24"/>
              </w:rPr>
              <w:t xml:space="preserve"> ЭЦП. </w:t>
            </w:r>
          </w:p>
          <w:p w14:paraId="F0000000">
            <w:pPr>
              <w:numPr>
                <w:ilvl w:val="0"/>
                <w:numId w:val="2"/>
              </w:numPr>
              <w:spacing w:after="0" w:before="24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целостности системных областей памяти. </w:t>
            </w:r>
          </w:p>
          <w:p w14:paraId="F1000000">
            <w:pPr>
              <w:numPr>
                <w:ilvl w:val="0"/>
                <w:numId w:val="2"/>
              </w:numPr>
              <w:spacing w:after="0" w:before="24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целостности RSF-файлов п</w:t>
            </w:r>
            <w:r>
              <w:rPr>
                <w:rFonts w:ascii="Times New Roman" w:hAnsi="Times New Roman"/>
                <w:sz w:val="24"/>
              </w:rPr>
              <w:t>еред любым их использованием. </w:t>
            </w:r>
          </w:p>
          <w:p w14:paraId="F2000000">
            <w:pPr>
              <w:numPr>
                <w:ilvl w:val="0"/>
                <w:numId w:val="2"/>
              </w:numPr>
              <w:spacing w:after="0" w:before="24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Счетчики изменений в файловой структуре и изменений любых PIN-кодов для контроля несанкционированных изменений. </w:t>
            </w:r>
          </w:p>
          <w:p w14:paraId="F3000000">
            <w:pPr>
              <w:numPr>
                <w:ilvl w:val="0"/>
                <w:numId w:val="2"/>
              </w:numPr>
              <w:spacing w:before="24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правильности функционирования криптографических алгоритмов. </w:t>
            </w:r>
          </w:p>
          <w:p w14:paraId="F4000000">
            <w:pPr>
              <w:numPr>
                <w:ilvl w:val="0"/>
                <w:numId w:val="2"/>
              </w:numPr>
              <w:spacing w:after="0" w:before="240" w:line="23" w:lineRule="atLeast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криптографического функционала </w:t>
            </w:r>
            <w:r>
              <w:rPr>
                <w:rFonts w:ascii="Times New Roman" w:hAnsi="Times New Roman"/>
                <w:sz w:val="24"/>
              </w:rPr>
              <w:t>должна быть максимально безопасной: необходимые алгоритмы должны изначально присутствовать в микропрограмме, а не добавляться дополнительными загружаемыми модулями (апплетами, плагинами и т.п.).</w:t>
            </w:r>
          </w:p>
          <w:p w14:paraId="F5000000">
            <w:pPr>
              <w:spacing w:after="0" w:before="240" w:line="23" w:lineRule="atLeast"/>
              <w:ind w:firstLine="0" w:left="360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  <w:p w14:paraId="F6000000">
            <w:pPr>
              <w:numPr>
                <w:ilvl w:val="0"/>
                <w:numId w:val="2"/>
              </w:numPr>
              <w:spacing w:after="0" w:before="240" w:line="23" w:lineRule="atLeast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Товар внесен в реестр промышленной продукции, произведенной </w:t>
            </w:r>
            <w:r>
              <w:rPr>
                <w:rFonts w:ascii="Times New Roman" w:hAnsi="Times New Roman"/>
                <w:sz w:val="24"/>
              </w:rPr>
              <w:t>на территории Российской Федерации.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>
        <w:trPr>
          <w:trHeight w:hRule="atLeast" w:val="360"/>
        </w:trP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Комплект документации ФСБ для USB-устройства </w:t>
            </w:r>
          </w:p>
          <w:p w14:paraId="F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(тип 1)</w:t>
            </w:r>
          </w:p>
        </w:tc>
        <w:tc>
          <w:tcPr>
            <w:tcW w:type="dxa" w:w="7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numPr>
                <w:ilvl w:val="0"/>
                <w:numId w:val="3"/>
              </w:numPr>
              <w:spacing w:line="23" w:lineRule="atLeast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действующего сертификата соответствия выданного ФСБ РФ, удостоверяющего, что СКЗИ соответствует требованиям к средствам криптографической защиты </w:t>
            </w:r>
            <w:r>
              <w:rPr>
                <w:rFonts w:ascii="Times New Roman" w:hAnsi="Times New Roman"/>
                <w:sz w:val="24"/>
              </w:rPr>
              <w:t>информации, предназначенным для защиты информации, не содержащих сведений, составляющих государственную тайну, классов КС1, КС2 и удовлетворяет требованиям к средствам электронной подписи, утвержденным приказом ФСБ России от 27 декабря 2001г. № 796, устано</w:t>
            </w:r>
            <w:r>
              <w:rPr>
                <w:rFonts w:ascii="Times New Roman" w:hAnsi="Times New Roman"/>
                <w:sz w:val="24"/>
              </w:rPr>
              <w:t>вленным для класса КС1, КС2 и может использоваться для криптографической защиты информации, не содержащей сведений, составляющих государственную тайну.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360"/>
        </w:trP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USB-устройство (тип 2)</w:t>
            </w:r>
          </w:p>
        </w:tc>
        <w:tc>
          <w:tcPr>
            <w:tcW w:type="dxa" w:w="7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USB-устройство с аппаратной реализацией: ГОСТ Р 34.10-2012 с длиной ключа 256/</w:t>
            </w:r>
            <w:r>
              <w:rPr>
                <w:rFonts w:ascii="Times New Roman" w:hAnsi="Times New Roman"/>
                <w:sz w:val="24"/>
              </w:rPr>
              <w:t>512 бит и ГОСТ Р 34.11-2012, а также новых симметричные шифров Магма и Кузнечик и международных алгоритмов электронной подписи RSA и ECDSA. Криптографические операции выполняются без копирования ключа в память компьютера.</w:t>
            </w:r>
          </w:p>
          <w:p w14:paraId="FE00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Интерфейс: не менее USB 1.1 </w:t>
            </w:r>
          </w:p>
          <w:p w14:paraId="FF00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</w:t>
            </w:r>
            <w:r>
              <w:rPr>
                <w:rFonts w:ascii="Times New Roman" w:hAnsi="Times New Roman"/>
                <w:sz w:val="24"/>
              </w:rPr>
              <w:t xml:space="preserve"> EEPROM память: не менее 128 Кбайт</w:t>
            </w:r>
          </w:p>
          <w:p w14:paraId="00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Размеры: не менее 58 х 16 х 8 мм</w:t>
            </w:r>
          </w:p>
          <w:p w14:paraId="01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Масса: не менее 6,3 г.</w:t>
            </w:r>
          </w:p>
          <w:p w14:paraId="02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алгоритмов ГОСТ Р 34.10-2012/ГОСТ 34.10-2018 (256 и 512 бит): генерация ключевых пар с проверкой качества, формирование и проверка электронной подписи, сро</w:t>
            </w:r>
            <w:r>
              <w:rPr>
                <w:rFonts w:ascii="Times New Roman" w:hAnsi="Times New Roman"/>
                <w:sz w:val="24"/>
              </w:rPr>
              <w:t>к действия закрытых ключей до 3-х лет.</w:t>
            </w:r>
          </w:p>
          <w:p w14:paraId="03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алгоритма ГОСТ Р 34.11-2012/ГОСТ 34.11-2018 (256 и 512 бит): вычисление значения хеш-функции данных, в том числе с возможностью последующего формирования ЭП.</w:t>
            </w:r>
          </w:p>
          <w:p w14:paraId="04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ГОСТ Р 34.12-2015/ГОСТ 34.12-2018 (</w:t>
            </w:r>
            <w:r>
              <w:rPr>
                <w:rFonts w:ascii="Times New Roman" w:hAnsi="Times New Roman"/>
                <w:b w:val="1"/>
                <w:sz w:val="24"/>
              </w:rPr>
              <w:t>Кузнечик</w:t>
            </w:r>
            <w:r>
              <w:rPr>
                <w:rFonts w:ascii="Times New Roman" w:hAnsi="Times New Roman"/>
                <w:sz w:val="24"/>
              </w:rPr>
              <w:t>): ген</w:t>
            </w:r>
            <w:r>
              <w:rPr>
                <w:rFonts w:ascii="Times New Roman" w:hAnsi="Times New Roman"/>
                <w:sz w:val="24"/>
              </w:rPr>
              <w:t xml:space="preserve">ерация и импорт ключей шифрования, шифрование данных в режимах простой замены, </w:t>
            </w:r>
            <w:r>
              <w:rPr>
                <w:rFonts w:ascii="Times New Roman" w:hAnsi="Times New Roman"/>
                <w:sz w:val="24"/>
              </w:rPr>
              <w:t>гаммирования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>гаммирования</w:t>
            </w:r>
            <w:r>
              <w:rPr>
                <w:rFonts w:ascii="Times New Roman" w:hAnsi="Times New Roman"/>
                <w:sz w:val="24"/>
              </w:rPr>
              <w:t xml:space="preserve"> с обратной связью, вычисление и проверка криптографической контрольной суммы данных (</w:t>
            </w:r>
            <w:r>
              <w:rPr>
                <w:rFonts w:ascii="Times New Roman" w:hAnsi="Times New Roman"/>
                <w:sz w:val="24"/>
              </w:rPr>
              <w:t>имитовставки</w:t>
            </w:r>
            <w:r>
              <w:rPr>
                <w:rFonts w:ascii="Times New Roman" w:hAnsi="Times New Roman"/>
                <w:sz w:val="24"/>
              </w:rPr>
              <w:t xml:space="preserve"> ГОСТ).</w:t>
            </w:r>
          </w:p>
          <w:p w14:paraId="05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ГОСТ Р 34.12-2015/ГОСТ 34.12-2018 (</w:t>
            </w:r>
            <w:r>
              <w:rPr>
                <w:rFonts w:ascii="Times New Roman" w:hAnsi="Times New Roman"/>
                <w:b w:val="1"/>
                <w:sz w:val="24"/>
              </w:rPr>
              <w:t>Магма</w:t>
            </w:r>
            <w:r>
              <w:rPr>
                <w:rFonts w:ascii="Times New Roman" w:hAnsi="Times New Roman"/>
                <w:sz w:val="24"/>
              </w:rPr>
              <w:t xml:space="preserve">): </w:t>
            </w:r>
            <w:r>
              <w:rPr>
                <w:rFonts w:ascii="Times New Roman" w:hAnsi="Times New Roman"/>
                <w:sz w:val="24"/>
              </w:rPr>
              <w:t xml:space="preserve">генерация и импорт ключей шифрования, шифрование данных в режимах простой замены, </w:t>
            </w:r>
            <w:r>
              <w:rPr>
                <w:rFonts w:ascii="Times New Roman" w:hAnsi="Times New Roman"/>
                <w:sz w:val="24"/>
              </w:rPr>
              <w:t>гаммирования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>гаммирования</w:t>
            </w:r>
            <w:r>
              <w:rPr>
                <w:rFonts w:ascii="Times New Roman" w:hAnsi="Times New Roman"/>
                <w:sz w:val="24"/>
              </w:rPr>
              <w:t xml:space="preserve"> с обратной связью, вычисление и проверка криптографической контрольной суммы данных (</w:t>
            </w:r>
            <w:r>
              <w:rPr>
                <w:rFonts w:ascii="Times New Roman" w:hAnsi="Times New Roman"/>
                <w:sz w:val="24"/>
              </w:rPr>
              <w:t>имитовставки</w:t>
            </w:r>
            <w:r>
              <w:rPr>
                <w:rFonts w:ascii="Times New Roman" w:hAnsi="Times New Roman"/>
                <w:sz w:val="24"/>
              </w:rPr>
              <w:t xml:space="preserve"> ГОСТ).</w:t>
            </w:r>
          </w:p>
          <w:p w14:paraId="06010000">
            <w:pPr>
              <w:numPr>
                <w:ilvl w:val="0"/>
                <w:numId w:val="4"/>
              </w:num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Выработка сессионных (ключей парной связи</w:t>
            </w:r>
            <w:r>
              <w:rPr>
                <w:rFonts w:ascii="Times New Roman" w:hAnsi="Times New Roman"/>
                <w:sz w:val="24"/>
              </w:rPr>
              <w:t>):</w:t>
            </w:r>
          </w:p>
          <w:p w14:paraId="07010000">
            <w:pPr>
              <w:numPr>
                <w:ilvl w:val="0"/>
                <w:numId w:val="4"/>
              </w:num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схеме VKO GOST R 34.10-2012 (RFC 7836);</w:t>
            </w:r>
          </w:p>
          <w:p w14:paraId="08010000">
            <w:pPr>
              <w:numPr>
                <w:ilvl w:val="0"/>
                <w:numId w:val="4"/>
              </w:num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расшифрование</w:t>
            </w:r>
            <w:r>
              <w:rPr>
                <w:rFonts w:ascii="Times New Roman" w:hAnsi="Times New Roman"/>
                <w:sz w:val="24"/>
              </w:rPr>
              <w:t xml:space="preserve"> по схеме EC </w:t>
            </w:r>
            <w:r>
              <w:rPr>
                <w:rFonts w:ascii="Times New Roman" w:hAnsi="Times New Roman"/>
                <w:sz w:val="24"/>
              </w:rPr>
              <w:t>El-Gamal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9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алгоритма RSA: поддержка ключей размером 1024, 2048, 4096 бит, генерация ключевых пар с настраиваемой проверкой качества, импорт ключевых пар, формирование электрон</w:t>
            </w:r>
            <w:r>
              <w:rPr>
                <w:rFonts w:ascii="Times New Roman" w:hAnsi="Times New Roman"/>
                <w:sz w:val="24"/>
              </w:rPr>
              <w:t>ной подписи.</w:t>
            </w:r>
          </w:p>
          <w:p w14:paraId="0A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ECDSA</w:t>
            </w:r>
            <w:r>
              <w:rPr>
                <w:rFonts w:ascii="Times New Roman" w:hAnsi="Times New Roman"/>
                <w:sz w:val="24"/>
              </w:rPr>
              <w:t xml:space="preserve"> с кривыми secp256k1 и secp256r1: генерация ключевых пар с настраиваемой проверкой качества, импорт ключевых пар, формирование электронной подписи.</w:t>
            </w:r>
          </w:p>
          <w:p w14:paraId="0B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Генерация последовательности случайных чисел требуемой длины.</w:t>
            </w:r>
          </w:p>
          <w:p w14:paraId="0C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Двухфакторная аутентификация</w:t>
            </w:r>
            <w:r>
              <w:rPr>
                <w:rFonts w:ascii="Times New Roman" w:hAnsi="Times New Roman"/>
                <w:sz w:val="24"/>
              </w:rPr>
              <w:t>: по предъявлению самого идентификатора и по предъявлению уникального PIN-кода.</w:t>
            </w:r>
          </w:p>
          <w:p w14:paraId="0D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3 категорий владельцев: Администратор, Пользователь, Гость.</w:t>
            </w:r>
          </w:p>
          <w:p w14:paraId="0E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2-х Глобальных PIN-кодов: Администратора и Пользователя.</w:t>
            </w:r>
          </w:p>
          <w:p w14:paraId="0F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Локальных PIN-кодов для защит</w:t>
            </w:r>
            <w:r>
              <w:rPr>
                <w:rFonts w:ascii="Times New Roman" w:hAnsi="Times New Roman"/>
                <w:sz w:val="24"/>
              </w:rPr>
              <w:t>ы конкретных объектов (например, контейнеров сертификатов) в памяти устройства.</w:t>
            </w:r>
          </w:p>
          <w:p w14:paraId="10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Настраиваемые аппаратные политики качества PIN-кодов, обрабатываются микропрограммой при соответствующих операциях. Устанавливаются при форматировании, опционально могут изменя</w:t>
            </w:r>
            <w:r>
              <w:rPr>
                <w:rFonts w:ascii="Times New Roman" w:hAnsi="Times New Roman"/>
                <w:sz w:val="24"/>
              </w:rPr>
              <w:t>ться позднее по PIN-коду Администратора;</w:t>
            </w:r>
          </w:p>
          <w:p w14:paraId="11010000">
            <w:pPr>
              <w:numPr>
                <w:ilvl w:val="0"/>
                <w:numId w:val="4"/>
              </w:num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Варианты политик: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-Ограничение минимальной длина PIN-кода;</w:t>
            </w:r>
          </w:p>
          <w:p w14:paraId="12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-Ограничение использования PIN-кода по умолчанию;</w:t>
            </w:r>
          </w:p>
          <w:p w14:paraId="13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-Запрет PIN-кода, состоящего из одного повторяющегося символа;</w:t>
            </w:r>
          </w:p>
          <w:p w14:paraId="14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-Независимые требования по наличию в </w:t>
            </w:r>
            <w:r>
              <w:rPr>
                <w:rFonts w:ascii="Times New Roman" w:hAnsi="Times New Roman"/>
                <w:sz w:val="24"/>
              </w:rPr>
              <w:t>PIN-коде: прописных, строчных букв латинского и русского алфавитов; цифр; специальных символов;</w:t>
            </w:r>
          </w:p>
          <w:p w14:paraId="15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-Запоминание до 10 устанавливаемых значений PIN-кода, и возможность запрета установки ранее использованного PIN-кода.</w:t>
            </w:r>
          </w:p>
          <w:p w14:paraId="16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Поддержка комбинированной аутентификации: </w:t>
            </w:r>
            <w:r>
              <w:rPr>
                <w:rFonts w:ascii="Times New Roman" w:hAnsi="Times New Roman"/>
                <w:sz w:val="24"/>
              </w:rPr>
              <w:t>по схеме «Администратор или Пользователь» и аутентификация по Глобальным PIN-кодам в сочетании с аутентификацией по Локальным PIN-кодам.</w:t>
            </w:r>
          </w:p>
          <w:p w14:paraId="17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локальных PIN-кодов для дополнительной защиты части ключевой информации, хранящейся на USB-</w:t>
            </w:r>
            <w:r>
              <w:rPr>
                <w:rFonts w:ascii="Times New Roman" w:hAnsi="Times New Roman"/>
                <w:sz w:val="24"/>
              </w:rPr>
              <w:t>токене</w:t>
            </w:r>
            <w:r>
              <w:rPr>
                <w:rFonts w:ascii="Times New Roman" w:hAnsi="Times New Roman"/>
                <w:sz w:val="24"/>
              </w:rPr>
              <w:t>. Возможность</w:t>
            </w:r>
            <w:r>
              <w:rPr>
                <w:rFonts w:ascii="Times New Roman" w:hAnsi="Times New Roman"/>
                <w:sz w:val="24"/>
              </w:rPr>
              <w:t xml:space="preserve"> одновременной работы с несколькими локальными PIN-кодами (до 7 шт.).</w:t>
            </w:r>
          </w:p>
          <w:p w14:paraId="18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Ограничение числа попыток ввода PIN-кода.</w:t>
            </w:r>
          </w:p>
          <w:p w14:paraId="19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Индикация факта смены Глобальных PIN-кодов по умолчанию на оригинальные.</w:t>
            </w:r>
          </w:p>
          <w:p w14:paraId="1A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обмена по ISO/IEC 7816-12.</w:t>
            </w:r>
          </w:p>
          <w:p w14:paraId="1B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Поддержка USB CCID: работа без </w:t>
            </w:r>
            <w:r>
              <w:rPr>
                <w:rFonts w:ascii="Times New Roman" w:hAnsi="Times New Roman"/>
                <w:sz w:val="24"/>
              </w:rPr>
              <w:t>установки драйверов устройства в современных версиях ОС.</w:t>
            </w:r>
          </w:p>
          <w:p w14:paraId="1C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PC/SC.</w:t>
            </w:r>
          </w:p>
          <w:p w14:paraId="1D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Microsoft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Crypto</w:t>
            </w:r>
            <w:r>
              <w:rPr>
                <w:rFonts w:ascii="Times New Roman" w:hAnsi="Times New Roman"/>
                <w:sz w:val="24"/>
              </w:rPr>
              <w:t xml:space="preserve"> API.</w:t>
            </w:r>
          </w:p>
          <w:p w14:paraId="1E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Microsoft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SmartCard</w:t>
            </w:r>
            <w:r>
              <w:rPr>
                <w:rFonts w:ascii="Times New Roman" w:hAnsi="Times New Roman"/>
                <w:sz w:val="24"/>
              </w:rPr>
              <w:t xml:space="preserve"> API.</w:t>
            </w:r>
          </w:p>
          <w:p w14:paraId="1F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PKCS#11 (включая российский профиль).</w:t>
            </w:r>
          </w:p>
          <w:p w14:paraId="20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Современный защищенный микроконтроллер.</w:t>
            </w:r>
          </w:p>
          <w:p w14:paraId="21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Идентификация с помощью 32-битного уникального серийного </w:t>
            </w:r>
            <w:r>
              <w:rPr>
                <w:rFonts w:ascii="Times New Roman" w:hAnsi="Times New Roman"/>
                <w:sz w:val="24"/>
              </w:rPr>
              <w:t>номера.</w:t>
            </w:r>
          </w:p>
          <w:p w14:paraId="22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Поддержка операционных систем: MS </w:t>
            </w:r>
            <w:r>
              <w:rPr>
                <w:rFonts w:ascii="Times New Roman" w:hAnsi="Times New Roman"/>
                <w:sz w:val="24"/>
              </w:rPr>
              <w:t>Windows</w:t>
            </w:r>
            <w:r>
              <w:rPr>
                <w:rFonts w:ascii="Times New Roman" w:hAnsi="Times New Roman"/>
                <w:sz w:val="24"/>
              </w:rPr>
              <w:t xml:space="preserve"> 2022/11/10/8.1/2019/2016/2012R2/8/2012/7/2008R2, GNU/</w:t>
            </w:r>
            <w:r>
              <w:rPr>
                <w:rFonts w:ascii="Times New Roman" w:hAnsi="Times New Roman"/>
                <w:sz w:val="24"/>
              </w:rPr>
              <w:t>Linux</w:t>
            </w:r>
            <w:r>
              <w:rPr>
                <w:rFonts w:ascii="Times New Roman" w:hAnsi="Times New Roman"/>
                <w:sz w:val="24"/>
              </w:rPr>
              <w:t xml:space="preserve"> (в том числе отечественные), </w:t>
            </w:r>
            <w:r>
              <w:rPr>
                <w:rFonts w:ascii="Times New Roman" w:hAnsi="Times New Roman"/>
                <w:sz w:val="24"/>
              </w:rPr>
              <w:t>Apple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macOS</w:t>
            </w:r>
            <w:r>
              <w:rPr>
                <w:rFonts w:ascii="Times New Roman" w:hAnsi="Times New Roman"/>
                <w:sz w:val="24"/>
              </w:rPr>
              <w:t xml:space="preserve"> 10.13 и новее</w:t>
            </w:r>
            <w:r>
              <w:rPr>
                <w:rFonts w:ascii="Times New Roman" w:hAnsi="Times New Roman"/>
                <w:sz w:val="24"/>
                <w:highlight w:val="white"/>
              </w:rPr>
              <w:t>.</w:t>
            </w:r>
          </w:p>
          <w:p w14:paraId="23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СКЗИ «</w:t>
            </w:r>
            <w:r>
              <w:rPr>
                <w:rFonts w:ascii="Times New Roman" w:hAnsi="Times New Roman"/>
                <w:sz w:val="24"/>
              </w:rPr>
              <w:t>КриптоПро</w:t>
            </w:r>
            <w:r>
              <w:rPr>
                <w:rFonts w:ascii="Times New Roman" w:hAnsi="Times New Roman"/>
                <w:sz w:val="24"/>
              </w:rPr>
              <w:t xml:space="preserve"> CSP 5.0 R2» и новее по протоколу защиты канала SESPAKE (ФКН2). </w:t>
            </w:r>
          </w:p>
          <w:p w14:paraId="24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</w:t>
            </w:r>
            <w:r>
              <w:rPr>
                <w:rFonts w:ascii="Times New Roman" w:hAnsi="Times New Roman"/>
                <w:sz w:val="24"/>
              </w:rPr>
              <w:t>бственный CSP со стандартным набором интерфейсов и функций API.</w:t>
            </w:r>
          </w:p>
          <w:p w14:paraId="25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Minidriver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интеграции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 Microsoft Base Smart Card Cryptographic Service Provider.</w:t>
            </w:r>
          </w:p>
          <w:p w14:paraId="26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Журналирование</w:t>
            </w:r>
            <w:r>
              <w:rPr>
                <w:rFonts w:ascii="Times New Roman" w:hAnsi="Times New Roman"/>
                <w:sz w:val="24"/>
              </w:rPr>
              <w:t xml:space="preserve"> операций электронной подписи, сформированных по ГОСТ-алгоритмам, фиксация параметров электр</w:t>
            </w:r>
            <w:r>
              <w:rPr>
                <w:rFonts w:ascii="Times New Roman" w:hAnsi="Times New Roman"/>
                <w:sz w:val="24"/>
              </w:rPr>
              <w:t>онной подписи и окружения.</w:t>
            </w:r>
          </w:p>
          <w:p w14:paraId="27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неубывающего счетчика операций электронной подписи в рамках журнала.</w:t>
            </w:r>
          </w:p>
          <w:p w14:paraId="28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Доверенное получение журнала, подтвержденное электронной подписью.</w:t>
            </w:r>
          </w:p>
          <w:p w14:paraId="29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 событий безопасности, в котором фиксируются: Операции форматирования; Удаление</w:t>
            </w:r>
            <w:r>
              <w:rPr>
                <w:rFonts w:ascii="Times New Roman" w:hAnsi="Times New Roman"/>
                <w:sz w:val="24"/>
              </w:rPr>
              <w:t xml:space="preserve">/генерация любых </w:t>
            </w:r>
            <w:r>
              <w:rPr>
                <w:rFonts w:ascii="Times New Roman" w:hAnsi="Times New Roman"/>
                <w:sz w:val="24"/>
              </w:rPr>
              <w:t>неизвлекаемых</w:t>
            </w:r>
            <w:r>
              <w:rPr>
                <w:rFonts w:ascii="Times New Roman" w:hAnsi="Times New Roman"/>
                <w:sz w:val="24"/>
              </w:rPr>
              <w:t xml:space="preserve"> ключей, созданных через библиотеки </w:t>
            </w:r>
            <w:r>
              <w:rPr>
                <w:rFonts w:ascii="Times New Roman" w:hAnsi="Times New Roman"/>
                <w:sz w:val="24"/>
              </w:rPr>
              <w:t>Рутокен</w:t>
            </w:r>
            <w:r>
              <w:rPr>
                <w:rFonts w:ascii="Times New Roman" w:hAnsi="Times New Roman"/>
                <w:sz w:val="24"/>
              </w:rPr>
              <w:t xml:space="preserve"> (PKCS#11, </w:t>
            </w:r>
            <w:r>
              <w:rPr>
                <w:rFonts w:ascii="Times New Roman" w:hAnsi="Times New Roman"/>
                <w:sz w:val="24"/>
              </w:rPr>
              <w:t>Aktiv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ruToken</w:t>
            </w:r>
            <w:r>
              <w:rPr>
                <w:rFonts w:ascii="Times New Roman" w:hAnsi="Times New Roman"/>
                <w:sz w:val="24"/>
              </w:rPr>
              <w:t xml:space="preserve"> CSP, </w:t>
            </w:r>
            <w:r>
              <w:rPr>
                <w:rFonts w:ascii="Times New Roman" w:hAnsi="Times New Roman"/>
                <w:sz w:val="24"/>
              </w:rPr>
              <w:t>minidriver</w:t>
            </w:r>
            <w:r>
              <w:rPr>
                <w:rFonts w:ascii="Times New Roman" w:hAnsi="Times New Roman"/>
                <w:sz w:val="24"/>
              </w:rPr>
              <w:t xml:space="preserve">), а также ФКН-контейнеры </w:t>
            </w:r>
            <w:r>
              <w:rPr>
                <w:rFonts w:ascii="Times New Roman" w:hAnsi="Times New Roman"/>
                <w:sz w:val="24"/>
              </w:rPr>
              <w:t>КриптоПро</w:t>
            </w:r>
            <w:r>
              <w:rPr>
                <w:rFonts w:ascii="Times New Roman" w:hAnsi="Times New Roman"/>
                <w:sz w:val="24"/>
              </w:rPr>
              <w:t xml:space="preserve"> CSP 5.0+; Смена PIN-кодов Пользователя/Администратора.</w:t>
            </w:r>
          </w:p>
          <w:p w14:paraId="2A010000">
            <w:pPr>
              <w:numPr>
                <w:ilvl w:val="0"/>
                <w:numId w:val="4"/>
              </w:num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целостности микропрограммы (прошивки) </w:t>
            </w:r>
            <w:r>
              <w:rPr>
                <w:rFonts w:ascii="Times New Roman" w:hAnsi="Times New Roman"/>
                <w:sz w:val="24"/>
              </w:rPr>
              <w:t>Руток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z w:val="24"/>
              </w:rPr>
              <w:t xml:space="preserve"> ЭЦП. </w:t>
            </w:r>
          </w:p>
          <w:p w14:paraId="2B010000">
            <w:pPr>
              <w:spacing w:after="0" w:line="240" w:lineRule="auto"/>
              <w:ind w:firstLine="0" w:left="360"/>
              <w:jc w:val="both"/>
              <w:rPr>
                <w:rFonts w:ascii="Times New Roman" w:hAnsi="Times New Roman"/>
                <w:sz w:val="24"/>
              </w:rPr>
            </w:pPr>
          </w:p>
          <w:p w14:paraId="2C010000">
            <w:pPr>
              <w:numPr>
                <w:ilvl w:val="0"/>
                <w:numId w:val="4"/>
              </w:num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целостности системных областей памяти. </w:t>
            </w:r>
          </w:p>
          <w:p w14:paraId="2D010000">
            <w:pPr>
              <w:spacing w:after="0" w:line="240" w:lineRule="auto"/>
              <w:ind w:firstLine="0" w:left="360"/>
              <w:jc w:val="both"/>
              <w:rPr>
                <w:rFonts w:ascii="Times New Roman" w:hAnsi="Times New Roman"/>
                <w:sz w:val="24"/>
              </w:rPr>
            </w:pPr>
          </w:p>
          <w:p w14:paraId="2E010000">
            <w:pPr>
              <w:numPr>
                <w:ilvl w:val="0"/>
                <w:numId w:val="4"/>
              </w:num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целостности RSF-файлов перед любым их использованием. </w:t>
            </w:r>
          </w:p>
          <w:p w14:paraId="2F010000">
            <w:pPr>
              <w:spacing w:after="0" w:line="240" w:lineRule="auto"/>
              <w:ind w:firstLine="0" w:left="360"/>
              <w:jc w:val="both"/>
              <w:rPr>
                <w:rFonts w:ascii="Times New Roman" w:hAnsi="Times New Roman"/>
                <w:sz w:val="24"/>
              </w:rPr>
            </w:pPr>
          </w:p>
          <w:p w14:paraId="30010000">
            <w:pPr>
              <w:numPr>
                <w:ilvl w:val="0"/>
                <w:numId w:val="4"/>
              </w:num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Счетчики изменений в файловой структуре и изменений любых PIN-кодов для контроля несанкционированных изменений. </w:t>
            </w:r>
          </w:p>
          <w:p w14:paraId="31010000">
            <w:pPr>
              <w:spacing w:after="0" w:line="240" w:lineRule="auto"/>
              <w:ind w:firstLine="0" w:left="360"/>
              <w:jc w:val="both"/>
              <w:rPr>
                <w:rFonts w:ascii="Times New Roman" w:hAnsi="Times New Roman"/>
                <w:sz w:val="24"/>
              </w:rPr>
            </w:pPr>
          </w:p>
          <w:p w14:paraId="32010000">
            <w:pPr>
              <w:numPr>
                <w:ilvl w:val="0"/>
                <w:numId w:val="4"/>
              </w:num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</w:rPr>
              <w:t>правильности функционирования криптографических алгоритмов. </w:t>
            </w:r>
          </w:p>
          <w:p w14:paraId="33010000">
            <w:pPr>
              <w:spacing w:after="0" w:line="240" w:lineRule="auto"/>
              <w:ind w:firstLine="0" w:left="360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  <w:p w14:paraId="34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сертификата ФСТЭК, подтверждающего, что программно-аппаратный комплекс является программно-техническим средством аутентификации пользователей при обработке информации, не содержащей свед</w:t>
            </w:r>
            <w:r>
              <w:rPr>
                <w:rFonts w:ascii="Times New Roman" w:hAnsi="Times New Roman"/>
                <w:sz w:val="24"/>
              </w:rPr>
              <w:t>ений, составляющих государственную тайну. ПАК реализует функции аутентификации и управления доступом к </w:t>
            </w:r>
            <w:r>
              <w:rPr>
                <w:rFonts w:ascii="Times New Roman" w:hAnsi="Times New Roman"/>
                <w:sz w:val="24"/>
              </w:rPr>
              <w:t>аутентификационной</w:t>
            </w:r>
            <w:r>
              <w:rPr>
                <w:rFonts w:ascii="Times New Roman" w:hAnsi="Times New Roman"/>
                <w:sz w:val="24"/>
              </w:rPr>
              <w:t xml:space="preserve"> информации и настройкам СЗИ, в том числе в виртуальной инфраструктуре, и соответствует требованиям технических </w:t>
            </w:r>
            <w:r>
              <w:rPr>
                <w:rFonts w:ascii="Times New Roman" w:hAnsi="Times New Roman"/>
                <w:sz w:val="24"/>
              </w:rPr>
              <w:t>условий и руководящих д</w:t>
            </w:r>
            <w:r>
              <w:rPr>
                <w:rFonts w:ascii="Times New Roman" w:hAnsi="Times New Roman"/>
                <w:sz w:val="24"/>
              </w:rPr>
              <w:t>окументов по четвертому уровню доверия, согласно «Требованиям по безопасности информации, устанавливающим уровни доверия к средствам технической защиты информации и средствам обеспечения безопасности информационных технологий».</w:t>
            </w:r>
          </w:p>
          <w:p w14:paraId="35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криптографическог</w:t>
            </w:r>
            <w:r>
              <w:rPr>
                <w:rFonts w:ascii="Times New Roman" w:hAnsi="Times New Roman"/>
                <w:sz w:val="24"/>
              </w:rPr>
              <w:t>о функционала должна быть максимально безопасной: необходимые алгоритмы должны изначально присутствовать в микропрограмме, а не добавляться дополнительными загружаемыми модулями (апплетами, плагинами и т.п.).</w:t>
            </w:r>
          </w:p>
          <w:p w14:paraId="36010000">
            <w:pPr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 внесен в реестр промышленной продукции, п</w:t>
            </w:r>
            <w:r>
              <w:rPr>
                <w:rFonts w:ascii="Times New Roman" w:hAnsi="Times New Roman"/>
                <w:sz w:val="24"/>
              </w:rPr>
              <w:t>роизведенной на территории Российской Федерации.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</w:tr>
      <w:tr>
        <w:trPr>
          <w:trHeight w:hRule="atLeast" w:val="360"/>
        </w:trP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документации ФСТЭК для USB-устройства (тип 2)</w:t>
            </w:r>
          </w:p>
        </w:tc>
        <w:tc>
          <w:tcPr>
            <w:tcW w:type="dxa" w:w="7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ind w:firstLine="0"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комплект поставки должен входить оригинальный комплект документации, оформленный и заверенный производителем (один комплект документации на </w:t>
            </w:r>
            <w:r>
              <w:rPr>
                <w:rFonts w:ascii="Times New Roman" w:hAnsi="Times New Roman"/>
                <w:sz w:val="24"/>
              </w:rPr>
              <w:t>всю партию товара). В список комплекта документации должны входить: формуляр; сертификат подлинности с перечнем идентификаторов (серийных номеров); копия сертификата соответствия ФСТЭК России; комплект документации в электронном виде.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3B010000">
      <w:pPr>
        <w:ind/>
        <w:jc w:val="center"/>
        <w:rPr>
          <w:rFonts w:ascii="Times New Roman" w:hAnsi="Times New Roman"/>
          <w:b w:val="1"/>
          <w:sz w:val="24"/>
        </w:rPr>
      </w:pPr>
      <w:r>
        <w:br w:type="page"/>
      </w:r>
      <w:r>
        <w:rPr>
          <w:rFonts w:ascii="Times New Roman" w:hAnsi="Times New Roman"/>
          <w:b w:val="1"/>
          <w:sz w:val="24"/>
        </w:rPr>
        <w:t>13. Форма Акта пр</w:t>
      </w:r>
      <w:r>
        <w:rPr>
          <w:rFonts w:ascii="Times New Roman" w:hAnsi="Times New Roman"/>
          <w:b w:val="1"/>
          <w:sz w:val="24"/>
        </w:rPr>
        <w:t>иемки-передачи товара</w:t>
      </w:r>
    </w:p>
    <w:p w14:paraId="3C010000">
      <w:pPr>
        <w:widowControl w:val="0"/>
        <w:spacing w:after="0" w:line="228" w:lineRule="auto"/>
        <w:ind/>
        <w:rPr>
          <w:rFonts w:ascii="Times New Roman" w:hAnsi="Times New Roman"/>
          <w:b w:val="1"/>
          <w:sz w:val="8"/>
        </w:rPr>
      </w:pPr>
    </w:p>
    <w:p w14:paraId="3D010000">
      <w:pPr>
        <w:widowControl w:val="0"/>
        <w:spacing w:after="0" w:line="228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E010000">
      <w:pPr>
        <w:widowControl w:val="0"/>
        <w:spacing w:after="0" w:line="228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</w:t>
      </w:r>
    </w:p>
    <w:p w14:paraId="3F010000">
      <w:pPr>
        <w:widowControl w:val="0"/>
        <w:spacing w:after="0" w:line="228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ПРИЕМКИ-ПЕРЕДАЧИ ТОВАРА</w:t>
      </w:r>
    </w:p>
    <w:p w14:paraId="40010000">
      <w:pPr>
        <w:widowControl w:val="0"/>
        <w:spacing w:after="0" w:line="228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государственному контракту от __ _______ ____ г. № __-юр</w:t>
      </w:r>
    </w:p>
    <w:p w14:paraId="41010000">
      <w:pPr>
        <w:widowControl w:val="0"/>
        <w:spacing w:after="0" w:line="228" w:lineRule="auto"/>
        <w:ind/>
        <w:jc w:val="center"/>
        <w:rPr>
          <w:rFonts w:ascii="Times New Roman" w:hAnsi="Times New Roman"/>
          <w:sz w:val="24"/>
        </w:rPr>
      </w:pPr>
      <w:r>
        <w:rPr>
          <w:rStyle w:val="Style_5_ch"/>
          <w:rFonts w:ascii="Times New Roman" w:hAnsi="Times New Roman"/>
          <w:sz w:val="24"/>
        </w:rPr>
        <w:t>«Приобретение средств технической защиты»</w:t>
      </w:r>
    </w:p>
    <w:p w14:paraId="42010000">
      <w:pPr>
        <w:widowControl w:val="0"/>
        <w:spacing w:after="0" w:line="228" w:lineRule="auto"/>
        <w:ind/>
        <w:jc w:val="both"/>
        <w:rPr>
          <w:rFonts w:ascii="Times New Roman" w:hAnsi="Times New Roman"/>
          <w:sz w:val="24"/>
        </w:rPr>
      </w:pPr>
    </w:p>
    <w:p w14:paraId="43010000">
      <w:pPr>
        <w:widowControl w:val="0"/>
        <w:spacing w:after="0" w:line="228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Москва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 «</w:t>
      </w:r>
      <w:r>
        <w:rPr>
          <w:rFonts w:ascii="Times New Roman" w:hAnsi="Times New Roman"/>
          <w:sz w:val="24"/>
        </w:rPr>
        <w:t>____» __________ 20____г.</w:t>
      </w:r>
    </w:p>
    <w:p w14:paraId="44010000">
      <w:pPr>
        <w:widowControl w:val="0"/>
        <w:spacing w:after="0" w:line="228" w:lineRule="auto"/>
        <w:ind/>
        <w:jc w:val="both"/>
        <w:rPr>
          <w:rFonts w:ascii="Times New Roman" w:hAnsi="Times New Roman"/>
          <w:sz w:val="24"/>
        </w:rPr>
      </w:pPr>
    </w:p>
    <w:p w14:paraId="45010000">
      <w:pPr>
        <w:spacing w:after="24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Федеральная служба по труду и занятости, </w:t>
      </w:r>
      <w:r>
        <w:rPr>
          <w:rFonts w:ascii="Times New Roman" w:hAnsi="Times New Roman"/>
          <w:sz w:val="24"/>
        </w:rPr>
        <w:t xml:space="preserve">именуемая в дальнейшем «Заказчик», в лице _________________, действующего на основании ______________________, с одной стороны, и _____________________________, именуемое в дальнейшем «Поставщик», в лице __________________________________, действующего на </w:t>
      </w:r>
      <w:r>
        <w:rPr>
          <w:rFonts w:ascii="Times New Roman" w:hAnsi="Times New Roman"/>
          <w:sz w:val="24"/>
        </w:rPr>
        <w:t xml:space="preserve">основании _________________________, с другой стороны, а вместе именуемые «Стороны» и каждый в отдельности «Сторона», составили настоящий Акт о том, что Поставщик выполнил обязательства по государственному контракту от _____ ___________ 20____ г. №____юр: </w:t>
      </w:r>
      <w:r>
        <w:rPr>
          <w:rFonts w:ascii="Times New Roman" w:hAnsi="Times New Roman"/>
          <w:sz w:val="24"/>
        </w:rPr>
        <w:t>осуществил поставку</w:t>
      </w:r>
      <w:r>
        <w:rPr>
          <w:rStyle w:val="Style_5_ch"/>
          <w:rFonts w:ascii="Times New Roman" w:hAnsi="Times New Roman"/>
          <w:sz w:val="24"/>
        </w:rPr>
        <w:t xml:space="preserve"> средств технической защиты (далее – Товар).</w:t>
      </w:r>
    </w:p>
    <w:p w14:paraId="46010000">
      <w:pPr>
        <w:spacing w:after="24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</w:p>
    <w:tbl>
      <w:tblPr>
        <w:tblStyle w:val="Style_4"/>
        <w:tblW w:type="auto" w:w="0"/>
        <w:jc w:val="center"/>
        <w:tblLayout w:type="fixed"/>
        <w:tblCellMar>
          <w:left w:type="dxa" w:w="75"/>
          <w:right w:type="dxa" w:w="75"/>
        </w:tblCellMar>
      </w:tblPr>
      <w:tblGrid>
        <w:gridCol w:w="2478"/>
        <w:gridCol w:w="1987"/>
        <w:gridCol w:w="850"/>
        <w:gridCol w:w="1418"/>
        <w:gridCol w:w="1701"/>
        <w:gridCol w:w="1842"/>
      </w:tblGrid>
      <w:tr>
        <w:trPr>
          <w:trHeight w:hRule="atLeast" w:val="800"/>
        </w:trPr>
        <w:tc>
          <w:tcPr>
            <w:tcW w:type="dxa" w:w="2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7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товара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8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   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происхождения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9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изм.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A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B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Цена за единицу, руб.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 w:val="1"/>
              </w:rPr>
              <w:t xml:space="preserve">(с </w:t>
            </w:r>
            <w:r>
              <w:rPr>
                <w:rFonts w:ascii="Times New Roman" w:hAnsi="Times New Roman"/>
                <w:i w:val="1"/>
              </w:rPr>
              <w:t xml:space="preserve">учетом  </w:t>
            </w:r>
            <w:r>
              <w:rPr>
                <w:rFonts w:ascii="Times New Roman" w:hAnsi="Times New Roman"/>
                <w:i w:val="1"/>
              </w:rPr>
              <w:br/>
            </w:r>
            <w:r>
              <w:rPr>
                <w:rFonts w:ascii="Times New Roman" w:hAnsi="Times New Roman"/>
                <w:i w:val="1"/>
              </w:rPr>
              <w:t>НДС</w:t>
            </w:r>
            <w:r>
              <w:rPr>
                <w:rFonts w:ascii="Times New Roman" w:hAnsi="Times New Roman"/>
                <w:i w:val="1"/>
              </w:rPr>
              <w:t>)*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C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Сумма, руб.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 w:val="1"/>
              </w:rPr>
              <w:t xml:space="preserve">(с учетом  </w:t>
            </w:r>
            <w:r>
              <w:rPr>
                <w:rFonts w:ascii="Times New Roman" w:hAnsi="Times New Roman"/>
                <w:i w:val="1"/>
              </w:rPr>
              <w:br/>
            </w:r>
            <w:r>
              <w:rPr>
                <w:rFonts w:ascii="Times New Roman" w:hAnsi="Times New Roman"/>
                <w:i w:val="1"/>
              </w:rPr>
              <w:t>НДС)*</w:t>
            </w:r>
          </w:p>
        </w:tc>
      </w:tr>
      <w:tr>
        <w:tc>
          <w:tcPr>
            <w:tcW w:type="dxa" w:w="247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D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E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F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50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51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52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c>
          <w:tcPr>
            <w:tcW w:type="dxa" w:w="247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53010000">
            <w:pPr>
              <w:widowControl w:val="0"/>
              <w:spacing w:after="0" w:line="228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98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54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55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56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57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58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47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59010000">
            <w:pPr>
              <w:widowControl w:val="0"/>
              <w:spacing w:after="0" w:line="228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98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5A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5B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5C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5D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5E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434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5F010000">
            <w:pPr>
              <w:widowControl w:val="0"/>
              <w:spacing w:after="0" w:line="228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Итого: </w:t>
            </w:r>
          </w:p>
          <w:p w14:paraId="60010000">
            <w:pPr>
              <w:widowControl w:val="0"/>
              <w:spacing w:after="0" w:line="228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1"/>
              </w:rPr>
              <w:t xml:space="preserve">в т. ч. НДС </w:t>
            </w:r>
            <w:r>
              <w:rPr>
                <w:rFonts w:ascii="Times New Roman" w:hAnsi="Times New Roman"/>
                <w:i w:val="1"/>
              </w:rPr>
              <w:t>20%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1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6201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63010000">
      <w:pPr>
        <w:spacing w:after="24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Стоимость поставки Товара составляет _______________________________________________</w:t>
      </w:r>
    </w:p>
    <w:p w14:paraId="64010000">
      <w:pPr>
        <w:spacing w:after="24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(____________________________) рублей __ копеек, в том числе НДС (22%)* – _____________ (_____________) рублей __ копеек*.</w:t>
      </w:r>
    </w:p>
    <w:p w14:paraId="65010000">
      <w:pPr>
        <w:ind w:firstLine="567" w:left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*В случае если Поставщик имеет право на </w:t>
      </w:r>
      <w:r>
        <w:rPr>
          <w:rFonts w:ascii="Times New Roman" w:hAnsi="Times New Roman"/>
          <w:i w:val="1"/>
          <w:sz w:val="24"/>
        </w:rPr>
        <w:t>освобождение от уплаты НДС, то слова «в том числе НДС» заменяются на слова «НДС не облагается».</w:t>
      </w:r>
    </w:p>
    <w:p w14:paraId="66010000">
      <w:pPr>
        <w:spacing w:after="24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поставки Товара по государственному контракту соответствуют (не соответствуют) требованиям государственного контракта и технического задания. Нарушен</w:t>
      </w:r>
      <w:r>
        <w:rPr>
          <w:rFonts w:ascii="Times New Roman" w:hAnsi="Times New Roman"/>
          <w:sz w:val="24"/>
        </w:rPr>
        <w:t>ия условий государственного контракта отсутствуют (имеются). Претензии к качеству Товара отсутствуют (имеются)</w:t>
      </w:r>
      <w:r>
        <w:rPr>
          <w:rStyle w:val="Style_3_ch"/>
          <w:rFonts w:ascii="Times New Roman" w:hAnsi="Times New Roman"/>
          <w:sz w:val="24"/>
        </w:rPr>
        <w:footnoteReference w:id="4"/>
      </w:r>
      <w:r>
        <w:rPr>
          <w:rFonts w:ascii="Times New Roman" w:hAnsi="Times New Roman"/>
          <w:sz w:val="24"/>
        </w:rPr>
        <w:t xml:space="preserve">.  </w:t>
      </w:r>
    </w:p>
    <w:p w14:paraId="67010000">
      <w:pPr>
        <w:spacing w:after="24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Размер неустойки (штрафа, пени) за неисполнение или ненадлежащее исполнение Поставщиком обязательств по государственному контракту на дату подписания настоящего Акта составляет: __________ (_________) рублей ____</w:t>
      </w:r>
      <w:r>
        <w:rPr>
          <w:rFonts w:ascii="Times New Roman" w:hAnsi="Times New Roman"/>
          <w:sz w:val="24"/>
        </w:rPr>
        <w:t xml:space="preserve">_ </w:t>
      </w:r>
      <w:r>
        <w:rPr>
          <w:rStyle w:val="Style_3_ch"/>
          <w:rFonts w:ascii="Times New Roman" w:hAnsi="Times New Roman"/>
          <w:sz w:val="24"/>
        </w:rPr>
        <w:footnoteReference w:id="5"/>
      </w:r>
      <w:r>
        <w:rPr>
          <w:rFonts w:ascii="Times New Roman" w:hAnsi="Times New Roman"/>
          <w:sz w:val="24"/>
        </w:rPr>
        <w:t>.</w:t>
      </w:r>
    </w:p>
    <w:p w14:paraId="68010000">
      <w:pPr>
        <w:spacing w:after="24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со ст. 308 Гражданского </w:t>
      </w:r>
      <w:r>
        <w:rPr>
          <w:rFonts w:ascii="Times New Roman" w:hAnsi="Times New Roman"/>
          <w:sz w:val="24"/>
        </w:rPr>
        <w:t>кодекса Российской Федерации Стороны производят зачет встречного однородного требования на сумму неустойки (штрафа, пени) копеек</w:t>
      </w:r>
      <w:r>
        <w:rPr>
          <w:rStyle w:val="Style_3_ch"/>
          <w:rFonts w:ascii="Times New Roman" w:hAnsi="Times New Roman"/>
          <w:sz w:val="24"/>
        </w:rPr>
        <w:footnoteReference w:id="6"/>
      </w:r>
      <w:r>
        <w:rPr>
          <w:rFonts w:ascii="Times New Roman" w:hAnsi="Times New Roman"/>
          <w:sz w:val="24"/>
        </w:rPr>
        <w:t xml:space="preserve">. </w:t>
      </w:r>
    </w:p>
    <w:p w14:paraId="69010000">
      <w:pPr>
        <w:spacing w:after="24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Основания применения и порядок расчета неустойки (штрафа, пени): 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</w:t>
      </w:r>
    </w:p>
    <w:p w14:paraId="6A010000">
      <w:pPr>
        <w:spacing w:after="24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_______________________________.</w:t>
      </w:r>
    </w:p>
    <w:p w14:paraId="6B010000">
      <w:pPr>
        <w:spacing w:after="24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Итого следует к перечислению за поставленный Товар Заказчиком на расчетный счет Поставщика (с удержанием неустойки (штрафа, пени) / без удержания неустойки (штрафа, пени)) ____________ (__________) рублей ____ копеек, </w:t>
      </w:r>
      <w:r>
        <w:rPr>
          <w:rFonts w:ascii="Times New Roman" w:hAnsi="Times New Roman"/>
          <w:i w:val="1"/>
          <w:sz w:val="24"/>
        </w:rPr>
        <w:t>в том</w:t>
      </w:r>
      <w:r>
        <w:rPr>
          <w:rFonts w:ascii="Times New Roman" w:hAnsi="Times New Roman"/>
          <w:i w:val="1"/>
          <w:sz w:val="24"/>
        </w:rPr>
        <w:t xml:space="preserve"> числе НДС (22%) – ____ (_____________) рублей ______ копеек.</w:t>
      </w:r>
    </w:p>
    <w:p w14:paraId="6C010000">
      <w:pPr>
        <w:spacing w:after="24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Настоящий Акт составлен в двух экземплярах, имеющих равную юридическую силу, по одному для каждой из Сторон.</w:t>
      </w:r>
    </w:p>
    <w:p w14:paraId="6D010000">
      <w:pPr>
        <w:widowControl w:val="0"/>
        <w:spacing w:after="0" w:line="228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4"/>
        <w:tblW w:type="auto" w:w="0"/>
        <w:jc w:val="center"/>
        <w:tblLayout w:type="fixed"/>
      </w:tblPr>
      <w:tblGrid>
        <w:gridCol w:w="5040"/>
        <w:gridCol w:w="4598"/>
      </w:tblGrid>
      <w:tr>
        <w:tc>
          <w:tcPr>
            <w:tcW w:type="dxa" w:w="50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widowControl w:val="0"/>
              <w:spacing w:after="0" w:line="228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ЗАКАЗЧИК:</w:t>
            </w:r>
          </w:p>
          <w:p w14:paraId="6F010000">
            <w:pPr>
              <w:widowControl w:val="0"/>
              <w:spacing w:after="0" w:line="228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0010000">
            <w:pPr>
              <w:widowControl w:val="0"/>
              <w:spacing w:after="0" w:line="228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 /                           /</w:t>
            </w:r>
          </w:p>
          <w:p w14:paraId="71010000">
            <w:pPr>
              <w:widowControl w:val="0"/>
              <w:spacing w:after="0" w:line="228" w:lineRule="auto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М.П.</w:t>
            </w:r>
          </w:p>
          <w:p w14:paraId="72010000">
            <w:pPr>
              <w:widowControl w:val="0"/>
              <w:spacing w:after="0" w:line="228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«____»______________2026 г.</w:t>
            </w:r>
          </w:p>
        </w:tc>
        <w:tc>
          <w:tcPr>
            <w:tcW w:type="dxa" w:w="45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0"/>
              <w:spacing w:after="0" w:line="228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ПОСТАВЩИК:</w:t>
            </w:r>
          </w:p>
          <w:p w14:paraId="74010000">
            <w:pPr>
              <w:widowControl w:val="0"/>
              <w:spacing w:after="0" w:line="228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5010000">
            <w:pPr>
              <w:widowControl w:val="0"/>
              <w:spacing w:after="0" w:line="228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 /                              /</w:t>
            </w:r>
          </w:p>
          <w:p w14:paraId="76010000">
            <w:pPr>
              <w:widowControl w:val="0"/>
              <w:spacing w:after="0" w:line="228" w:lineRule="auto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М.П.</w:t>
            </w:r>
          </w:p>
          <w:p w14:paraId="77010000">
            <w:pPr>
              <w:widowControl w:val="0"/>
              <w:spacing w:after="0" w:line="228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«____»______________2026 г.</w:t>
            </w:r>
          </w:p>
        </w:tc>
      </w:tr>
    </w:tbl>
    <w:p w14:paraId="78010000"/>
    <w:p w14:paraId="79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7A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14. Реквизиты Заказчика</w:t>
      </w:r>
    </w:p>
    <w:p w14:paraId="7B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4"/>
        <w:tblpPr w:bottomFromText="0" w:horzAnchor="margin" w:leftFromText="180" w:rightFromText="180" w:tblpX="109" w:tblpY="72" w:topFromText="0" w:vertAnchor="text"/>
        <w:tblW w:type="auto" w:w="0"/>
        <w:tblLayout w:type="fixed"/>
      </w:tblPr>
      <w:tblGrid>
        <w:gridCol w:w="5353"/>
        <w:gridCol w:w="4939"/>
      </w:tblGrid>
      <w:tr>
        <w:tc>
          <w:tcPr>
            <w:tcW w:type="dxa" w:w="535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ЗАКАЗЧИК:</w:t>
            </w:r>
          </w:p>
        </w:tc>
        <w:tc>
          <w:tcPr>
            <w:tcW w:type="dxa" w:w="49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  <w:highlight w:val="white"/>
              </w:rPr>
            </w:pPr>
          </w:p>
        </w:tc>
      </w:tr>
      <w:tr>
        <w:tc>
          <w:tcPr>
            <w:tcW w:type="dxa" w:w="535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101000, Москва, Мясницкая улица, д. 40, стр. 16</w:t>
            </w:r>
          </w:p>
          <w:p w14:paraId="7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 7710538364 КПП 770101001</w:t>
            </w:r>
          </w:p>
          <w:p w14:paraId="80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ОКПО </w:t>
            </w:r>
            <w:r>
              <w:rPr>
                <w:rFonts w:ascii="Times New Roman" w:hAnsi="Times New Roman"/>
                <w:sz w:val="24"/>
              </w:rPr>
              <w:t xml:space="preserve">00083351  </w:t>
            </w:r>
            <w:r>
              <w:rPr>
                <w:rFonts w:ascii="Times New Roman" w:hAnsi="Times New Roman"/>
                <w:sz w:val="24"/>
              </w:rPr>
              <w:t>ОКТМО</w:t>
            </w:r>
            <w:r>
              <w:rPr>
                <w:rFonts w:ascii="Times New Roman" w:hAnsi="Times New Roman"/>
                <w:sz w:val="24"/>
              </w:rPr>
              <w:t xml:space="preserve"> 45375000000</w:t>
            </w:r>
          </w:p>
          <w:p w14:paraId="81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ОКВЭД 84.11.11</w:t>
            </w:r>
          </w:p>
          <w:p w14:paraId="82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Банковские реквизиты:</w:t>
            </w:r>
          </w:p>
          <w:p w14:paraId="8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Межрегиональное операционное УФК</w:t>
            </w:r>
          </w:p>
          <w:p w14:paraId="84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(Федеральная служба по труду и занятости л/счет 03951001500).</w:t>
            </w:r>
          </w:p>
          <w:p w14:paraId="8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банка:</w:t>
            </w:r>
          </w:p>
          <w:p w14:paraId="86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ОПЕРАЦИОННЫЙ ДЕПАРТАМЕНТ БАНКА РОССИИ// Межрегиональное</w:t>
            </w:r>
          </w:p>
          <w:p w14:paraId="87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операционное УФК г. Москва</w:t>
            </w:r>
          </w:p>
          <w:p w14:paraId="88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</w:t>
            </w:r>
            <w:r>
              <w:rPr>
                <w:rFonts w:ascii="Times New Roman" w:hAnsi="Times New Roman"/>
                <w:sz w:val="24"/>
              </w:rPr>
              <w:t xml:space="preserve"> территориального органа Федерального казначейства: 024501901</w:t>
            </w:r>
          </w:p>
          <w:p w14:paraId="8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банковского счета, входящего в состав</w:t>
            </w:r>
          </w:p>
          <w:p w14:paraId="8A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единого казначейского счета: 40102810045370000002</w:t>
            </w:r>
          </w:p>
          <w:p w14:paraId="8B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казначейского счета: 03211643000000019503</w:t>
            </w:r>
          </w:p>
          <w:p w14:paraId="8C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D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0"/>
              <w:spacing w:after="0" w:line="240" w:lineRule="auto"/>
              <w:ind w:firstLine="0" w:left="34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  <w:p w14:paraId="8F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  <w:p w14:paraId="90010000">
            <w:pPr>
              <w:widowControl w:val="0"/>
              <w:spacing w:after="0" w:line="240" w:lineRule="auto"/>
              <w:ind w:firstLine="0" w:left="319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  <w:p w14:paraId="91010000">
            <w:pPr>
              <w:widowControl w:val="0"/>
              <w:spacing w:after="0" w:line="240" w:lineRule="auto"/>
              <w:ind w:firstLine="0" w:left="319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  <w:p w14:paraId="92010000">
            <w:pPr>
              <w:widowControl w:val="0"/>
              <w:spacing w:after="0" w:line="240" w:lineRule="auto"/>
              <w:ind w:firstLine="0" w:left="319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  <w:p w14:paraId="93010000">
            <w:pPr>
              <w:widowControl w:val="0"/>
              <w:spacing w:after="0" w:line="240" w:lineRule="auto"/>
              <w:ind w:firstLine="0" w:left="319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  <w:p w14:paraId="94010000">
            <w:pPr>
              <w:widowControl w:val="0"/>
              <w:spacing w:after="0" w:line="240" w:lineRule="auto"/>
              <w:ind w:firstLine="0" w:left="319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  <w:p w14:paraId="95010000">
            <w:pPr>
              <w:widowControl w:val="0"/>
              <w:spacing w:after="0" w:line="240" w:lineRule="auto"/>
              <w:ind w:firstLine="0" w:left="319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  <w:p w14:paraId="96010000">
            <w:pPr>
              <w:widowControl w:val="0"/>
              <w:spacing w:after="0" w:line="240" w:lineRule="auto"/>
              <w:ind w:firstLine="0" w:left="319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  <w:p w14:paraId="97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  <w:p w14:paraId="9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  <w:p w14:paraId="99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  <w:p w14:paraId="9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  <w:p w14:paraId="9B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  <w:p w14:paraId="9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  <w:p w14:paraId="9D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  <w:p w14:paraId="9E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  <w:p w14:paraId="9F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</w:tc>
      </w:tr>
    </w:tbl>
    <w:p w14:paraId="A0010000">
      <w:pPr>
        <w:spacing w:after="0" w:before="120" w:line="240" w:lineRule="auto"/>
        <w:ind w:right="-2"/>
        <w:jc w:val="center"/>
        <w:rPr>
          <w:rFonts w:ascii="Times New Roman" w:hAnsi="Times New Roman"/>
          <w:b w:val="1"/>
          <w:sz w:val="24"/>
        </w:rPr>
      </w:pPr>
    </w:p>
    <w:sectPr>
      <w:headerReference r:id="rId1" w:type="default"/>
      <w:pgSz w:h="16838" w:orient="portrait" w:w="11906"/>
      <w:pgMar w:bottom="709" w:footer="0" w:gutter="0" w:header="0" w:left="992" w:right="567" w:top="993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A1010000">
      <w:pPr>
        <w:pStyle w:val="Style_35"/>
        <w:ind/>
        <w:jc w:val="both"/>
        <w:rPr>
          <w:rFonts w:ascii="Times New Roman" w:hAnsi="Times New Roman"/>
          <w:i w:val="1"/>
          <w:sz w:val="16"/>
        </w:rPr>
      </w:pPr>
      <w:r>
        <w:rPr>
          <w:rFonts w:ascii="Times New Roman" w:hAnsi="Times New Roman"/>
          <w:i w:val="1"/>
          <w:sz w:val="16"/>
          <w:vertAlign w:val="superscript"/>
        </w:rPr>
        <w:footnoteRef/>
      </w:r>
      <w:r>
        <w:rPr>
          <w:rFonts w:ascii="Times New Roman" w:hAnsi="Times New Roman"/>
          <w:i w:val="1"/>
          <w:sz w:val="16"/>
        </w:rPr>
        <w:t>Организации и индивидуальные предприниматели, которые применяют специальные налоговые режимы в виде ЕСХН, УСН, ЕНВД или патентную систему налогообложения, не являются плательщик</w:t>
      </w:r>
      <w:r>
        <w:rPr>
          <w:rFonts w:ascii="Times New Roman" w:hAnsi="Times New Roman"/>
          <w:i w:val="1"/>
          <w:sz w:val="16"/>
        </w:rPr>
        <w:t>ами НДС в отношении операций, облагаемых в рамках соответствующего режима (п. 3 ст. 346.1, п. п. 2 и 3 ст. 346.11, п. 4 ст. 346.26, п. 11 ст. 346.43 НК РФ).</w:t>
      </w:r>
    </w:p>
    <w:p w14:paraId="A2010000">
      <w:pPr>
        <w:pStyle w:val="Style_35"/>
        <w:rPr>
          <w:i w:val="1"/>
        </w:rPr>
      </w:pPr>
    </w:p>
  </w:footnote>
  <w:footnote w:id="2">
    <w:p w14:paraId="A3010000">
      <w:pPr>
        <w:pStyle w:val="Style_35"/>
        <w:ind/>
        <w:jc w:val="both"/>
        <w:rPr>
          <w:rFonts w:ascii="Times New Roman" w:hAnsi="Times New Roman"/>
          <w:i w:val="1"/>
          <w:sz w:val="16"/>
        </w:rPr>
      </w:pPr>
      <w:r>
        <w:rPr>
          <w:rFonts w:ascii="Times New Roman" w:hAnsi="Times New Roman"/>
          <w:i w:val="1"/>
          <w:sz w:val="16"/>
          <w:vertAlign w:val="superscript"/>
        </w:rPr>
        <w:footnoteRef/>
      </w:r>
      <w:r>
        <w:rPr>
          <w:i w:val="1"/>
          <w:sz w:val="16"/>
        </w:rPr>
        <w:t xml:space="preserve"> </w:t>
      </w:r>
      <w:r>
        <w:rPr>
          <w:rFonts w:ascii="Times New Roman" w:hAnsi="Times New Roman"/>
          <w:i w:val="1"/>
          <w:sz w:val="16"/>
        </w:rPr>
        <w:t>В отношении операций, освобождаемых от налогообложения налогом на добавленную стоимость на основ</w:t>
      </w:r>
      <w:r>
        <w:rPr>
          <w:rFonts w:ascii="Times New Roman" w:hAnsi="Times New Roman"/>
          <w:i w:val="1"/>
          <w:sz w:val="16"/>
        </w:rPr>
        <w:t>ании статьи 149 Налогового кодекса Российской Федерации, указание счета-фактуры является необязательным</w:t>
      </w:r>
    </w:p>
  </w:footnote>
  <w:footnote w:id="3">
    <w:p w14:paraId="A4010000">
      <w:pPr>
        <w:pStyle w:val="Style_35"/>
        <w:ind/>
        <w:jc w:val="both"/>
        <w:rPr>
          <w:rFonts w:ascii="Times New Roman" w:hAnsi="Times New Roman"/>
          <w:i w:val="1"/>
          <w:sz w:val="16"/>
        </w:rPr>
      </w:pPr>
      <w:r>
        <w:rPr>
          <w:rFonts w:ascii="Times New Roman" w:hAnsi="Times New Roman"/>
          <w:i w:val="1"/>
          <w:sz w:val="16"/>
          <w:vertAlign w:val="superscript"/>
        </w:rPr>
        <w:footnoteRef/>
      </w:r>
      <w:r>
        <w:rPr>
          <w:rFonts w:ascii="Times New Roman" w:hAnsi="Times New Roman"/>
          <w:i w:val="1"/>
          <w:sz w:val="16"/>
        </w:rPr>
        <w:t xml:space="preserve"> 10% цены контракта (этапа) в случае, если цена контракта (этапа) не превышает 3 млн. рублей.</w:t>
      </w:r>
    </w:p>
  </w:footnote>
  <w:footnote w:id="4">
    <w:p w14:paraId="A5010000">
      <w:pPr>
        <w:pStyle w:val="Style_35"/>
        <w:ind/>
        <w:jc w:val="both"/>
        <w:rPr>
          <w:rFonts w:ascii="Times New Roman" w:hAnsi="Times New Roman"/>
          <w:i w:val="1"/>
          <w:sz w:val="16"/>
        </w:rPr>
      </w:pPr>
      <w:r>
        <w:rPr>
          <w:rFonts w:ascii="Times New Roman" w:hAnsi="Times New Roman"/>
          <w:i w:val="1"/>
          <w:sz w:val="16"/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i w:val="1"/>
          <w:sz w:val="16"/>
        </w:rPr>
        <w:t>Пункт заполняется Заказчиком.</w:t>
      </w:r>
    </w:p>
  </w:footnote>
  <w:footnote w:id="5">
    <w:p w14:paraId="A6010000">
      <w:pPr>
        <w:pStyle w:val="Style_35"/>
        <w:ind/>
        <w:jc w:val="both"/>
        <w:rPr>
          <w:rFonts w:ascii="Times New Roman" w:hAnsi="Times New Roman"/>
          <w:i w:val="1"/>
          <w:sz w:val="16"/>
        </w:rPr>
      </w:pPr>
      <w:r>
        <w:rPr>
          <w:rFonts w:ascii="Times New Roman" w:hAnsi="Times New Roman"/>
          <w:i w:val="1"/>
          <w:sz w:val="16"/>
          <w:vertAlign w:val="superscript"/>
        </w:rPr>
        <w:footnoteRef/>
      </w:r>
      <w:r>
        <w:rPr>
          <w:rFonts w:ascii="Times New Roman" w:hAnsi="Times New Roman"/>
          <w:i w:val="1"/>
          <w:sz w:val="16"/>
        </w:rPr>
        <w:t xml:space="preserve"> В случае неисполнения или ненадлежащего исполнения Поставщиком обязательств по Контракту.</w:t>
      </w:r>
    </w:p>
  </w:footnote>
  <w:footnote w:id="6">
    <w:p w14:paraId="A7010000">
      <w:pPr>
        <w:pStyle w:val="Style_35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vertAlign w:val="superscript"/>
        </w:rPr>
        <w:footnoteRef/>
      </w:r>
      <w:r>
        <w:rPr>
          <w:rFonts w:ascii="Times New Roman" w:hAnsi="Times New Roman"/>
          <w:i w:val="1"/>
          <w:sz w:val="16"/>
        </w:rPr>
        <w:t>В случае удержания неустойки (штрафа, пени) Заказчиком с суммы, подлежащей оплате Поставщику за поставленный товар по Контракту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tabs>
        <w:tab w:leader="none" w:pos="4963" w:val="left"/>
        <w:tab w:leader="none" w:pos="5672" w:val="left"/>
        <w:tab w:leader="none" w:pos="6381" w:val="left"/>
        <w:tab w:leader="none" w:pos="7090" w:val="left"/>
        <w:tab w:leader="none" w:pos="9355" w:val="clear"/>
      </w:tabs>
      <w:ind/>
    </w:pPr>
    <w:r>
      <w:tab/>
    </w:r>
    <w:r>
      <w:tab/>
    </w:r>
    <w:r>
      <w:tab/>
    </w:r>
    <w:r>
      <w:tab/>
    </w:r>
    <w:r>
      <w:tab/>
    </w:r>
    <w:r>
      <w:tab/>
    </w:r>
  </w:p>
  <w:p w14:paraId="02000000">
    <w:pPr>
      <w:pStyle w:val="Style_1"/>
      <w:spacing w:after="120"/>
      <w:ind/>
      <w:jc w:val="center"/>
      <w:rPr>
        <w:sz w:val="16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4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0" w:left="790"/>
      </w:pPr>
    </w:lvl>
    <w:lvl w:ilvl="2">
      <w:start w:val="1"/>
      <w:numFmt w:val="decimal"/>
      <w:lvlText w:val="%1.%2.%3."/>
      <w:lvlJc w:val="left"/>
      <w:pPr>
        <w:ind w:hanging="505" w:left="1225"/>
      </w:pPr>
    </w:lvl>
    <w:lvl w:ilvl="3">
      <w:start w:val="1"/>
      <w:numFmt w:val="decimal"/>
      <w:lvlText w:val="%1.%2.%3.%4."/>
      <w:lvlJc w:val="left"/>
      <w:pPr>
        <w:ind w:hanging="650" w:left="1730"/>
      </w:pPr>
    </w:lvl>
    <w:lvl w:ilvl="4">
      <w:start w:val="1"/>
      <w:numFmt w:val="decimal"/>
      <w:lvlText w:val="%1.%2.%3.%4.%5."/>
      <w:lvlJc w:val="left"/>
      <w:pPr>
        <w:ind w:hanging="790" w:left="2230"/>
      </w:pPr>
    </w:lvl>
    <w:lvl w:ilvl="5">
      <w:start w:val="1"/>
      <w:numFmt w:val="decimal"/>
      <w:lvlText w:val="%1.%2.%3.%4.%5.%6."/>
      <w:lvlJc w:val="left"/>
      <w:pPr>
        <w:ind w:hanging="935" w:left="2735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5" w:left="3745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0" w:left="790"/>
      </w:pPr>
    </w:lvl>
    <w:lvl w:ilvl="2">
      <w:start w:val="1"/>
      <w:numFmt w:val="decimal"/>
      <w:lvlText w:val="%1.%2.%3."/>
      <w:lvlJc w:val="left"/>
      <w:pPr>
        <w:ind w:hanging="505" w:left="1225"/>
      </w:pPr>
    </w:lvl>
    <w:lvl w:ilvl="3">
      <w:start w:val="1"/>
      <w:numFmt w:val="decimal"/>
      <w:lvlText w:val="%1.%2.%3.%4."/>
      <w:lvlJc w:val="left"/>
      <w:pPr>
        <w:ind w:hanging="650" w:left="1730"/>
      </w:pPr>
    </w:lvl>
    <w:lvl w:ilvl="4">
      <w:start w:val="1"/>
      <w:numFmt w:val="decimal"/>
      <w:lvlText w:val="%1.%2.%3.%4.%5."/>
      <w:lvlJc w:val="left"/>
      <w:pPr>
        <w:ind w:hanging="790" w:left="2230"/>
      </w:pPr>
    </w:lvl>
    <w:lvl w:ilvl="5">
      <w:start w:val="1"/>
      <w:numFmt w:val="decimal"/>
      <w:lvlText w:val="%1.%2.%3.%4.%5.%6."/>
      <w:lvlJc w:val="left"/>
      <w:pPr>
        <w:ind w:hanging="935" w:left="2735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5" w:left="3745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0" w:left="790"/>
      </w:pPr>
    </w:lvl>
    <w:lvl w:ilvl="2">
      <w:start w:val="1"/>
      <w:numFmt w:val="decimal"/>
      <w:lvlText w:val="%1.%2.%3."/>
      <w:lvlJc w:val="left"/>
      <w:pPr>
        <w:ind w:hanging="505" w:left="1225"/>
      </w:pPr>
    </w:lvl>
    <w:lvl w:ilvl="3">
      <w:start w:val="1"/>
      <w:numFmt w:val="decimal"/>
      <w:lvlText w:val="%1.%2.%3.%4."/>
      <w:lvlJc w:val="left"/>
      <w:pPr>
        <w:ind w:hanging="650" w:left="1730"/>
      </w:pPr>
    </w:lvl>
    <w:lvl w:ilvl="4">
      <w:start w:val="1"/>
      <w:numFmt w:val="decimal"/>
      <w:lvlText w:val="%1.%2.%3.%4.%5."/>
      <w:lvlJc w:val="left"/>
      <w:pPr>
        <w:ind w:hanging="790" w:left="2230"/>
      </w:pPr>
    </w:lvl>
    <w:lvl w:ilvl="5">
      <w:start w:val="1"/>
      <w:numFmt w:val="decimal"/>
      <w:lvlText w:val="%1.%2.%3.%4.%5.%6."/>
      <w:lvlJc w:val="left"/>
      <w:pPr>
        <w:ind w:hanging="935" w:left="2735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5" w:left="3745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Заголовок 1 Знак"/>
    <w:basedOn w:val="Style_9"/>
    <w:link w:val="Style_8_ch"/>
    <w:rPr>
      <w:rFonts w:ascii="Times New Roman" w:hAnsi="Times New Roman"/>
      <w:b w:val="1"/>
      <w:sz w:val="48"/>
    </w:rPr>
  </w:style>
  <w:style w:styleId="Style_8_ch" w:type="character">
    <w:name w:val="Заголовок 1 Знак"/>
    <w:basedOn w:val="Style_9_ch"/>
    <w:link w:val="Style_8"/>
    <w:rPr>
      <w:rFonts w:ascii="Times New Roman" w:hAnsi="Times New Roman"/>
      <w:b w:val="1"/>
      <w:sz w:val="48"/>
    </w:rPr>
  </w:style>
  <w:style w:styleId="Style_10" w:type="paragraph">
    <w:name w:val="Знак примечания1"/>
    <w:basedOn w:val="Style_9"/>
    <w:link w:val="Style_10_ch"/>
    <w:rPr>
      <w:sz w:val="16"/>
    </w:rPr>
  </w:style>
  <w:style w:styleId="Style_10_ch" w:type="character">
    <w:name w:val="Знак примечания1"/>
    <w:basedOn w:val="Style_9_ch"/>
    <w:link w:val="Style_10"/>
    <w:rPr>
      <w:sz w:val="16"/>
    </w:rPr>
  </w:style>
  <w:style w:styleId="Style_11" w:type="paragraph">
    <w:name w:val="toc 4"/>
    <w:next w:val="Style_6"/>
    <w:link w:val="Style_11_ch"/>
    <w:uiPriority w:val="39"/>
    <w:pPr>
      <w:ind w:firstLine="0"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annotation text"/>
    <w:basedOn w:val="Style_6"/>
    <w:link w:val="Style_12_ch"/>
    <w:pPr>
      <w:spacing w:line="240" w:lineRule="auto"/>
      <w:ind/>
    </w:pPr>
    <w:rPr>
      <w:sz w:val="20"/>
    </w:rPr>
  </w:style>
  <w:style w:styleId="Style_12_ch" w:type="character">
    <w:name w:val="annotation text"/>
    <w:basedOn w:val="Style_6_ch"/>
    <w:link w:val="Style_12"/>
    <w:rPr>
      <w:sz w:val="20"/>
    </w:rPr>
  </w:style>
  <w:style w:styleId="Style_13" w:type="paragraph">
    <w:name w:val="Гиперссылка1"/>
    <w:basedOn w:val="Style_9"/>
    <w:link w:val="Style_13_ch"/>
    <w:rPr>
      <w:color w:val="0000FF"/>
      <w:u w:val="single"/>
    </w:rPr>
  </w:style>
  <w:style w:styleId="Style_13_ch" w:type="character">
    <w:name w:val="Гиперссылка1"/>
    <w:basedOn w:val="Style_9_ch"/>
    <w:link w:val="Style_13"/>
    <w:rPr>
      <w:color w:val="0000FF"/>
      <w:u w:val="single"/>
    </w:rPr>
  </w:style>
  <w:style w:styleId="Style_14" w:type="paragraph">
    <w:name w:val="index heading"/>
    <w:basedOn w:val="Style_6"/>
    <w:link w:val="Style_14_ch"/>
  </w:style>
  <w:style w:styleId="Style_14_ch" w:type="character">
    <w:name w:val="index heading"/>
    <w:basedOn w:val="Style_6_ch"/>
    <w:link w:val="Style_14"/>
  </w:style>
  <w:style w:styleId="Style_15" w:type="paragraph">
    <w:name w:val="toc 6"/>
    <w:next w:val="Style_6"/>
    <w:link w:val="Style_15_ch"/>
    <w:uiPriority w:val="39"/>
    <w:pPr>
      <w:ind w:firstLine="0" w:left="1000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6"/>
    <w:link w:val="Style_16_ch"/>
    <w:uiPriority w:val="39"/>
    <w:pPr>
      <w:ind w:firstLine="0" w:left="1200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18" w:type="paragraph">
    <w:name w:val="Знак концевой сноски1"/>
    <w:link w:val="Style_18_ch"/>
    <w:rPr>
      <w:vertAlign w:val="superscript"/>
    </w:rPr>
  </w:style>
  <w:style w:styleId="Style_18_ch" w:type="character">
    <w:name w:val="Знак концевой сноски1"/>
    <w:link w:val="Style_18"/>
    <w:rPr>
      <w:vertAlign w:val="superscript"/>
    </w:rPr>
  </w:style>
  <w:style w:styleId="Style_19" w:type="paragraph">
    <w:name w:val="Колонтитул"/>
    <w:basedOn w:val="Style_6"/>
    <w:link w:val="Style_19_ch"/>
  </w:style>
  <w:style w:styleId="Style_19_ch" w:type="character">
    <w:name w:val="Колонтитул"/>
    <w:basedOn w:val="Style_6_ch"/>
    <w:link w:val="Style_19"/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</w:rPr>
  </w:style>
  <w:style w:styleId="Style_20_ch" w:type="character">
    <w:name w:val="Endnote"/>
    <w:link w:val="Style_20"/>
    <w:rPr>
      <w:rFonts w:ascii="XO Thames" w:hAnsi="XO Thames"/>
    </w:rPr>
  </w:style>
  <w:style w:styleId="Style_21" w:type="paragraph">
    <w:name w:val="heading 3"/>
    <w:next w:val="Style_6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22" w:type="paragraph">
    <w:name w:val="Содержимое таблицы"/>
    <w:basedOn w:val="Style_6"/>
    <w:link w:val="Style_22_ch"/>
    <w:pPr>
      <w:widowControl w:val="0"/>
      <w:ind/>
    </w:pPr>
  </w:style>
  <w:style w:styleId="Style_22_ch" w:type="character">
    <w:name w:val="Содержимое таблицы"/>
    <w:basedOn w:val="Style_6_ch"/>
    <w:link w:val="Style_22"/>
  </w:style>
  <w:style w:styleId="Style_23" w:type="paragraph">
    <w:name w:val="Гиперссылка2"/>
    <w:link w:val="Style_23_ch"/>
    <w:rPr>
      <w:color w:val="0000FF"/>
      <w:u w:val="single"/>
    </w:rPr>
  </w:style>
  <w:style w:styleId="Style_23_ch" w:type="character">
    <w:name w:val="Гиперссылка2"/>
    <w:link w:val="Style_23"/>
    <w:rPr>
      <w:color w:val="0000FF"/>
      <w:u w:val="single"/>
    </w:rPr>
  </w:style>
  <w:style w:styleId="Style_24" w:type="paragraph">
    <w:name w:val="Символ сноски"/>
    <w:link w:val="Style_24_ch"/>
    <w:rPr>
      <w:vertAlign w:val="superscript"/>
    </w:rPr>
  </w:style>
  <w:style w:styleId="Style_24_ch" w:type="character">
    <w:name w:val="Символ сноски"/>
    <w:link w:val="Style_24"/>
    <w:rPr>
      <w:vertAlign w:val="superscript"/>
    </w:rPr>
  </w:style>
  <w:style w:styleId="Style_3" w:type="paragraph">
    <w:name w:val="Знак сноски1"/>
    <w:link w:val="Style_3_ch"/>
    <w:rPr>
      <w:vertAlign w:val="superscript"/>
    </w:rPr>
  </w:style>
  <w:style w:styleId="Style_3_ch" w:type="character">
    <w:name w:val="Знак сноски1"/>
    <w:link w:val="Style_3"/>
    <w:rPr>
      <w:vertAlign w:val="superscript"/>
    </w:rPr>
  </w:style>
  <w:style w:styleId="Style_25" w:type="paragraph">
    <w:name w:val="Содержимое врезки"/>
    <w:basedOn w:val="Style_6"/>
    <w:link w:val="Style_25_ch"/>
  </w:style>
  <w:style w:styleId="Style_25_ch" w:type="character">
    <w:name w:val="Содержимое врезки"/>
    <w:basedOn w:val="Style_6_ch"/>
    <w:link w:val="Style_25"/>
  </w:style>
  <w:style w:styleId="Style_5" w:type="paragraph">
    <w:name w:val="Обычный1"/>
    <w:link w:val="Style_5_ch"/>
  </w:style>
  <w:style w:styleId="Style_5_ch" w:type="character">
    <w:name w:val="Обычный1"/>
    <w:link w:val="Style_5"/>
  </w:style>
  <w:style w:styleId="Style_26" w:type="paragraph">
    <w:name w:val="Balloon Text"/>
    <w:basedOn w:val="Style_6"/>
    <w:link w:val="Style_26_ch"/>
    <w:pPr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6_ch"/>
    <w:link w:val="Style_26"/>
    <w:rPr>
      <w:rFonts w:ascii="Tahoma" w:hAnsi="Tahoma"/>
      <w:sz w:val="16"/>
    </w:rPr>
  </w:style>
  <w:style w:styleId="Style_27" w:type="paragraph">
    <w:name w:val="toc 3"/>
    <w:next w:val="Style_6"/>
    <w:link w:val="Style_27_ch"/>
    <w:uiPriority w:val="39"/>
    <w:pPr>
      <w:ind w:firstLine="0" w:left="400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Символ концевой сноски"/>
    <w:link w:val="Style_28_ch"/>
  </w:style>
  <w:style w:styleId="Style_28_ch" w:type="character">
    <w:name w:val="Символ концевой сноски"/>
    <w:link w:val="Style_28"/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30" w:type="paragraph">
    <w:name w:val="Заголовок1"/>
    <w:basedOn w:val="Style_5"/>
    <w:link w:val="Style_30_ch"/>
    <w:rPr>
      <w:rFonts w:ascii="Liberation Sans" w:hAnsi="Liberation Sans"/>
      <w:sz w:val="28"/>
    </w:rPr>
  </w:style>
  <w:style w:styleId="Style_30_ch" w:type="character">
    <w:name w:val="Заголовок1"/>
    <w:basedOn w:val="Style_5_ch"/>
    <w:link w:val="Style_30"/>
    <w:rPr>
      <w:rFonts w:ascii="Liberation Sans" w:hAnsi="Liberation Sans"/>
      <w:sz w:val="28"/>
    </w:rPr>
  </w:style>
  <w:style w:styleId="Style_31" w:type="paragraph">
    <w:name w:val="Текст сноски Знак"/>
    <w:basedOn w:val="Style_9"/>
    <w:link w:val="Style_31_ch"/>
    <w:rPr>
      <w:sz w:val="20"/>
    </w:rPr>
  </w:style>
  <w:style w:styleId="Style_31_ch" w:type="character">
    <w:name w:val="Текст сноски Знак"/>
    <w:basedOn w:val="Style_9_ch"/>
    <w:link w:val="Style_31"/>
    <w:rPr>
      <w:sz w:val="20"/>
    </w:rPr>
  </w:style>
  <w:style w:styleId="Style_32" w:type="paragraph">
    <w:name w:val="heading 5"/>
    <w:next w:val="Style_6"/>
    <w:link w:val="Style_3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2_ch" w:type="character">
    <w:name w:val="heading 5"/>
    <w:link w:val="Style_32"/>
    <w:rPr>
      <w:rFonts w:ascii="XO Thames" w:hAnsi="XO Thames"/>
      <w:b w:val="1"/>
    </w:rPr>
  </w:style>
  <w:style w:styleId="Style_33" w:type="paragraph">
    <w:name w:val="Обычный1"/>
    <w:link w:val="Style_33_ch"/>
  </w:style>
  <w:style w:styleId="Style_33_ch" w:type="character">
    <w:name w:val="Обычный1"/>
    <w:link w:val="Style_33"/>
  </w:style>
  <w:style w:styleId="Style_2" w:type="paragraph">
    <w:name w:val="heading 1"/>
    <w:basedOn w:val="Style_6"/>
    <w:link w:val="Style_2_ch"/>
    <w:uiPriority w:val="9"/>
    <w:qFormat/>
    <w:pPr>
      <w:spacing w:after="280" w:before="280" w:line="240" w:lineRule="auto"/>
      <w:ind/>
      <w:outlineLvl w:val="0"/>
    </w:pPr>
    <w:rPr>
      <w:rFonts w:ascii="Times New Roman" w:hAnsi="Times New Roman"/>
      <w:b w:val="1"/>
      <w:sz w:val="48"/>
    </w:rPr>
  </w:style>
  <w:style w:styleId="Style_2_ch" w:type="character">
    <w:name w:val="heading 1"/>
    <w:basedOn w:val="Style_6_ch"/>
    <w:link w:val="Style_2"/>
    <w:rPr>
      <w:rFonts w:ascii="Times New Roman" w:hAnsi="Times New Roman"/>
      <w:b w:val="1"/>
      <w:sz w:val="48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basedOn w:val="Style_6"/>
    <w:link w:val="Style_35_ch"/>
    <w:pPr>
      <w:spacing w:after="0" w:line="240" w:lineRule="auto"/>
      <w:ind/>
    </w:pPr>
    <w:rPr>
      <w:sz w:val="20"/>
    </w:rPr>
  </w:style>
  <w:style w:styleId="Style_35_ch" w:type="character">
    <w:name w:val="Footnote"/>
    <w:basedOn w:val="Style_6_ch"/>
    <w:link w:val="Style_35"/>
    <w:rPr>
      <w:sz w:val="20"/>
    </w:rPr>
  </w:style>
  <w:style w:styleId="Style_36" w:type="paragraph">
    <w:name w:val="Верхний колонтитул Знак"/>
    <w:basedOn w:val="Style_9"/>
    <w:link w:val="Style_36_ch"/>
  </w:style>
  <w:style w:styleId="Style_36_ch" w:type="character">
    <w:name w:val="Верхний колонтитул Знак"/>
    <w:basedOn w:val="Style_9_ch"/>
    <w:link w:val="Style_36"/>
  </w:style>
  <w:style w:styleId="Style_37" w:type="paragraph">
    <w:name w:val="toc 1"/>
    <w:next w:val="Style_6"/>
    <w:link w:val="Style_37_ch"/>
    <w:uiPriority w:val="39"/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Header and Footer"/>
    <w:link w:val="Style_38_ch"/>
    <w:pPr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39" w:type="paragraph">
    <w:name w:val="product-details-overview-specification"/>
    <w:basedOn w:val="Style_9"/>
    <w:link w:val="Style_39_ch"/>
  </w:style>
  <w:style w:styleId="Style_39_ch" w:type="character">
    <w:name w:val="product-details-overview-specification"/>
    <w:basedOn w:val="Style_9_ch"/>
    <w:link w:val="Style_39"/>
  </w:style>
  <w:style w:styleId="Style_40" w:type="paragraph">
    <w:name w:val="annotation subject"/>
    <w:basedOn w:val="Style_12"/>
    <w:next w:val="Style_12"/>
    <w:link w:val="Style_40_ch"/>
    <w:rPr>
      <w:b w:val="1"/>
    </w:rPr>
  </w:style>
  <w:style w:styleId="Style_40_ch" w:type="character">
    <w:name w:val="annotation subject"/>
    <w:basedOn w:val="Style_12_ch"/>
    <w:link w:val="Style_40"/>
    <w:rPr>
      <w:b w:val="1"/>
    </w:rPr>
  </w:style>
  <w:style w:styleId="Style_41" w:type="paragraph">
    <w:name w:val="toc 9"/>
    <w:next w:val="Style_6"/>
    <w:link w:val="Style_41_ch"/>
    <w:uiPriority w:val="39"/>
    <w:pPr>
      <w:ind w:firstLine="0" w:left="1600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Body Text"/>
    <w:basedOn w:val="Style_6"/>
    <w:link w:val="Style_42_ch"/>
    <w:pPr>
      <w:spacing w:after="140"/>
      <w:ind/>
    </w:pPr>
  </w:style>
  <w:style w:styleId="Style_42_ch" w:type="character">
    <w:name w:val="Body Text"/>
    <w:basedOn w:val="Style_6_ch"/>
    <w:link w:val="Style_42"/>
  </w:style>
  <w:style w:styleId="Style_43" w:type="paragraph">
    <w:name w:val="toc 8"/>
    <w:next w:val="Style_6"/>
    <w:link w:val="Style_43_ch"/>
    <w:uiPriority w:val="39"/>
    <w:pPr>
      <w:ind w:firstLine="0" w:left="1400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fontstyle01"/>
    <w:basedOn w:val="Style_9"/>
    <w:link w:val="Style_44_ch"/>
    <w:rPr>
      <w:rFonts w:ascii="ArialMT" w:hAnsi="ArialMT"/>
      <w:sz w:val="14"/>
    </w:rPr>
  </w:style>
  <w:style w:styleId="Style_44_ch" w:type="character">
    <w:name w:val="fontstyle01"/>
    <w:basedOn w:val="Style_9_ch"/>
    <w:link w:val="Style_44"/>
    <w:rPr>
      <w:rFonts w:ascii="ArialMT" w:hAnsi="ArialMT"/>
      <w:sz w:val="14"/>
    </w:rPr>
  </w:style>
  <w:style w:styleId="Style_45" w:type="paragraph">
    <w:name w:val="List"/>
    <w:basedOn w:val="Style_42"/>
    <w:link w:val="Style_45_ch"/>
  </w:style>
  <w:style w:styleId="Style_45_ch" w:type="character">
    <w:name w:val="List"/>
    <w:basedOn w:val="Style_42_ch"/>
    <w:link w:val="Style_45"/>
  </w:style>
  <w:style w:styleId="Style_46" w:type="paragraph">
    <w:name w:val="List Paragraph"/>
    <w:basedOn w:val="Style_6"/>
    <w:link w:val="Style_46_ch"/>
    <w:pPr>
      <w:ind w:firstLine="0" w:left="720"/>
      <w:contextualSpacing w:val="1"/>
    </w:pPr>
  </w:style>
  <w:style w:styleId="Style_46_ch" w:type="character">
    <w:name w:val="List Paragraph"/>
    <w:basedOn w:val="Style_6_ch"/>
    <w:link w:val="Style_46"/>
  </w:style>
  <w:style w:styleId="Style_47" w:type="paragraph">
    <w:name w:val="toc 5"/>
    <w:next w:val="Style_6"/>
    <w:link w:val="Style_47_ch"/>
    <w:uiPriority w:val="39"/>
    <w:pPr>
      <w:ind w:firstLine="0" w:left="800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Subtitle"/>
    <w:next w:val="Style_6"/>
    <w:link w:val="Style_4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49" w:type="paragraph">
    <w:name w:val="caption"/>
    <w:basedOn w:val="Style_6"/>
    <w:link w:val="Style_49_ch"/>
    <w:pPr>
      <w:spacing w:after="120" w:before="120"/>
      <w:ind/>
    </w:pPr>
    <w:rPr>
      <w:i w:val="1"/>
      <w:sz w:val="24"/>
    </w:rPr>
  </w:style>
  <w:style w:styleId="Style_49_ch" w:type="character">
    <w:name w:val="caption"/>
    <w:basedOn w:val="Style_6_ch"/>
    <w:link w:val="Style_49"/>
    <w:rPr>
      <w:i w:val="1"/>
      <w:sz w:val="24"/>
    </w:rPr>
  </w:style>
  <w:style w:styleId="Style_50" w:type="paragraph">
    <w:name w:val="Title"/>
    <w:next w:val="Style_6"/>
    <w:link w:val="Style_5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sz w:val="40"/>
    </w:rPr>
  </w:style>
  <w:style w:styleId="Style_51" w:type="paragraph">
    <w:name w:val="heading 4"/>
    <w:next w:val="Style_6"/>
    <w:link w:val="Style_5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1_ch" w:type="character">
    <w:name w:val="heading 4"/>
    <w:link w:val="Style_51"/>
    <w:rPr>
      <w:rFonts w:ascii="XO Thames" w:hAnsi="XO Thames"/>
      <w:b w:val="1"/>
      <w:sz w:val="24"/>
    </w:rPr>
  </w:style>
  <w:style w:styleId="Style_52" w:type="paragraph">
    <w:name w:val="heading 2"/>
    <w:next w:val="Style_6"/>
    <w:link w:val="Style_5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2_ch" w:type="character">
    <w:name w:val="heading 2"/>
    <w:link w:val="Style_52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footnotes.xml" Type="http://schemas.openxmlformats.org/officeDocument/2006/relationships/footnotes"/>
  <Relationship Id="rId4" Target="styles.xml" Type="http://schemas.openxmlformats.org/officeDocument/2006/relationships/styles"/>
  <Relationship Id="rId9" Target="endnotes.xml" Type="http://schemas.openxmlformats.org/officeDocument/2006/relationships/endnot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2026-05-18T10:04:05Z</dcterms:modified>
</cp:coreProperties>
</file>