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Договор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 xml:space="preserve">Идентификационный код закупки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26 1 2130037189 213001001 0001 000 0000 244</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b/>
          <w:b/>
          <w:sz w:val="24"/>
          <w:szCs w:val="24"/>
        </w:rPr>
      </w:pPr>
      <w:r>
        <w:rPr>
          <w:b/>
          <w:sz w:val="24"/>
          <w:szCs w:val="24"/>
        </w:rPr>
      </w:r>
    </w:p>
    <w:p>
      <w:pPr>
        <w:pStyle w:val="Normal"/>
        <w:rPr/>
      </w:pPr>
      <w:r>
        <w:rPr>
          <w:sz w:val="24"/>
          <w:szCs w:val="24"/>
        </w:rPr>
        <w:t>г. Чебоксары</w:t>
        <w:tab/>
        <w:tab/>
        <w:tab/>
        <w:tab/>
        <w:tab/>
        <w:tab/>
        <w:t xml:space="preserve">                      </w:t>
        <w:tab/>
        <w:t xml:space="preserve">  «_____» _________________  2026г.</w:t>
      </w:r>
    </w:p>
    <w:p>
      <w:pPr>
        <w:pStyle w:val="Normal"/>
        <w:rPr>
          <w:sz w:val="24"/>
          <w:szCs w:val="24"/>
        </w:rPr>
      </w:pPr>
      <w:r>
        <w:rPr>
          <w:sz w:val="24"/>
          <w:szCs w:val="24"/>
        </w:rPr>
      </w:r>
    </w:p>
    <w:p>
      <w:pPr>
        <w:pStyle w:val="TableParagraph"/>
        <w:spacing w:lineRule="auto" w:line="240"/>
        <w:ind w:left="42" w:hanging="0"/>
        <w:jc w:val="both"/>
        <w:rPr/>
      </w:pPr>
      <w:r>
        <w:rPr>
          <w:rFonts w:cs="Times New Roman" w:ascii="Times New Roman" w:hAnsi="Times New Roman"/>
          <w:sz w:val="24"/>
          <w:szCs w:val="24"/>
        </w:rPr>
        <w:tab/>
      </w:r>
      <w:r>
        <w:rPr>
          <w:rFonts w:cs="Times New Roman" w:ascii="Times New Roman" w:hAnsi="Times New Roman"/>
          <w:b/>
          <w:szCs w:val="24"/>
          <w:highlight w:val="yellow"/>
        </w:rPr>
        <w:t>_________________________________</w:t>
      </w:r>
      <w:r>
        <w:rPr>
          <w:rFonts w:cs="Times New Roman" w:ascii="Times New Roman" w:hAnsi="Times New Roman"/>
          <w:b/>
          <w:szCs w:val="24"/>
        </w:rPr>
        <w:t xml:space="preserve">, </w:t>
      </w:r>
      <w:r>
        <w:rPr>
          <w:rFonts w:cs="Times New Roman" w:ascii="Times New Roman" w:hAnsi="Times New Roman"/>
          <w:szCs w:val="24"/>
        </w:rPr>
        <w:t xml:space="preserve">именуемое в дальнейшем «Поставщик», в лице </w:t>
      </w:r>
      <w:bookmarkStart w:id="0" w:name="_GoBack"/>
      <w:bookmarkEnd w:id="0"/>
      <w:r>
        <w:rPr>
          <w:rFonts w:cs="Times New Roman" w:ascii="Times New Roman" w:hAnsi="Times New Roman"/>
          <w:szCs w:val="24"/>
          <w:highlight w:val="yellow"/>
        </w:rPr>
        <w:t>__________________________,</w:t>
      </w:r>
      <w:r>
        <w:rPr>
          <w:rFonts w:cs="Times New Roman" w:ascii="Times New Roman" w:hAnsi="Times New Roman"/>
          <w:szCs w:val="24"/>
        </w:rPr>
        <w:t xml:space="preserve"> действующего на основании </w:t>
      </w:r>
      <w:r>
        <w:rPr>
          <w:rFonts w:cs="Times New Roman" w:ascii="Times New Roman" w:hAnsi="Times New Roman"/>
          <w:szCs w:val="24"/>
          <w:highlight w:val="yellow"/>
        </w:rPr>
        <w:t>______________</w:t>
      </w:r>
      <w:r>
        <w:rPr>
          <w:rFonts w:cs="Times New Roman" w:ascii="Times New Roman" w:hAnsi="Times New Roman"/>
          <w:szCs w:val="24"/>
        </w:rPr>
        <w:t xml:space="preserve">, с одной стороны и </w:t>
      </w:r>
      <w:r>
        <w:rPr>
          <w:rFonts w:cs="Times New Roman" w:ascii="Times New Roman" w:hAnsi="Times New Roman"/>
          <w:b/>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szCs w:val="24"/>
        </w:rPr>
        <w:t xml:space="preserve">, именуемое в дальнейшем «Заказчик», </w:t>
      </w:r>
      <w:r>
        <w:rPr>
          <w:rFonts w:eastAsia="Times New Roman" w:cs="Times New Roman" w:ascii="Times New Roman" w:hAnsi="Times New Roman"/>
          <w:bCs/>
        </w:rPr>
        <w:t xml:space="preserve">в лице заместителя главного врача по финансово-экономическим вопросам </w:t>
      </w:r>
      <w:r>
        <w:rPr>
          <w:rFonts w:cs="Times New Roman" w:ascii="Times New Roman" w:hAnsi="Times New Roman"/>
          <w:bCs/>
        </w:rPr>
        <w:t>и закупкам,</w:t>
      </w:r>
      <w:r>
        <w:rPr>
          <w:rFonts w:eastAsia="Times New Roman" w:cs="Times New Roman" w:ascii="Times New Roman" w:hAnsi="Times New Roman"/>
          <w:bCs/>
        </w:rPr>
        <w:t xml:space="preserve">  Деверинского Андрея Николаевича, действующего на основании доверенности № </w:t>
      </w:r>
      <w:r>
        <w:rPr>
          <w:rFonts w:cs="Times New Roman" w:ascii="Times New Roman" w:hAnsi="Times New Roman"/>
          <w:bCs/>
        </w:rPr>
        <w:t>9</w:t>
      </w:r>
      <w:r>
        <w:rPr>
          <w:rFonts w:eastAsia="Times New Roman" w:cs="Times New Roman" w:ascii="Times New Roman" w:hAnsi="Times New Roman"/>
          <w:bCs/>
        </w:rPr>
        <w:t xml:space="preserve"> от </w:t>
      </w:r>
      <w:r>
        <w:rPr>
          <w:rFonts w:cs="Times New Roman" w:ascii="Times New Roman" w:hAnsi="Times New Roman"/>
          <w:bCs/>
        </w:rPr>
        <w:t>02.03.</w:t>
      </w:r>
      <w:r>
        <w:rPr>
          <w:rFonts w:eastAsia="Times New Roman" w:cs="Times New Roman" w:ascii="Times New Roman" w:hAnsi="Times New Roman"/>
          <w:bCs/>
        </w:rPr>
        <w:t>2026г</w:t>
      </w:r>
      <w:r>
        <w:rPr>
          <w:rFonts w:cs="Times New Roman" w:ascii="Times New Roman" w:hAnsi="Times New Roman"/>
          <w:szCs w:val="24"/>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pPr>
        <w:pStyle w:val="TableParagraph"/>
        <w:spacing w:lineRule="auto" w:line="240"/>
        <w:ind w:left="42"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tabs>
          <w:tab w:val="clear" w:pos="720"/>
          <w:tab w:val="left" w:pos="426" w:leader="none"/>
        </w:tabs>
        <w:ind w:left="0" w:hanging="0"/>
        <w:jc w:val="center"/>
        <w:rPr/>
      </w:pPr>
      <w:r>
        <w:rPr>
          <w:b/>
          <w:sz w:val="24"/>
          <w:szCs w:val="24"/>
        </w:rPr>
        <w:t>ПРЕДМЕТ ДОГОВОРА</w:t>
      </w:r>
    </w:p>
    <w:p>
      <w:pPr>
        <w:pStyle w:val="Normal"/>
        <w:tabs>
          <w:tab w:val="clear" w:pos="720"/>
          <w:tab w:val="left" w:pos="567" w:leader="none"/>
          <w:tab w:val="left" w:pos="2912" w:leader="none"/>
        </w:tabs>
        <w:jc w:val="both"/>
        <w:rPr/>
      </w:pPr>
      <w:r>
        <w:rPr>
          <w:sz w:val="24"/>
          <w:szCs w:val="24"/>
        </w:rPr>
        <w:t xml:space="preserve">1.1. Поставщик обязуется поставить Заказчику </w:t>
      </w:r>
      <w:r>
        <w:rPr>
          <w:sz w:val="24"/>
          <w:szCs w:val="24"/>
          <w:highlight w:val="yellow"/>
        </w:rPr>
        <w:t>_________________________</w:t>
      </w:r>
      <w:r>
        <w:rPr>
          <w:sz w:val="24"/>
          <w:szCs w:val="24"/>
        </w:rPr>
        <w:t xml:space="preserve"> (далее – Товар)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pPr>
        <w:pStyle w:val="Normal"/>
        <w:tabs>
          <w:tab w:val="clear" w:pos="720"/>
          <w:tab w:val="left" w:pos="567" w:leader="none"/>
          <w:tab w:val="left" w:pos="2912" w:leader="none"/>
        </w:tabs>
        <w:jc w:val="both"/>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pPr>
        <w:pStyle w:val="Normal"/>
        <w:tabs>
          <w:tab w:val="clear" w:pos="720"/>
          <w:tab w:val="left" w:pos="567" w:leader="none"/>
          <w:tab w:val="left" w:pos="2912" w:leader="none"/>
        </w:tabs>
        <w:ind w:left="284" w:hanging="0"/>
        <w:jc w:val="both"/>
        <w:rPr>
          <w:sz w:val="24"/>
          <w:szCs w:val="24"/>
        </w:rPr>
      </w:pPr>
      <w:r>
        <w:rPr>
          <w:sz w:val="24"/>
          <w:szCs w:val="24"/>
        </w:rPr>
      </w:r>
    </w:p>
    <w:p>
      <w:pPr>
        <w:pStyle w:val="Normal"/>
        <w:numPr>
          <w:ilvl w:val="0"/>
          <w:numId w:val="4"/>
        </w:numPr>
        <w:tabs>
          <w:tab w:val="clear" w:pos="720"/>
          <w:tab w:val="left" w:pos="284" w:leader="none"/>
        </w:tabs>
        <w:ind w:left="0" w:hanging="0"/>
        <w:jc w:val="center"/>
        <w:rPr/>
      </w:pPr>
      <w:r>
        <w:rPr>
          <w:b/>
          <w:sz w:val="24"/>
          <w:szCs w:val="24"/>
        </w:rPr>
        <w:t>ПОРЯДОК ПОСТАВКИ ТОВАРА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 xml:space="preserve"> </w:t>
      </w:r>
      <w:r>
        <w:rPr>
          <w:sz w:val="24"/>
          <w:szCs w:val="24"/>
        </w:rPr>
        <w:t xml:space="preserve">Поставщик обязуется поставить Заказчику Товар в течение </w:t>
      </w:r>
      <w:r>
        <w:rPr>
          <w:sz w:val="24"/>
          <w:szCs w:val="24"/>
          <w:highlight w:val="yellow"/>
        </w:rPr>
        <w:t>_________________</w:t>
      </w:r>
      <w:r>
        <w:rPr>
          <w:sz w:val="24"/>
          <w:szCs w:val="24"/>
        </w:rPr>
        <w:t xml:space="preserve"> дней со дня </w:t>
      </w:r>
      <w:r>
        <w:rPr>
          <w:sz w:val="24"/>
          <w:szCs w:val="24"/>
        </w:rPr>
        <w:t xml:space="preserve">получения </w:t>
      </w:r>
      <w:r>
        <w:rPr>
          <w:rStyle w:val="Style19"/>
          <w:sz w:val="24"/>
          <w:szCs w:val="24"/>
        </w:rPr>
        <w:t>от Заказчика письменной заявки</w:t>
      </w:r>
      <w:r>
        <w:rPr>
          <w:sz w:val="24"/>
          <w:szCs w:val="24"/>
        </w:rPr>
        <w:t>.</w:t>
      </w:r>
    </w:p>
    <w:p>
      <w:pPr>
        <w:pStyle w:val="Normal"/>
        <w:numPr>
          <w:ilvl w:val="1"/>
          <w:numId w:val="4"/>
        </w:numPr>
        <w:tabs>
          <w:tab w:val="clear" w:pos="720"/>
          <w:tab w:val="left" w:pos="567" w:leader="none"/>
          <w:tab w:val="left" w:pos="644" w:leader="none"/>
        </w:tabs>
        <w:ind w:left="644" w:hanging="360"/>
        <w:jc w:val="both"/>
        <w:rPr/>
      </w:pPr>
      <w:r>
        <w:rPr>
          <w:sz w:val="24"/>
          <w:szCs w:val="24"/>
        </w:rPr>
        <w:t xml:space="preserve"> </w:t>
      </w:r>
      <w:r>
        <w:rPr>
          <w:sz w:val="24"/>
          <w:szCs w:val="24"/>
        </w:rPr>
        <w:t>Поставка Товара осуществляется силами и средствами Поставщика и за его счет.</w:t>
      </w:r>
    </w:p>
    <w:p>
      <w:pPr>
        <w:pStyle w:val="Normal"/>
        <w:numPr>
          <w:ilvl w:val="1"/>
          <w:numId w:val="4"/>
        </w:numPr>
        <w:tabs>
          <w:tab w:val="clear" w:pos="720"/>
          <w:tab w:val="left" w:pos="644" w:leader="none"/>
        </w:tabs>
        <w:ind w:left="644" w:hanging="360"/>
        <w:rPr/>
      </w:pPr>
      <w:r>
        <w:rPr>
          <w:sz w:val="24"/>
          <w:szCs w:val="24"/>
        </w:rPr>
        <w:tab/>
        <w:t xml:space="preserve">Поставка Товара осуществляется по адресу: </w:t>
      </w:r>
    </w:p>
    <w:p>
      <w:pPr>
        <w:pStyle w:val="Normal"/>
        <w:ind w:left="644" w:hanging="0"/>
        <w:rPr/>
      </w:pPr>
      <w:r>
        <w:rPr>
          <w:b/>
          <w:sz w:val="24"/>
          <w:szCs w:val="24"/>
        </w:rPr>
        <w:t>428020, Чувашская Республика-Чувашия, г. Чебоксары, ул. Федора Гладкова, д. 33.</w:t>
      </w:r>
    </w:p>
    <w:p>
      <w:pPr>
        <w:pStyle w:val="Normal"/>
        <w:numPr>
          <w:ilvl w:val="1"/>
          <w:numId w:val="4"/>
        </w:numPr>
        <w:tabs>
          <w:tab w:val="clear" w:pos="720"/>
          <w:tab w:val="left" w:pos="0" w:leader="none"/>
          <w:tab w:val="left" w:pos="644" w:leader="none"/>
        </w:tabs>
        <w:ind w:left="0" w:firstLine="284"/>
        <w:jc w:val="both"/>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pPr>
        <w:pStyle w:val="Style35"/>
        <w:numPr>
          <w:ilvl w:val="1"/>
          <w:numId w:val="4"/>
        </w:numPr>
        <w:tabs>
          <w:tab w:val="clear" w:pos="720"/>
          <w:tab w:val="left" w:pos="567" w:leader="none"/>
        </w:tabs>
        <w:ind w:left="360" w:hanging="76"/>
        <w:rPr/>
      </w:pPr>
      <w:r>
        <w:rPr>
          <w:szCs w:val="24"/>
        </w:rPr>
        <w:t>Поставщик предоставляет вместе с Товаром следующую документацию:</w:t>
      </w:r>
    </w:p>
    <w:p>
      <w:pPr>
        <w:pStyle w:val="Style35"/>
        <w:tabs>
          <w:tab w:val="clear" w:pos="720"/>
          <w:tab w:val="left" w:pos="567" w:leader="none"/>
        </w:tabs>
        <w:ind w:firstLine="709"/>
        <w:rPr/>
      </w:pPr>
      <w:r>
        <w:rPr>
          <w:szCs w:val="24"/>
        </w:rPr>
        <w:t>- товарную накладную, счет-фактуру (при наличии) или универсальный передаточный документ;</w:t>
      </w:r>
    </w:p>
    <w:p>
      <w:pPr>
        <w:pStyle w:val="Style35"/>
        <w:tabs>
          <w:tab w:val="clear" w:pos="720"/>
          <w:tab w:val="left" w:pos="0" w:leader="none"/>
        </w:tabs>
        <w:ind w:firstLine="709"/>
        <w:rPr/>
      </w:pPr>
      <w:r>
        <w:rPr>
          <w:szCs w:val="24"/>
        </w:rPr>
        <w:t>- счет;</w:t>
      </w:r>
    </w:p>
    <w:p>
      <w:pPr>
        <w:pStyle w:val="Style35"/>
        <w:tabs>
          <w:tab w:val="clear" w:pos="720"/>
          <w:tab w:val="left" w:pos="0" w:leader="none"/>
        </w:tabs>
        <w:ind w:firstLine="709"/>
        <w:rPr/>
      </w:pPr>
      <w:r>
        <w:rPr>
          <w:szCs w:val="24"/>
        </w:rPr>
        <w:t>- товарно-транспортную накладную (в случае необходимости);</w:t>
      </w:r>
    </w:p>
    <w:p>
      <w:pPr>
        <w:pStyle w:val="Style35"/>
        <w:tabs>
          <w:tab w:val="clear" w:pos="720"/>
          <w:tab w:val="left" w:pos="0" w:leader="none"/>
        </w:tabs>
        <w:ind w:firstLine="709"/>
        <w:rPr/>
      </w:pPr>
      <w:r>
        <w:rPr>
          <w:szCs w:val="24"/>
        </w:rPr>
        <w:t>- копии документов, подтверждающих качество Товара (</w:t>
      </w:r>
      <w:r>
        <w:rPr>
          <w:szCs w:val="24"/>
          <w:highlight w:val="yellow"/>
        </w:rPr>
        <w:t>регистрационное удостоверение, свидетельство о государственной регистрации, сертификат соответствия</w:t>
      </w:r>
      <w:r>
        <w:rPr>
          <w:szCs w:val="24"/>
        </w:rPr>
        <w:t>);</w:t>
      </w:r>
    </w:p>
    <w:p>
      <w:pPr>
        <w:pStyle w:val="Normal"/>
        <w:tabs>
          <w:tab w:val="clear" w:pos="720"/>
          <w:tab w:val="left" w:pos="0" w:leader="none"/>
        </w:tabs>
        <w:ind w:firstLine="709"/>
        <w:jc w:val="both"/>
        <w:rPr/>
      </w:pPr>
      <w:r>
        <w:rPr>
          <w:sz w:val="24"/>
          <w:szCs w:val="24"/>
        </w:rPr>
        <w:t>- другую необходимую для данного вида Товара товарно-сопроводительную документацию.</w:t>
      </w:r>
    </w:p>
    <w:p>
      <w:pPr>
        <w:pStyle w:val="Normal"/>
        <w:widowControl w:val="false"/>
        <w:tabs>
          <w:tab w:val="clear" w:pos="720"/>
          <w:tab w:val="left" w:pos="709" w:leader="none"/>
        </w:tabs>
        <w:ind w:firstLine="426"/>
        <w:jc w:val="both"/>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pPr>
      <w:r>
        <w:rPr>
          <w:b/>
          <w:color w:val="000000"/>
          <w:spacing w:val="-1"/>
          <w:sz w:val="24"/>
          <w:szCs w:val="24"/>
        </w:rPr>
        <w:t>3.</w:t>
        <w:tab/>
        <w:t>ГАРАНТИЯ КАЧЕСТВА</w:t>
      </w:r>
    </w:p>
    <w:p>
      <w:pPr>
        <w:pStyle w:val="Normal"/>
        <w:ind w:firstLine="709"/>
        <w:jc w:val="both"/>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pPr>
        <w:pStyle w:val="Normal"/>
        <w:ind w:firstLine="709"/>
        <w:jc w:val="both"/>
        <w:rPr/>
      </w:pPr>
      <w:r>
        <w:rPr>
          <w:sz w:val="24"/>
          <w:szCs w:val="24"/>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pPr>
        <w:pStyle w:val="Normal"/>
        <w:ind w:firstLine="709"/>
        <w:jc w:val="both"/>
        <w:rPr/>
      </w:pPr>
      <w:r>
        <w:rPr>
          <w:sz w:val="24"/>
          <w:szCs w:val="24"/>
        </w:rPr>
        <w:t>3.3.  Поставщик гарантирует:</w:t>
      </w:r>
    </w:p>
    <w:p>
      <w:pPr>
        <w:pStyle w:val="Normal"/>
        <w:ind w:firstLine="709"/>
        <w:jc w:val="both"/>
        <w:rPr/>
      </w:pPr>
      <w:r>
        <w:rPr>
          <w:sz w:val="24"/>
          <w:szCs w:val="24"/>
        </w:rPr>
        <w:t>- надлежащее качество комплектующих, используемых для изготовления Товара, а также надлежащее качество изготовления Товара;</w:t>
      </w:r>
    </w:p>
    <w:p>
      <w:pPr>
        <w:pStyle w:val="Normal"/>
        <w:ind w:firstLine="709"/>
        <w:jc w:val="both"/>
        <w:rPr/>
      </w:pPr>
      <w:r>
        <w:rPr>
          <w:sz w:val="24"/>
          <w:szCs w:val="24"/>
        </w:rPr>
        <w:t xml:space="preserve"> </w:t>
      </w:r>
      <w:r>
        <w:rPr>
          <w:sz w:val="24"/>
          <w:szCs w:val="24"/>
        </w:rPr>
        <w:t>- полное соответствие поставляемого Товара условиям настоящего Договора.</w:t>
      </w:r>
    </w:p>
    <w:p>
      <w:pPr>
        <w:pStyle w:val="Normal"/>
        <w:tabs>
          <w:tab w:val="clear" w:pos="720"/>
          <w:tab w:val="left" w:pos="708" w:leader="none"/>
        </w:tabs>
        <w:jc w:val="both"/>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pPr>
        <w:pStyle w:val="Normal"/>
        <w:tabs>
          <w:tab w:val="clear" w:pos="720"/>
          <w:tab w:val="left" w:pos="708" w:leader="none"/>
          <w:tab w:val="left" w:pos="1701" w:leader="none"/>
        </w:tabs>
        <w:jc w:val="both"/>
        <w:rPr/>
      </w:pPr>
      <w:r>
        <w:rPr>
          <w:sz w:val="24"/>
          <w:szCs w:val="24"/>
        </w:rPr>
        <w:tab/>
        <w:t xml:space="preserve">3.5. Срок годности Товара на момент поставки должен составлять не менее </w:t>
      </w:r>
      <w:r>
        <w:rPr>
          <w:sz w:val="24"/>
          <w:szCs w:val="24"/>
          <w:highlight w:val="yellow"/>
        </w:rPr>
        <w:t>_______________</w:t>
      </w:r>
      <w:r>
        <w:rPr>
          <w:sz w:val="24"/>
          <w:szCs w:val="24"/>
        </w:rPr>
        <w:t xml:space="preserve">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pPr>
        <w:pStyle w:val="Normal"/>
        <w:tabs>
          <w:tab w:val="clear" w:pos="720"/>
          <w:tab w:val="left" w:pos="708" w:leader="none"/>
          <w:tab w:val="left" w:pos="1701" w:leader="none"/>
        </w:tabs>
        <w:jc w:val="both"/>
        <w:rPr>
          <w:sz w:val="24"/>
          <w:szCs w:val="24"/>
        </w:rPr>
      </w:pPr>
      <w:r>
        <w:rPr>
          <w:sz w:val="24"/>
          <w:szCs w:val="24"/>
        </w:rPr>
      </w:r>
    </w:p>
    <w:p>
      <w:pPr>
        <w:pStyle w:val="Normal"/>
        <w:jc w:val="center"/>
        <w:rPr/>
      </w:pPr>
      <w:r>
        <w:rPr>
          <w:b/>
          <w:sz w:val="24"/>
          <w:szCs w:val="24"/>
        </w:rPr>
        <w:t xml:space="preserve">4. ПОРЯДОК ПРИЕМКИ ТОВАРА, </w:t>
      </w:r>
    </w:p>
    <w:p>
      <w:pPr>
        <w:pStyle w:val="Normal"/>
        <w:jc w:val="center"/>
        <w:rPr/>
      </w:pPr>
      <w:r>
        <w:rPr>
          <w:b/>
          <w:sz w:val="24"/>
          <w:szCs w:val="24"/>
        </w:rPr>
        <w:t>ОФОРМЛЕНИЕ РЕЗУЛЬТАТОВ ПРИЕМКИ</w:t>
      </w:r>
    </w:p>
    <w:p>
      <w:pPr>
        <w:pStyle w:val="Normal"/>
        <w:ind w:firstLine="709"/>
        <w:jc w:val="both"/>
        <w:rPr/>
      </w:pPr>
      <w:r>
        <w:rPr>
          <w:sz w:val="24"/>
          <w:szCs w:val="24"/>
        </w:rPr>
        <w:t xml:space="preserve">4.1. Не позднее 20 (двадцати)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pPr>
        <w:pStyle w:val="Normal"/>
        <w:ind w:firstLine="709"/>
        <w:jc w:val="both"/>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pPr>
        <w:pStyle w:val="Normal"/>
        <w:ind w:firstLine="709"/>
        <w:jc w:val="both"/>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pPr>
        <w:pStyle w:val="Normal"/>
        <w:ind w:firstLine="709"/>
        <w:jc w:val="both"/>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pPr>
        <w:pStyle w:val="Normal"/>
        <w:ind w:firstLine="709"/>
        <w:jc w:val="both"/>
        <w:rPr/>
      </w:pPr>
      <w:r>
        <w:rPr>
          <w:sz w:val="24"/>
          <w:szCs w:val="24"/>
        </w:rPr>
        <w:t>Срок оформления и подписания Акта приемки (ф. 0510452) не должен превышать 10 (десяти) рабочих дней с даты поставки Товара.</w:t>
      </w:r>
    </w:p>
    <w:p>
      <w:pPr>
        <w:pStyle w:val="Normal"/>
        <w:ind w:firstLine="709"/>
        <w:jc w:val="both"/>
        <w:rPr/>
      </w:pPr>
      <w:r>
        <w:rPr>
          <w:sz w:val="24"/>
          <w:szCs w:val="24"/>
        </w:rPr>
        <w:t>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pPr>
        <w:pStyle w:val="Normal"/>
        <w:jc w:val="center"/>
        <w:rPr/>
      </w:pPr>
      <w:r>
        <w:rPr>
          <w:b/>
          <w:sz w:val="24"/>
          <w:szCs w:val="24"/>
        </w:rPr>
        <w:t>5. ЦЕНА ДОГОВОРА И ПОРЯДОК РАСЧЕТОВ</w:t>
      </w:r>
    </w:p>
    <w:p>
      <w:pPr>
        <w:pStyle w:val="Normal"/>
        <w:tabs>
          <w:tab w:val="clear" w:pos="720"/>
          <w:tab w:val="left" w:pos="709" w:leader="none"/>
        </w:tabs>
        <w:jc w:val="both"/>
        <w:rPr/>
      </w:pPr>
      <w:r>
        <w:rPr>
          <w:sz w:val="24"/>
          <w:szCs w:val="24"/>
        </w:rPr>
        <w:tab/>
        <w:t xml:space="preserve">5.1. Цена Договора составляет: </w:t>
      </w:r>
      <w:r>
        <w:rPr>
          <w:b/>
          <w:bCs/>
          <w:sz w:val="24"/>
          <w:szCs w:val="24"/>
          <w:highlight w:val="yellow"/>
        </w:rPr>
        <w:t>________________ (_______________________ рублей) 00 копеек, в том числе НДС по ставке ___%, что составляет - _______________ (_____________ рублей) ___ копеек.</w:t>
      </w:r>
      <w:r>
        <w:rPr>
          <w:b/>
          <w:bCs/>
          <w:sz w:val="24"/>
          <w:szCs w:val="24"/>
        </w:rPr>
        <w:t xml:space="preserve"> </w:t>
      </w:r>
      <w:r>
        <w:rPr>
          <w:sz w:val="24"/>
          <w:szCs w:val="24"/>
        </w:rPr>
        <w:t xml:space="preserve"> Оплата осуществляется за счет средств бюджетного учреждения:</w:t>
      </w:r>
    </w:p>
    <w:p>
      <w:pPr>
        <w:pStyle w:val="Normal"/>
        <w:ind w:firstLine="709"/>
        <w:jc w:val="both"/>
        <w:rPr/>
      </w:pPr>
      <w:r>
        <w:rPr>
          <w:sz w:val="24"/>
          <w:szCs w:val="24"/>
        </w:rPr>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pPr>
        <w:pStyle w:val="Normal"/>
        <w:ind w:firstLine="709"/>
        <w:jc w:val="both"/>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pPr>
        <w:pStyle w:val="Normal"/>
        <w:ind w:firstLine="709"/>
        <w:jc w:val="both"/>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pPr>
        <w:pStyle w:val="Normal"/>
        <w:ind w:firstLine="709"/>
        <w:jc w:val="both"/>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pPr>
        <w:pStyle w:val="Normal"/>
        <w:jc w:val="both"/>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pPr>
        <w:pStyle w:val="Normal"/>
        <w:tabs>
          <w:tab w:val="clear" w:pos="720"/>
          <w:tab w:val="left" w:pos="709" w:leader="none"/>
        </w:tabs>
        <w:spacing w:before="0" w:after="0"/>
        <w:ind w:firstLine="709"/>
        <w:contextualSpacing/>
        <w:jc w:val="both"/>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pPr>
        <w:pStyle w:val="Normal"/>
        <w:tabs>
          <w:tab w:val="clear" w:pos="720"/>
          <w:tab w:val="left" w:pos="709" w:leader="none"/>
        </w:tabs>
        <w:spacing w:before="0" w:after="0"/>
        <w:ind w:firstLine="709"/>
        <w:contextualSpacing/>
        <w:jc w:val="both"/>
        <w:rPr/>
      </w:pPr>
      <w:r>
        <w:rPr>
          <w:sz w:val="24"/>
          <w:szCs w:val="24"/>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pPr>
        <w:pStyle w:val="Normal"/>
        <w:tabs>
          <w:tab w:val="clear" w:pos="720"/>
          <w:tab w:val="left" w:pos="709" w:leader="none"/>
        </w:tabs>
        <w:spacing w:before="0" w:after="0"/>
        <w:ind w:firstLine="709"/>
        <w:contextualSpacing/>
        <w:jc w:val="both"/>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pPr>
        <w:pStyle w:val="Normal"/>
        <w:spacing w:before="0" w:after="0"/>
        <w:ind w:firstLine="709"/>
        <w:contextualSpacing/>
        <w:jc w:val="both"/>
        <w:rPr/>
      </w:pPr>
      <w:r>
        <w:rPr>
          <w:sz w:val="24"/>
          <w:szCs w:val="24"/>
        </w:rPr>
        <w:t xml:space="preserve">5.7. </w:t>
      </w:r>
      <w:r>
        <w:rPr>
          <w:color w:val="000000"/>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20"/>
          <w:tab w:val="left" w:pos="709" w:leader="none"/>
        </w:tabs>
        <w:spacing w:before="0" w:after="0"/>
        <w:contextualSpacing/>
        <w:jc w:val="both"/>
        <w:rPr>
          <w:sz w:val="24"/>
          <w:szCs w:val="24"/>
        </w:rPr>
      </w:pPr>
      <w:r>
        <w:rPr>
          <w:sz w:val="24"/>
          <w:szCs w:val="24"/>
        </w:rPr>
      </w:r>
    </w:p>
    <w:p>
      <w:pPr>
        <w:pStyle w:val="Normal"/>
        <w:jc w:val="center"/>
        <w:rPr/>
      </w:pPr>
      <w:r>
        <w:rPr>
          <w:b/>
          <w:sz w:val="24"/>
          <w:szCs w:val="24"/>
        </w:rPr>
        <w:t>6. ОТВЕТСТВЕННОСТЬ СТОРОН</w:t>
      </w:r>
    </w:p>
    <w:p>
      <w:pPr>
        <w:pStyle w:val="Style21"/>
        <w:tabs>
          <w:tab w:val="clear" w:pos="720"/>
          <w:tab w:val="left" w:pos="0" w:leader="none"/>
        </w:tabs>
        <w:spacing w:before="0" w:after="0"/>
        <w:ind w:firstLine="709"/>
        <w:jc w:val="both"/>
        <w:rPr/>
      </w:pPr>
      <w:r>
        <w:rPr>
          <w:sz w:val="24"/>
          <w:szCs w:val="24"/>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Style21"/>
        <w:tabs>
          <w:tab w:val="clear" w:pos="720"/>
          <w:tab w:val="left" w:pos="0" w:leader="none"/>
        </w:tabs>
        <w:spacing w:before="0" w:after="0"/>
        <w:ind w:firstLine="709"/>
        <w:jc w:val="both"/>
        <w:rPr/>
      </w:pPr>
      <w:r>
        <w:rPr>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pStyle w:val="Normal"/>
        <w:widowControl w:val="false"/>
        <w:tabs>
          <w:tab w:val="clear" w:pos="720"/>
          <w:tab w:val="left" w:pos="0" w:leader="none"/>
        </w:tabs>
        <w:ind w:firstLine="709"/>
        <w:jc w:val="both"/>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pPr>
        <w:pStyle w:val="ConsPlusNormal"/>
        <w:tabs>
          <w:tab w:val="clear" w:pos="720"/>
          <w:tab w:val="left" w:pos="0" w:leader="none"/>
        </w:tabs>
        <w:ind w:firstLine="709"/>
        <w:jc w:val="both"/>
        <w:rPr/>
      </w:pPr>
      <w:r>
        <w:rPr>
          <w:rFonts w:cs="Times New Roman" w:ascii="Times New Roman" w:hAnsi="Times New Roman"/>
          <w:sz w:val="24"/>
          <w:szCs w:val="24"/>
        </w:rPr>
        <w:tab/>
        <w:t xml:space="preserve">Размер штрафа устанавливается настоящим Договором в порядке, установленном Правительством Российской Федерации и составляет </w:t>
      </w:r>
      <w:r>
        <w:rPr>
          <w:rFonts w:cs="Times New Roman" w:ascii="Times New Roman" w:hAnsi="Times New Roman"/>
          <w:b/>
          <w:sz w:val="24"/>
          <w:szCs w:val="24"/>
        </w:rPr>
        <w:t>1000 (Одна тысяча) рублей 00 копеек.</w:t>
      </w:r>
    </w:p>
    <w:p>
      <w:pPr>
        <w:pStyle w:val="ConsPlusNormal"/>
        <w:tabs>
          <w:tab w:val="clear" w:pos="720"/>
          <w:tab w:val="left" w:pos="0" w:leader="none"/>
        </w:tabs>
        <w:ind w:firstLine="709"/>
        <w:jc w:val="both"/>
        <w:rPr/>
      </w:pPr>
      <w:r>
        <w:rPr>
          <w:rFonts w:cs="Times New Roman" w:ascii="Times New Roman" w:hAnsi="Times New Roman"/>
          <w:sz w:val="24"/>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pStyle w:val="Normal"/>
        <w:widowControl w:val="false"/>
        <w:tabs>
          <w:tab w:val="clear" w:pos="720"/>
          <w:tab w:val="left" w:pos="0" w:leader="none"/>
        </w:tabs>
        <w:ind w:firstLine="709"/>
        <w:jc w:val="both"/>
        <w:rPr/>
      </w:pPr>
      <w:r>
        <w:rPr>
          <w:sz w:val="24"/>
          <w:szCs w:val="24"/>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pStyle w:val="ConsPlusNormal"/>
        <w:tabs>
          <w:tab w:val="clear" w:pos="720"/>
          <w:tab w:val="left" w:pos="0" w:leader="none"/>
        </w:tabs>
        <w:ind w:firstLine="709"/>
        <w:jc w:val="both"/>
        <w:rPr/>
      </w:pPr>
      <w:r>
        <w:rPr>
          <w:rFonts w:cs="Times New Roman"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Pr>
          <w:rFonts w:cs="Times New Roman" w:ascii="Times New Roman" w:hAnsi="Times New Roman"/>
          <w:b/>
          <w:sz w:val="24"/>
          <w:szCs w:val="24"/>
        </w:rPr>
        <w:t>1000 (Одна тысяча) рублей 00 копеек</w:t>
      </w:r>
      <w:r>
        <w:rPr>
          <w:rFonts w:cs="Times New Roman" w:ascii="Times New Roman" w:hAnsi="Times New Roman"/>
          <w:sz w:val="24"/>
          <w:szCs w:val="24"/>
        </w:rPr>
        <w:t>.</w:t>
      </w:r>
    </w:p>
    <w:p>
      <w:pPr>
        <w:pStyle w:val="ConsPlusNormal"/>
        <w:tabs>
          <w:tab w:val="clear" w:pos="720"/>
          <w:tab w:val="left" w:pos="0" w:leader="none"/>
        </w:tabs>
        <w:ind w:firstLine="709"/>
        <w:jc w:val="both"/>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 xml:space="preserve">6.11. Право на взыскание неустоек (штрафов, пеней) по настоящему </w:t>
      </w:r>
      <w:r>
        <w:rPr>
          <w:sz w:val="24"/>
          <w:szCs w:val="24"/>
          <w:lang w:val="ru-RU"/>
        </w:rPr>
        <w:t>Договор</w:t>
      </w:r>
      <w:r>
        <w:rPr>
          <w:sz w:val="24"/>
          <w:szCs w:val="24"/>
        </w:rPr>
        <w:t>у подтверждается письменно, посредством направления требования об уплате неустоек (штрафов, пеней).</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 xml:space="preserve">6.12. Оплата неустойки (пени) не освобождает Стороны от исполнения принятых на себя обязательств по настоящему </w:t>
      </w:r>
      <w:r>
        <w:rPr>
          <w:sz w:val="24"/>
          <w:szCs w:val="24"/>
          <w:lang w:val="ru-RU"/>
        </w:rPr>
        <w:t>Договор</w:t>
      </w:r>
      <w:r>
        <w:rPr>
          <w:sz w:val="24"/>
          <w:szCs w:val="24"/>
        </w:rPr>
        <w:t>у.</w:t>
      </w:r>
    </w:p>
    <w:p>
      <w:pPr>
        <w:pStyle w:val="Normal"/>
        <w:tabs>
          <w:tab w:val="clear" w:pos="720"/>
          <w:tab w:val="left" w:pos="0" w:leader="none"/>
          <w:tab w:val="left" w:pos="284" w:leader="none"/>
        </w:tabs>
        <w:spacing w:before="0" w:after="0"/>
        <w:ind w:firstLine="709"/>
        <w:contextualSpacing/>
        <w:jc w:val="both"/>
        <w:rPr/>
      </w:pPr>
      <w:r>
        <w:rPr>
          <w:sz w:val="24"/>
          <w:szCs w:val="24"/>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pPr>
        <w:pStyle w:val="Normal"/>
        <w:ind w:left="360" w:hanging="0"/>
        <w:jc w:val="both"/>
        <w:rPr>
          <w:sz w:val="24"/>
          <w:szCs w:val="24"/>
        </w:rPr>
      </w:pPr>
      <w:r>
        <w:rPr>
          <w:sz w:val="24"/>
          <w:szCs w:val="24"/>
        </w:rPr>
      </w:r>
    </w:p>
    <w:p>
      <w:pPr>
        <w:pStyle w:val="Normal"/>
        <w:jc w:val="center"/>
        <w:rPr/>
      </w:pPr>
      <w:r>
        <w:rPr>
          <w:b/>
          <w:sz w:val="24"/>
          <w:szCs w:val="24"/>
        </w:rPr>
        <w:t>7. ФОРС-МАЖОР</w:t>
      </w:r>
    </w:p>
    <w:p>
      <w:pPr>
        <w:pStyle w:val="Normal"/>
        <w:ind w:firstLine="709"/>
        <w:jc w:val="both"/>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pPr>
        <w:pStyle w:val="Normal"/>
        <w:ind w:firstLine="709"/>
        <w:jc w:val="both"/>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pPr>
        <w:pStyle w:val="Normal"/>
        <w:ind w:firstLine="709"/>
        <w:jc w:val="both"/>
        <w:rPr/>
      </w:pPr>
      <w:r>
        <w:rPr>
          <w:sz w:val="24"/>
          <w:szCs w:val="24"/>
        </w:rPr>
        <w:t>7.3. Факты, изложенные в уведомлении, должны быть подтверждены соответствующим компетентным органом или организацией. 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pPr>
        <w:pStyle w:val="Normal"/>
        <w:ind w:firstLine="709"/>
        <w:jc w:val="both"/>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pPr>
        <w:pStyle w:val="Normal"/>
        <w:ind w:left="283" w:hanging="0"/>
        <w:jc w:val="both"/>
        <w:rPr>
          <w:sz w:val="24"/>
          <w:szCs w:val="24"/>
        </w:rPr>
      </w:pPr>
      <w:r>
        <w:rPr>
          <w:sz w:val="24"/>
          <w:szCs w:val="24"/>
        </w:rPr>
      </w:r>
    </w:p>
    <w:p>
      <w:pPr>
        <w:pStyle w:val="Normal"/>
        <w:jc w:val="center"/>
        <w:rPr/>
      </w:pPr>
      <w:r>
        <w:rPr>
          <w:b/>
          <w:sz w:val="24"/>
          <w:szCs w:val="24"/>
        </w:rPr>
        <w:t>8. ПОРЯДОК РАССМОТРЕНИЯ СПОРОВ</w:t>
      </w:r>
    </w:p>
    <w:p>
      <w:pPr>
        <w:pStyle w:val="Style21"/>
        <w:spacing w:before="0" w:after="0"/>
        <w:ind w:firstLine="709"/>
        <w:jc w:val="both"/>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pPr>
        <w:pStyle w:val="Style21"/>
        <w:spacing w:before="0" w:after="0"/>
        <w:ind w:firstLine="709"/>
        <w:jc w:val="both"/>
        <w:rPr/>
      </w:pPr>
      <w:r>
        <w:rPr>
          <w:sz w:val="24"/>
          <w:szCs w:val="24"/>
        </w:rPr>
        <w:t>8.2. Не урегулированные споры между Сторонами подлежат разрешению в Арбитражном суде Чувашской Республики.</w:t>
      </w:r>
    </w:p>
    <w:p>
      <w:pPr>
        <w:pStyle w:val="Style21"/>
        <w:spacing w:before="0" w:after="0"/>
        <w:ind w:firstLine="709"/>
        <w:jc w:val="both"/>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pPr>
        <w:pStyle w:val="Style21"/>
        <w:spacing w:before="0" w:after="0"/>
        <w:ind w:left="357" w:hanging="357"/>
        <w:jc w:val="both"/>
        <w:rPr>
          <w:sz w:val="24"/>
          <w:szCs w:val="24"/>
        </w:rPr>
      </w:pPr>
      <w:r>
        <w:rPr>
          <w:sz w:val="24"/>
          <w:szCs w:val="24"/>
        </w:rPr>
      </w:r>
    </w:p>
    <w:p>
      <w:pPr>
        <w:pStyle w:val="Normal"/>
        <w:jc w:val="center"/>
        <w:rPr/>
      </w:pPr>
      <w:r>
        <w:rPr>
          <w:b/>
          <w:sz w:val="24"/>
          <w:szCs w:val="24"/>
        </w:rPr>
        <w:t>9. СРОК ДЕЙСТВИЯ ДОГОВОРА</w:t>
      </w:r>
    </w:p>
    <w:p>
      <w:pPr>
        <w:pStyle w:val="Style22"/>
        <w:ind w:left="0" w:firstLine="709"/>
        <w:jc w:val="both"/>
        <w:rPr/>
      </w:pPr>
      <w:r>
        <w:rPr>
          <w:sz w:val="24"/>
          <w:szCs w:val="24"/>
        </w:rPr>
        <w:t>9.1. Настоящий Договор вступает в силу с даты подписания Сторонами настоящего Договора и действует по 31 декабря 2026 года.</w:t>
      </w:r>
    </w:p>
    <w:p>
      <w:pPr>
        <w:pStyle w:val="Normal"/>
        <w:ind w:firstLine="709"/>
        <w:jc w:val="both"/>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pPr>
        <w:pStyle w:val="Normal"/>
        <w:jc w:val="center"/>
        <w:rPr/>
      </w:pPr>
      <w:r>
        <w:rPr>
          <w:b/>
          <w:sz w:val="24"/>
          <w:szCs w:val="24"/>
        </w:rPr>
        <w:t>10.</w:t>
      </w:r>
      <w:r>
        <w:rPr>
          <w:sz w:val="24"/>
          <w:szCs w:val="24"/>
        </w:rPr>
        <w:t xml:space="preserve"> </w:t>
      </w:r>
      <w:r>
        <w:rPr>
          <w:b/>
          <w:sz w:val="24"/>
          <w:szCs w:val="24"/>
        </w:rPr>
        <w:t>ИЗМЕНЕНИЕ И РАСТОРЖЕНИЕ ДОГОВОРА</w:t>
      </w:r>
    </w:p>
    <w:p>
      <w:pPr>
        <w:pStyle w:val="Style22"/>
        <w:ind w:left="0" w:firstLine="709"/>
        <w:jc w:val="both"/>
        <w:rPr/>
      </w:pPr>
      <w:r>
        <w:rPr>
          <w:sz w:val="24"/>
          <w:szCs w:val="24"/>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pPr>
        <w:pStyle w:val="Normal"/>
        <w:tabs>
          <w:tab w:val="clear" w:pos="720"/>
          <w:tab w:val="left" w:pos="0" w:leader="none"/>
        </w:tabs>
        <w:ind w:firstLine="709"/>
        <w:jc w:val="both"/>
        <w:rPr/>
      </w:pPr>
      <w:r>
        <w:rPr>
          <w:sz w:val="24"/>
          <w:szCs w:val="24"/>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tabs>
          <w:tab w:val="clear" w:pos="720"/>
          <w:tab w:val="left" w:pos="0" w:leader="none"/>
        </w:tabs>
        <w:ind w:firstLine="709"/>
        <w:jc w:val="both"/>
        <w:rPr/>
      </w:pPr>
      <w:r>
        <w:rPr>
          <w:sz w:val="24"/>
          <w:szCs w:val="24"/>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pPr>
        <w:pStyle w:val="Normal"/>
        <w:ind w:firstLine="709"/>
        <w:jc w:val="both"/>
        <w:rPr/>
      </w:pPr>
      <w:r>
        <w:rPr>
          <w:sz w:val="24"/>
          <w:szCs w:val="24"/>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pPr>
        <w:pStyle w:val="Normal"/>
        <w:tabs>
          <w:tab w:val="clear" w:pos="720"/>
          <w:tab w:val="left" w:pos="426" w:leader="none"/>
        </w:tabs>
        <w:ind w:firstLine="709"/>
        <w:jc w:val="both"/>
        <w:rPr/>
      </w:pPr>
      <w:r>
        <w:rPr>
          <w:sz w:val="24"/>
          <w:szCs w:val="24"/>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pPr>
        <w:pStyle w:val="Normal"/>
        <w:ind w:firstLine="709"/>
        <w:jc w:val="both"/>
        <w:rPr/>
      </w:pPr>
      <w:r>
        <w:rPr>
          <w:sz w:val="24"/>
          <w:szCs w:val="24"/>
        </w:rPr>
        <w:t>отказ поставщика передать заказчику товар или принадлежности к нему (пункт 1 статьи 463, абзац второй статьи 464 ГК РФ);</w:t>
      </w:r>
    </w:p>
    <w:p>
      <w:pPr>
        <w:pStyle w:val="Normal"/>
        <w:ind w:firstLine="709"/>
        <w:jc w:val="both"/>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ind w:firstLine="709"/>
        <w:jc w:val="both"/>
        <w:rPr/>
      </w:pPr>
      <w:r>
        <w:rPr>
          <w:sz w:val="24"/>
          <w:szCs w:val="24"/>
        </w:rPr>
        <w:t>невыполнение поставщиком в разумный срок требования заказчика о доукомплектовании товара (пункт 1 статьи 480 ГК РФ);</w:t>
      </w:r>
    </w:p>
    <w:p>
      <w:pPr>
        <w:pStyle w:val="Normal"/>
        <w:ind w:firstLine="709"/>
        <w:jc w:val="both"/>
        <w:rPr/>
      </w:pPr>
      <w:r>
        <w:rPr>
          <w:sz w:val="24"/>
          <w:szCs w:val="24"/>
        </w:rPr>
        <w:t>неоднократное нарушение поставщиком сроков поставки товаров (пункт 2 статьи 523 ГК РФ).</w:t>
      </w:r>
    </w:p>
    <w:p>
      <w:pPr>
        <w:pStyle w:val="Normal"/>
        <w:jc w:val="center"/>
        <w:rPr/>
      </w:pPr>
      <w:r>
        <w:rPr>
          <w:b/>
          <w:sz w:val="24"/>
          <w:szCs w:val="24"/>
        </w:rPr>
        <w:t>11. ПРОЧИЕ УСЛОВИЯ</w:t>
      </w:r>
    </w:p>
    <w:p>
      <w:pPr>
        <w:pStyle w:val="Normal"/>
        <w:ind w:firstLine="709"/>
        <w:jc w:val="both"/>
        <w:rPr/>
      </w:pPr>
      <w:r>
        <w:rPr>
          <w:sz w:val="24"/>
          <w:szCs w:val="24"/>
        </w:rPr>
        <w:t xml:space="preserve">11.1. Заказчик устанавливает единые требования к Поставщику в соответствии с п.п. 3 - 5, 7, 7.1, 9 - 11 ч. 1 ст. 31 Федерального закона № 44-ФЗ. </w:t>
      </w:r>
    </w:p>
    <w:p>
      <w:pPr>
        <w:pStyle w:val="Normal"/>
        <w:ind w:right="-2" w:firstLine="709"/>
        <w:jc w:val="both"/>
        <w:rPr/>
      </w:pPr>
      <w:r>
        <w:rPr>
          <w:sz w:val="24"/>
          <w:szCs w:val="24"/>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pPr>
        <w:pStyle w:val="Normal"/>
        <w:ind w:right="-2" w:firstLine="709"/>
        <w:jc w:val="both"/>
        <w:rPr/>
      </w:pPr>
      <w:r>
        <w:rPr>
          <w:sz w:val="24"/>
          <w:szCs w:val="24"/>
        </w:rPr>
        <w:t xml:space="preserve">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13 настоящего Договора. </w:t>
      </w:r>
    </w:p>
    <w:p>
      <w:pPr>
        <w:pStyle w:val="Normal"/>
        <w:ind w:right="-2" w:firstLine="709"/>
        <w:jc w:val="both"/>
        <w:rPr/>
      </w:pPr>
      <w:r>
        <w:rPr>
          <w:sz w:val="24"/>
          <w:szCs w:val="24"/>
        </w:rPr>
        <w:t>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pPr>
        <w:pStyle w:val="Normal"/>
        <w:shd w:val="clear" w:color="auto" w:fill="FFFFFF"/>
        <w:ind w:right="-2" w:firstLine="709"/>
        <w:jc w:val="both"/>
        <w:rPr/>
      </w:pPr>
      <w:r>
        <w:rPr>
          <w:sz w:val="24"/>
          <w:szCs w:val="24"/>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pPr>
        <w:pStyle w:val="NoSpacing"/>
        <w:ind w:right="-2" w:firstLine="709"/>
        <w:rPr/>
      </w:pPr>
      <w:r>
        <w:rPr/>
        <w:t xml:space="preserve">11.6.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pPr>
        <w:pStyle w:val="Normal"/>
        <w:jc w:val="center"/>
        <w:rPr>
          <w:b/>
          <w:b/>
          <w:spacing w:val="-1"/>
          <w:sz w:val="24"/>
          <w:szCs w:val="24"/>
        </w:rPr>
      </w:pPr>
      <w:r>
        <w:rPr>
          <w:b/>
          <w:spacing w:val="-1"/>
          <w:sz w:val="24"/>
          <w:szCs w:val="24"/>
        </w:rPr>
      </w:r>
    </w:p>
    <w:p>
      <w:pPr>
        <w:pStyle w:val="Normal"/>
        <w:jc w:val="center"/>
        <w:rPr/>
      </w:pPr>
      <w:r>
        <w:rPr>
          <w:b/>
          <w:sz w:val="24"/>
          <w:szCs w:val="24"/>
        </w:rPr>
        <w:t>12. РЕКВИЗИТЫ И ПОДПИСИ СТОРОН</w:t>
      </w:r>
    </w:p>
    <w:tbl>
      <w:tblPr>
        <w:tblW w:w="1025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069"/>
        <w:gridCol w:w="5186"/>
      </w:tblGrid>
      <w:tr>
        <w:trPr>
          <w:trHeight w:val="5954" w:hRule="atLeast"/>
        </w:trPr>
        <w:tc>
          <w:tcPr>
            <w:tcW w:w="5069" w:type="dxa"/>
            <w:tcBorders/>
            <w:shd w:color="auto" w:fill="auto" w:val="clear"/>
          </w:tcPr>
          <w:p>
            <w:pPr>
              <w:pStyle w:val="Style25"/>
              <w:widowControl w:val="false"/>
              <w:rPr/>
            </w:pPr>
            <w:r>
              <w:rPr>
                <w:rFonts w:cs="Times New Roman" w:ascii="Times New Roman" w:hAnsi="Times New Roman"/>
                <w:b/>
                <w:bCs/>
                <w:spacing w:val="-8"/>
                <w:sz w:val="24"/>
                <w:szCs w:val="24"/>
                <w:lang w:val="ru-RU" w:eastAsia="ru-RU"/>
              </w:rPr>
              <w:t xml:space="preserve">ПОСТАВЩИК: </w:t>
            </w:r>
            <w:r>
              <w:rPr>
                <w:rFonts w:cs="Times New Roman" w:ascii="Times New Roman" w:hAnsi="Times New Roman"/>
                <w:sz w:val="24"/>
                <w:szCs w:val="24"/>
                <w:lang w:val="ru-RU" w:eastAsia="ru-RU"/>
              </w:rPr>
              <w:t xml:space="preserve"> </w:t>
            </w:r>
            <w:r>
              <w:rPr>
                <w:rFonts w:cs="Times New Roman" w:ascii="Times New Roman" w:hAnsi="Times New Roman"/>
                <w:b/>
                <w:sz w:val="24"/>
                <w:szCs w:val="24"/>
                <w:lang w:val="ru-RU" w:eastAsia="ru-RU"/>
              </w:rPr>
              <w:t xml:space="preserve"> </w:t>
            </w:r>
          </w:p>
          <w:p>
            <w:pPr>
              <w:pStyle w:val="NoSpacing"/>
              <w:keepNext w:val="true"/>
              <w:keepLines/>
              <w:widowControl w:val="false"/>
              <w:tabs>
                <w:tab w:val="clear" w:pos="720"/>
                <w:tab w:val="left" w:pos="284" w:leader="none"/>
              </w:tabs>
              <w:spacing w:lineRule="auto" w:line="252"/>
              <w:jc w:val="left"/>
              <w:rPr>
                <w:b/>
                <w:b/>
                <w:lang w:eastAsia="ru-RU"/>
              </w:rPr>
            </w:pPr>
            <w:r>
              <w:rPr>
                <w:b/>
                <w:lang w:eastAsia="ru-RU"/>
              </w:rPr>
            </w:r>
          </w:p>
          <w:p>
            <w:pPr>
              <w:pStyle w:val="Normal"/>
              <w:widowControl w:val="false"/>
              <w:spacing w:before="0" w:after="0"/>
              <w:contextualSpacing/>
              <w:rPr>
                <w:b/>
                <w:b/>
                <w:sz w:val="24"/>
                <w:szCs w:val="24"/>
                <w:lang w:eastAsia="ru-RU"/>
              </w:rPr>
            </w:pPr>
            <w:r>
              <w:rPr>
                <w:b/>
                <w:sz w:val="24"/>
                <w:szCs w:val="24"/>
                <w:lang w:eastAsia="ru-RU"/>
              </w:rPr>
            </w:r>
          </w:p>
          <w:p>
            <w:pPr>
              <w:pStyle w:val="Normal"/>
              <w:widowControl w:val="false"/>
              <w:spacing w:before="0" w:after="0"/>
              <w:contextualSpacing/>
              <w:rPr/>
            </w:pPr>
            <w:r>
              <w:rPr>
                <w:sz w:val="24"/>
                <w:szCs w:val="24"/>
              </w:rPr>
              <w:t xml:space="preserve">Юридический адрес: </w:t>
            </w:r>
          </w:p>
          <w:p>
            <w:pPr>
              <w:pStyle w:val="Normal"/>
              <w:widowControl w:val="false"/>
              <w:spacing w:before="0" w:after="0"/>
              <w:contextualSpacing/>
              <w:rPr/>
            </w:pPr>
            <w:r>
              <w:rPr>
                <w:sz w:val="24"/>
                <w:szCs w:val="24"/>
              </w:rPr>
              <w:t xml:space="preserve">Почтовый адрес: </w:t>
            </w:r>
          </w:p>
          <w:p>
            <w:pPr>
              <w:pStyle w:val="Normal"/>
              <w:widowControl w:val="false"/>
              <w:spacing w:before="0" w:after="0"/>
              <w:contextualSpacing/>
              <w:rPr/>
            </w:pPr>
            <w:r>
              <w:rPr>
                <w:sz w:val="24"/>
                <w:szCs w:val="24"/>
              </w:rPr>
              <w:t xml:space="preserve">ИНН       КПП </w:t>
            </w:r>
          </w:p>
          <w:p>
            <w:pPr>
              <w:pStyle w:val="Normal"/>
              <w:widowControl w:val="false"/>
              <w:spacing w:before="0" w:after="0"/>
              <w:contextualSpacing/>
              <w:rPr/>
            </w:pPr>
            <w:r>
              <w:rPr>
                <w:sz w:val="24"/>
                <w:szCs w:val="24"/>
              </w:rPr>
              <w:t xml:space="preserve">р/с </w:t>
            </w:r>
          </w:p>
          <w:p>
            <w:pPr>
              <w:pStyle w:val="Normal"/>
              <w:widowControl w:val="false"/>
              <w:spacing w:before="0" w:after="0"/>
              <w:contextualSpacing/>
              <w:rPr/>
            </w:pPr>
            <w:r>
              <w:rPr>
                <w:sz w:val="24"/>
                <w:szCs w:val="24"/>
              </w:rPr>
              <w:t xml:space="preserve">к/с </w:t>
            </w:r>
          </w:p>
          <w:p>
            <w:pPr>
              <w:pStyle w:val="Normal"/>
              <w:widowControl w:val="false"/>
              <w:spacing w:before="0" w:after="0"/>
              <w:contextualSpacing/>
              <w:rPr/>
            </w:pPr>
            <w:r>
              <w:rPr>
                <w:sz w:val="24"/>
                <w:szCs w:val="24"/>
              </w:rPr>
              <w:t xml:space="preserve">БИК </w:t>
            </w:r>
          </w:p>
          <w:p>
            <w:pPr>
              <w:pStyle w:val="Normal"/>
              <w:widowControl w:val="false"/>
              <w:spacing w:before="0" w:after="0"/>
              <w:contextualSpacing/>
              <w:rPr/>
            </w:pPr>
            <w:r>
              <w:rPr>
                <w:sz w:val="24"/>
                <w:szCs w:val="24"/>
              </w:rPr>
              <w:t xml:space="preserve">Тел.: </w:t>
            </w:r>
          </w:p>
          <w:p>
            <w:pPr>
              <w:pStyle w:val="Normal"/>
              <w:widowControl w:val="false"/>
              <w:spacing w:before="0" w:after="0"/>
              <w:contextualSpacing/>
              <w:rPr/>
            </w:pPr>
            <w:r>
              <w:rPr>
                <w:sz w:val="24"/>
                <w:szCs w:val="24"/>
              </w:rPr>
              <w:t xml:space="preserve">Электронный адрес: </w:t>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sz w:val="24"/>
                <w:szCs w:val="24"/>
              </w:rPr>
              <w:t>______________/ _____________ /</w:t>
            </w:r>
          </w:p>
          <w:p>
            <w:pPr>
              <w:pStyle w:val="Normal"/>
              <w:widowControl w:val="false"/>
              <w:rPr>
                <w:bCs/>
                <w:sz w:val="24"/>
                <w:szCs w:val="24"/>
              </w:rPr>
            </w:pPr>
            <w:r>
              <w:rPr>
                <w:bCs/>
                <w:sz w:val="24"/>
                <w:szCs w:val="24"/>
              </w:rPr>
            </w:r>
          </w:p>
        </w:tc>
        <w:tc>
          <w:tcPr>
            <w:tcW w:w="5186" w:type="dxa"/>
            <w:tcBorders/>
            <w:shd w:color="auto" w:fill="auto" w:val="clear"/>
          </w:tcPr>
          <w:p>
            <w:pPr>
              <w:pStyle w:val="Normal"/>
              <w:widowControl w:val="false"/>
              <w:ind w:left="709" w:right="684" w:hanging="0"/>
              <w:rPr/>
            </w:pPr>
            <w:r>
              <w:rPr>
                <w:b/>
                <w:sz w:val="24"/>
                <w:szCs w:val="24"/>
              </w:rPr>
              <w:t xml:space="preserve">ЗАКАЗЧИК: </w:t>
            </w:r>
          </w:p>
          <w:p>
            <w:pPr>
              <w:pStyle w:val="Normal"/>
              <w:widowControl w:val="false"/>
              <w:ind w:left="709" w:right="684" w:hanging="0"/>
              <w:rPr>
                <w:b/>
                <w:b/>
                <w:sz w:val="24"/>
                <w:szCs w:val="24"/>
              </w:rPr>
            </w:pPr>
            <w:r>
              <w:rPr>
                <w:b/>
                <w:sz w:val="24"/>
                <w:szCs w:val="24"/>
              </w:rPr>
            </w:r>
          </w:p>
          <w:tbl>
            <w:tblPr>
              <w:tblW w:w="5299"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299"/>
            </w:tblGrid>
            <w:tr>
              <w:trPr>
                <w:trHeight w:val="215" w:hRule="atLeast"/>
              </w:trPr>
              <w:tc>
                <w:tcPr>
                  <w:tcW w:w="5299" w:type="dxa"/>
                  <w:tcBorders/>
                  <w:shd w:color="auto" w:fill="auto" w:val="clear"/>
                </w:tcPr>
                <w:p>
                  <w:pPr>
                    <w:pStyle w:val="Standard"/>
                    <w:widowControl w:val="false"/>
                    <w:snapToGrid w:val="false"/>
                    <w:rPr/>
                  </w:pPr>
                  <w:r>
                    <w:rPr/>
                  </w:r>
                </w:p>
                <w:p>
                  <w:pPr>
                    <w:pStyle w:val="Standard"/>
                    <w:widowControl w:val="false"/>
                    <w:rPr/>
                  </w:pPr>
                  <w:r>
                    <w:rPr>
                      <w:b/>
                      <w:sz w:val="22"/>
                    </w:rPr>
                    <w:t xml:space="preserve"> </w:t>
                  </w:r>
                  <w:r>
                    <w:rPr>
                      <w:b/>
                      <w:sz w:val="22"/>
                      <w:szCs w:val="22"/>
                      <w:lang w:eastAsia="en-US"/>
                    </w:rPr>
                    <w:t>ФГБУ «ФЦТОЭ» Минздрава России (г. Чебоксары)</w:t>
                  </w:r>
                </w:p>
                <w:p>
                  <w:pPr>
                    <w:pStyle w:val="Normal"/>
                    <w:widowControl w:val="false"/>
                    <w:rPr/>
                  </w:pPr>
                  <w:r>
                    <w:rPr>
                      <w:sz w:val="22"/>
                      <w:szCs w:val="22"/>
                    </w:rPr>
                    <w:t>Адрес: 428020, Чувашская Республика-Чувашия, г. Чебоксары, ул. Федора Гладкова, д. 33ИНН 2130037189 КПП 213001001</w:t>
                  </w:r>
                </w:p>
                <w:p>
                  <w:pPr>
                    <w:pStyle w:val="Normal"/>
                    <w:widowControl w:val="false"/>
                    <w:rPr/>
                  </w:pPr>
                  <w:r>
                    <w:rPr>
                      <w:sz w:val="22"/>
                      <w:szCs w:val="22"/>
                    </w:rPr>
                    <w:t>Реквизиты счета:</w:t>
                  </w:r>
                </w:p>
                <w:p>
                  <w:pPr>
                    <w:pStyle w:val="Normal"/>
                    <w:widowControl w:val="false"/>
                    <w:rPr/>
                  </w:pPr>
                  <w:r>
                    <w:rPr>
                      <w:sz w:val="22"/>
                      <w:szCs w:val="22"/>
                    </w:rPr>
                    <w:t xml:space="preserve">Получатель: </w:t>
                  </w:r>
                  <w:r>
                    <w:rPr>
                      <w:sz w:val="22"/>
                      <w:szCs w:val="22"/>
                      <w:lang w:eastAsia="en-US"/>
                    </w:rPr>
                    <w:t>УФК по Нижегородской области (ФГБУ "ФЦТОЭ" МИНЗДРАВА РОССИИ (Г. ЧЕБОКСАРЫ), л/с 20156У38970, 21156У38970, 22156У38970)</w:t>
                  </w:r>
                </w:p>
                <w:p>
                  <w:pPr>
                    <w:pStyle w:val="Normal"/>
                    <w:widowControl w:val="false"/>
                    <w:tabs>
                      <w:tab w:val="clear" w:pos="720"/>
                      <w:tab w:val="left" w:pos="0" w:leader="none"/>
                    </w:tabs>
                    <w:ind w:right="601" w:hanging="0"/>
                    <w:rPr/>
                  </w:pPr>
                  <w:r>
                    <w:rPr>
                      <w:sz w:val="22"/>
                      <w:szCs w:val="22"/>
                      <w:lang w:eastAsia="en-US"/>
                    </w:rPr>
                    <w:t>Казначейский счет – 03214643000000013201</w:t>
                  </w:r>
                </w:p>
                <w:p>
                  <w:pPr>
                    <w:pStyle w:val="Normal"/>
                    <w:widowControl w:val="false"/>
                    <w:tabs>
                      <w:tab w:val="clear" w:pos="720"/>
                      <w:tab w:val="left" w:pos="0" w:leader="none"/>
                    </w:tabs>
                    <w:ind w:right="601" w:hanging="0"/>
                    <w:rPr/>
                  </w:pPr>
                  <w:r>
                    <w:rPr>
                      <w:sz w:val="22"/>
                      <w:szCs w:val="22"/>
                      <w:lang w:eastAsia="en-US"/>
                    </w:rPr>
                    <w:t>Банк получателя: ОКЦ № 1 ВВГУ Банка России//УФК по Нижегородской области, г. Нижний Новгород</w:t>
                  </w:r>
                </w:p>
                <w:p>
                  <w:pPr>
                    <w:pStyle w:val="Normal"/>
                    <w:widowControl w:val="false"/>
                    <w:tabs>
                      <w:tab w:val="clear" w:pos="720"/>
                      <w:tab w:val="left" w:pos="0" w:leader="none"/>
                    </w:tabs>
                    <w:ind w:right="601" w:hanging="0"/>
                    <w:rPr/>
                  </w:pPr>
                  <w:r>
                    <w:rPr>
                      <w:sz w:val="22"/>
                      <w:szCs w:val="22"/>
                      <w:lang w:eastAsia="en-US"/>
                    </w:rPr>
                    <w:t>Корреспондентский счет: 40102810745370000024</w:t>
                  </w:r>
                </w:p>
                <w:p>
                  <w:pPr>
                    <w:pStyle w:val="Normal"/>
                    <w:widowControl w:val="false"/>
                    <w:tabs>
                      <w:tab w:val="clear" w:pos="720"/>
                      <w:tab w:val="left" w:pos="0" w:leader="none"/>
                    </w:tabs>
                    <w:ind w:right="601" w:hanging="0"/>
                    <w:rPr/>
                  </w:pPr>
                  <w:r>
                    <w:rPr>
                      <w:sz w:val="22"/>
                      <w:szCs w:val="22"/>
                      <w:lang w:eastAsia="en-US"/>
                    </w:rPr>
                    <w:t>БИК - 012202102</w:t>
                  </w:r>
                </w:p>
                <w:p>
                  <w:pPr>
                    <w:pStyle w:val="Normal"/>
                    <w:widowControl w:val="false"/>
                    <w:tabs>
                      <w:tab w:val="clear" w:pos="720"/>
                      <w:tab w:val="left" w:pos="0" w:leader="none"/>
                    </w:tabs>
                    <w:ind w:right="601" w:hanging="0"/>
                    <w:rPr/>
                  </w:pPr>
                  <w:r>
                    <w:rPr>
                      <w:sz w:val="22"/>
                      <w:szCs w:val="22"/>
                      <w:lang w:eastAsia="en-US"/>
                    </w:rPr>
                    <w:t>Код ТОФК 1500</w:t>
                  </w:r>
                </w:p>
                <w:p>
                  <w:pPr>
                    <w:pStyle w:val="Normal"/>
                    <w:widowControl w:val="false"/>
                    <w:tabs>
                      <w:tab w:val="clear" w:pos="720"/>
                      <w:tab w:val="left" w:pos="0" w:leader="none"/>
                    </w:tabs>
                    <w:ind w:right="601" w:hanging="0"/>
                    <w:rPr/>
                  </w:pPr>
                  <w:r>
                    <w:rPr>
                      <w:sz w:val="22"/>
                      <w:szCs w:val="22"/>
                      <w:lang w:eastAsia="en-US"/>
                    </w:rPr>
                    <w:t>Заместитель главного врача по финансово-экономическим вопросам и закупкам.</w:t>
                  </w:r>
                </w:p>
                <w:p>
                  <w:pPr>
                    <w:pStyle w:val="Normal"/>
                    <w:widowControl w:val="false"/>
                    <w:tabs>
                      <w:tab w:val="clear" w:pos="720"/>
                      <w:tab w:val="left" w:pos="0" w:leader="none"/>
                    </w:tabs>
                    <w:ind w:right="601" w:hanging="0"/>
                    <w:rPr>
                      <w:sz w:val="22"/>
                      <w:szCs w:val="22"/>
                      <w:lang w:eastAsia="en-US"/>
                    </w:rPr>
                  </w:pPr>
                  <w:r>
                    <w:rPr>
                      <w:sz w:val="22"/>
                      <w:szCs w:val="22"/>
                      <w:lang w:eastAsia="en-US"/>
                    </w:rPr>
                  </w:r>
                </w:p>
                <w:p>
                  <w:pPr>
                    <w:pStyle w:val="Normal"/>
                    <w:keepNext w:val="true"/>
                    <w:keepLines/>
                    <w:widowControl w:val="false"/>
                    <w:tabs>
                      <w:tab w:val="clear" w:pos="720"/>
                      <w:tab w:val="left" w:pos="0" w:leader="none"/>
                    </w:tabs>
                    <w:ind w:right="601" w:hanging="0"/>
                    <w:rPr/>
                  </w:pPr>
                  <w:r>
                    <w:rPr>
                      <w:sz w:val="22"/>
                      <w:szCs w:val="22"/>
                      <w:lang w:eastAsia="en-US"/>
                    </w:rPr>
                    <w:t>________________ / А.Н. Деверинский/</w:t>
                  </w:r>
                </w:p>
              </w:tc>
            </w:tr>
          </w:tbl>
          <w:p>
            <w:pPr>
              <w:pStyle w:val="Normal"/>
              <w:widowControl w:val="false"/>
              <w:ind w:left="709" w:hanging="0"/>
              <w:rPr>
                <w:sz w:val="24"/>
                <w:szCs w:val="24"/>
              </w:rPr>
            </w:pPr>
            <w:r>
              <w:rPr>
                <w:sz w:val="24"/>
                <w:szCs w:val="24"/>
              </w:rPr>
            </w:r>
          </w:p>
        </w:tc>
      </w:tr>
    </w:tbl>
    <w:p>
      <w:pPr>
        <w:sectPr>
          <w:footerReference w:type="default" r:id="rId2"/>
          <w:type w:val="nextPage"/>
          <w:pgSz w:w="11906" w:h="16838"/>
          <w:pgMar w:left="993" w:right="567" w:header="0" w:top="1134" w:footer="283" w:bottom="1134" w:gutter="0"/>
          <w:pgNumType w:fmt="decimal"/>
          <w:formProt w:val="false"/>
          <w:textDirection w:val="lrTb"/>
          <w:docGrid w:type="default" w:linePitch="272" w:charSpace="8192"/>
        </w:sectPr>
      </w:pPr>
    </w:p>
    <w:p>
      <w:pPr>
        <w:pStyle w:val="Normal"/>
        <w:jc w:val="right"/>
        <w:rPr/>
      </w:pPr>
      <w:r>
        <w:rPr>
          <w:bCs/>
          <w:sz w:val="24"/>
          <w:szCs w:val="24"/>
        </w:rPr>
        <w:t>Приложение №1</w:t>
      </w:r>
    </w:p>
    <w:p>
      <w:pPr>
        <w:pStyle w:val="Normal"/>
        <w:ind w:right="17" w:hanging="0"/>
        <w:jc w:val="right"/>
        <w:rPr/>
      </w:pPr>
      <w:r>
        <w:rPr>
          <w:bCs/>
          <w:sz w:val="24"/>
          <w:szCs w:val="24"/>
        </w:rPr>
        <w:t>к Договору от ____________ 2026 г.</w:t>
      </w:r>
      <w:r>
        <w:rPr>
          <w:sz w:val="24"/>
          <w:szCs w:val="24"/>
        </w:rPr>
        <w:t xml:space="preserve"> </w:t>
      </w:r>
      <w:r>
        <w:rPr>
          <w:bCs/>
          <w:sz w:val="24"/>
          <w:szCs w:val="24"/>
        </w:rPr>
        <w:t>№ ______</w:t>
      </w:r>
    </w:p>
    <w:p>
      <w:pPr>
        <w:pStyle w:val="Style21"/>
        <w:jc w:val="center"/>
        <w:rPr/>
      </w:pPr>
      <w:r>
        <w:rPr/>
        <w:t xml:space="preserve">Спецификация </w:t>
      </w:r>
    </w:p>
    <w:tbl>
      <w:tblPr>
        <w:tblW w:w="15096"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425"/>
        <w:gridCol w:w="3827"/>
        <w:gridCol w:w="2127"/>
        <w:gridCol w:w="1419"/>
        <w:gridCol w:w="1274"/>
        <w:gridCol w:w="1705"/>
        <w:gridCol w:w="1277"/>
        <w:gridCol w:w="1558"/>
        <w:gridCol w:w="1482"/>
      </w:tblGrid>
      <w:tr>
        <w:trPr>
          <w:trHeight w:val="1104"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bCs/>
                <w:sz w:val="24"/>
                <w:szCs w:val="24"/>
              </w:rPr>
              <w:t>№</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Наименование товара</w:t>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Производитель/</w:t>
            </w:r>
          </w:p>
          <w:p>
            <w:pPr>
              <w:pStyle w:val="Normal"/>
              <w:widowControl w:val="false"/>
              <w:jc w:val="center"/>
              <w:rPr/>
            </w:pPr>
            <w:r>
              <w:rPr>
                <w:bCs/>
                <w:sz w:val="22"/>
                <w:szCs w:val="22"/>
              </w:rPr>
              <w:t>Страна происхождения товара</w:t>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Единица измерения</w:t>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2"/>
                <w:szCs w:val="22"/>
              </w:rPr>
              <w:t>Кол-во</w:t>
            </w:r>
          </w:p>
        </w:tc>
        <w:tc>
          <w:tcPr>
            <w:tcW w:w="1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sz w:val="22"/>
                <w:szCs w:val="22"/>
              </w:rPr>
              <w:t>Цена за единицу измерения, без НДС</w:t>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Налоговая ставка, %</w:t>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 xml:space="preserve">Цена за единицу измерения, с НДС </w:t>
            </w:r>
          </w:p>
        </w:tc>
        <w:tc>
          <w:tcPr>
            <w:tcW w:w="14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22"/>
                <w:szCs w:val="22"/>
              </w:rPr>
              <w:t>Стоимость товара всего, с НДС</w:t>
            </w:r>
          </w:p>
        </w:tc>
      </w:tr>
      <w:tr>
        <w:trPr>
          <w:trHeight w:val="192" w:hRule="atLeast"/>
          <w:cantSplit w:val="true"/>
        </w:trPr>
        <w:tc>
          <w:tcPr>
            <w:tcW w:w="4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Cs/>
                <w:sz w:val="24"/>
                <w:szCs w:val="24"/>
              </w:rPr>
              <w:t>1.</w:t>
            </w:r>
          </w:p>
        </w:tc>
        <w:tc>
          <w:tcPr>
            <w:tcW w:w="38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rPr>
                <w:bCs/>
                <w:sz w:val="24"/>
                <w:szCs w:val="24"/>
              </w:rPr>
            </w:pPr>
            <w:r>
              <w:rPr>
                <w:bCs/>
                <w:sz w:val="24"/>
                <w:szCs w:val="24"/>
              </w:rPr>
            </w:r>
          </w:p>
        </w:tc>
        <w:tc>
          <w:tcPr>
            <w:tcW w:w="21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4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7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sz w:val="22"/>
                <w:szCs w:val="22"/>
              </w:rPr>
            </w:pPr>
            <w:r>
              <w:rPr>
                <w:sz w:val="22"/>
                <w:szCs w:val="22"/>
              </w:rPr>
            </w:r>
          </w:p>
        </w:tc>
        <w:tc>
          <w:tcPr>
            <w:tcW w:w="12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55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c>
          <w:tcPr>
            <w:tcW w:w="14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Cs/>
                <w:sz w:val="22"/>
                <w:szCs w:val="22"/>
              </w:rPr>
            </w:pPr>
            <w:r>
              <w:rPr>
                <w:bCs/>
                <w:sz w:val="22"/>
                <w:szCs w:val="22"/>
              </w:rPr>
            </w:r>
          </w:p>
        </w:tc>
      </w:tr>
      <w:tr>
        <w:trPr>
          <w:trHeight w:val="192" w:hRule="atLeast"/>
          <w:cantSplit w:val="true"/>
        </w:trPr>
        <w:tc>
          <w:tcPr>
            <w:tcW w:w="13612" w:type="dxa"/>
            <w:gridSpan w:val="8"/>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pPr>
            <w:r>
              <w:rPr>
                <w:b/>
                <w:bCs/>
                <w:sz w:val="24"/>
                <w:szCs w:val="24"/>
              </w:rPr>
              <w:t>Итого:</w:t>
            </w:r>
          </w:p>
        </w:tc>
        <w:tc>
          <w:tcPr>
            <w:tcW w:w="14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napToGrid w:val="false"/>
              <w:jc w:val="center"/>
              <w:rPr>
                <w:b/>
                <w:b/>
                <w:bCs/>
                <w:sz w:val="24"/>
                <w:szCs w:val="24"/>
              </w:rPr>
            </w:pPr>
            <w:r>
              <w:rPr>
                <w:b/>
                <w:bCs/>
                <w:sz w:val="24"/>
                <w:szCs w:val="24"/>
              </w:rPr>
            </w:r>
          </w:p>
        </w:tc>
      </w:tr>
    </w:tbl>
    <w:p>
      <w:pPr>
        <w:pStyle w:val="Normal"/>
        <w:tabs>
          <w:tab w:val="clear" w:pos="720"/>
          <w:tab w:val="left" w:pos="709" w:leader="none"/>
        </w:tabs>
        <w:ind w:firstLine="567"/>
        <w:rPr>
          <w:b/>
          <w:b/>
          <w:bCs/>
          <w:sz w:val="24"/>
          <w:szCs w:val="24"/>
        </w:rPr>
      </w:pPr>
      <w:r>
        <w:rPr>
          <w:b/>
          <w:bCs/>
          <w:sz w:val="24"/>
          <w:szCs w:val="24"/>
        </w:rPr>
      </w:r>
    </w:p>
    <w:p>
      <w:pPr>
        <w:pStyle w:val="Normal"/>
        <w:tabs>
          <w:tab w:val="clear" w:pos="720"/>
          <w:tab w:val="left" w:pos="709" w:leader="none"/>
        </w:tabs>
        <w:jc w:val="both"/>
        <w:rPr/>
      </w:pPr>
      <w:r>
        <w:rPr>
          <w:b/>
          <w:bCs/>
          <w:sz w:val="24"/>
          <w:szCs w:val="24"/>
        </w:rPr>
        <w:t>Цена Договора составляет: ____________________(____________________ рублей) 00 копеек, в том числе НДС - ___________ (_________________ рублей) __ копеек.</w:t>
      </w:r>
    </w:p>
    <w:p>
      <w:pPr>
        <w:pStyle w:val="Normal"/>
        <w:tabs>
          <w:tab w:val="clear" w:pos="720"/>
          <w:tab w:val="left" w:pos="709" w:leader="none"/>
        </w:tabs>
        <w:spacing w:before="0" w:after="0"/>
        <w:contextualSpacing/>
        <w:jc w:val="both"/>
        <w:rPr>
          <w:b/>
          <w:b/>
          <w:bCs/>
          <w:sz w:val="24"/>
          <w:szCs w:val="24"/>
        </w:rPr>
      </w:pPr>
      <w:r>
        <w:rPr>
          <w:b/>
          <w:bCs/>
          <w:sz w:val="24"/>
          <w:szCs w:val="24"/>
        </w:rPr>
      </w:r>
    </w:p>
    <w:p>
      <w:pPr>
        <w:pStyle w:val="Normal"/>
        <w:jc w:val="center"/>
        <w:rPr/>
      </w:pPr>
      <w:r>
        <w:rPr>
          <w:b/>
          <w:bCs/>
          <w:sz w:val="24"/>
          <w:szCs w:val="24"/>
        </w:rPr>
        <w:t>ПОДПИСИ СТОРОН:</w:t>
      </w:r>
    </w:p>
    <w:p>
      <w:pPr>
        <w:pStyle w:val="Normal"/>
        <w:rPr>
          <w:b/>
          <w:b/>
          <w:bCs/>
          <w:sz w:val="24"/>
          <w:szCs w:val="24"/>
        </w:rPr>
      </w:pPr>
      <w:r>
        <w:rPr>
          <w:b/>
          <w:bCs/>
          <w:sz w:val="24"/>
          <w:szCs w:val="24"/>
        </w:rPr>
      </w:r>
    </w:p>
    <w:tbl>
      <w:tblPr>
        <w:tblW w:w="1512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7560"/>
        <w:gridCol w:w="7559"/>
      </w:tblGrid>
      <w:tr>
        <w:trPr/>
        <w:tc>
          <w:tcPr>
            <w:tcW w:w="7560" w:type="dxa"/>
            <w:tcBorders/>
            <w:shd w:color="auto" w:fill="auto" w:val="clear"/>
          </w:tcPr>
          <w:p>
            <w:pPr>
              <w:pStyle w:val="Normal"/>
              <w:widowControl w:val="false"/>
              <w:ind w:right="-6" w:hanging="0"/>
              <w:jc w:val="both"/>
              <w:rPr/>
            </w:pPr>
            <w:r>
              <w:rPr>
                <w:b/>
                <w:sz w:val="24"/>
                <w:szCs w:val="24"/>
              </w:rPr>
              <w:t xml:space="preserve">ПОСТАВЩИК: </w:t>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p>
            <w:pPr>
              <w:pStyle w:val="Normal"/>
              <w:widowControl w:val="false"/>
              <w:spacing w:before="0" w:after="0"/>
              <w:contextualSpacing/>
              <w:rPr>
                <w:b/>
                <w:b/>
                <w:sz w:val="24"/>
                <w:szCs w:val="24"/>
              </w:rPr>
            </w:pPr>
            <w:r>
              <w:rPr>
                <w:b/>
                <w:sz w:val="24"/>
                <w:szCs w:val="24"/>
              </w:rPr>
            </w:r>
          </w:p>
        </w:tc>
        <w:tc>
          <w:tcPr>
            <w:tcW w:w="7559" w:type="dxa"/>
            <w:tcBorders/>
            <w:shd w:color="auto" w:fill="auto" w:val="clear"/>
          </w:tcPr>
          <w:p>
            <w:pPr>
              <w:pStyle w:val="Normal"/>
              <w:widowControl w:val="false"/>
              <w:rPr/>
            </w:pPr>
            <w:r>
              <w:rPr>
                <w:b/>
                <w:sz w:val="24"/>
                <w:szCs w:val="24"/>
              </w:rPr>
              <w:t xml:space="preserve">ЗАКАЗЧИК: </w:t>
            </w:r>
          </w:p>
          <w:p>
            <w:pPr>
              <w:pStyle w:val="NoSpacing"/>
              <w:keepNext w:val="true"/>
              <w:keepLines/>
              <w:widowControl w:val="false"/>
              <w:tabs>
                <w:tab w:val="clear" w:pos="720"/>
                <w:tab w:val="left" w:pos="284" w:leader="none"/>
              </w:tabs>
              <w:spacing w:lineRule="auto" w:line="252"/>
              <w:ind w:right="-995" w:hanging="0"/>
              <w:jc w:val="left"/>
              <w:rPr/>
            </w:pPr>
            <w:r>
              <w:rPr>
                <w:b/>
                <w:lang w:eastAsia="en-US"/>
              </w:rPr>
              <w:t>ФГБУ «ФЦТОЭ» Минздрава России (г. Чебоксары)</w:t>
            </w:r>
          </w:p>
          <w:p>
            <w:pPr>
              <w:pStyle w:val="NoSpacing"/>
              <w:keepNext w:val="true"/>
              <w:keepLines/>
              <w:widowControl w:val="false"/>
              <w:tabs>
                <w:tab w:val="clear" w:pos="720"/>
                <w:tab w:val="left" w:pos="284" w:leader="none"/>
              </w:tabs>
              <w:spacing w:lineRule="auto" w:line="252"/>
              <w:ind w:right="684" w:hanging="0"/>
              <w:jc w:val="left"/>
              <w:rPr>
                <w:b/>
                <w:b/>
                <w:lang w:eastAsia="en-US"/>
              </w:rPr>
            </w:pPr>
            <w:r>
              <w:rPr>
                <w:b/>
                <w:lang w:eastAsia="en-US"/>
              </w:rPr>
            </w:r>
          </w:p>
        </w:tc>
      </w:tr>
      <w:tr>
        <w:trPr>
          <w:trHeight w:val="70" w:hRule="atLeast"/>
        </w:trPr>
        <w:tc>
          <w:tcPr>
            <w:tcW w:w="7560" w:type="dxa"/>
            <w:tcBorders/>
            <w:shd w:color="auto" w:fill="auto" w:val="clear"/>
          </w:tcPr>
          <w:p>
            <w:pPr>
              <w:pStyle w:val="Normal"/>
              <w:widowControl w:val="false"/>
              <w:snapToGrid w:val="false"/>
              <w:rPr>
                <w:b/>
                <w:b/>
                <w:sz w:val="24"/>
                <w:szCs w:val="24"/>
                <w:lang w:eastAsia="en-US"/>
              </w:rPr>
            </w:pPr>
            <w:r>
              <w:rPr>
                <w:b/>
                <w:sz w:val="24"/>
                <w:szCs w:val="24"/>
                <w:lang w:eastAsia="en-US"/>
              </w:rPr>
            </w:r>
          </w:p>
          <w:p>
            <w:pPr>
              <w:pStyle w:val="Normal"/>
              <w:widowControl w:val="false"/>
              <w:rPr>
                <w:b/>
                <w:b/>
                <w:sz w:val="24"/>
                <w:szCs w:val="24"/>
                <w:lang w:eastAsia="en-US"/>
              </w:rPr>
            </w:pPr>
            <w:r>
              <w:rPr>
                <w:b/>
                <w:sz w:val="24"/>
                <w:szCs w:val="24"/>
                <w:lang w:eastAsia="en-US"/>
              </w:rPr>
            </w:r>
          </w:p>
          <w:p>
            <w:pPr>
              <w:pStyle w:val="Normal"/>
              <w:widowControl w:val="false"/>
              <w:spacing w:before="0" w:after="0"/>
              <w:contextualSpacing/>
              <w:rPr/>
            </w:pPr>
            <w:r>
              <w:rPr>
                <w:sz w:val="24"/>
                <w:szCs w:val="24"/>
              </w:rPr>
              <w:t xml:space="preserve">  </w:t>
            </w:r>
            <w:r>
              <w:rPr>
                <w:sz w:val="24"/>
                <w:szCs w:val="24"/>
              </w:rPr>
              <w:t>_______________/______________/</w:t>
            </w:r>
          </w:p>
          <w:p>
            <w:pPr>
              <w:pStyle w:val="Normal"/>
              <w:widowControl w:val="false"/>
              <w:rPr>
                <w:sz w:val="24"/>
                <w:szCs w:val="24"/>
              </w:rPr>
            </w:pPr>
            <w:r>
              <w:rPr>
                <w:sz w:val="24"/>
                <w:szCs w:val="24"/>
              </w:rPr>
            </w:r>
          </w:p>
        </w:tc>
        <w:tc>
          <w:tcPr>
            <w:tcW w:w="7559" w:type="dxa"/>
            <w:tcBorders/>
            <w:shd w:color="auto" w:fill="auto" w:val="clear"/>
          </w:tcPr>
          <w:p>
            <w:pPr>
              <w:pStyle w:val="Normal"/>
              <w:widowControl w:val="false"/>
              <w:rPr/>
            </w:pPr>
            <w:r>
              <w:rPr>
                <w:sz w:val="24"/>
                <w:szCs w:val="24"/>
              </w:rPr>
              <w:t xml:space="preserve">Заместитель главного врача по </w:t>
            </w:r>
          </w:p>
          <w:p>
            <w:pPr>
              <w:pStyle w:val="Normal"/>
              <w:widowControl w:val="false"/>
              <w:rPr/>
            </w:pPr>
            <w:r>
              <w:rPr>
                <w:sz w:val="24"/>
                <w:szCs w:val="24"/>
              </w:rPr>
              <w:t>финансово-экономическим вопросам – главный бухгалтер</w:t>
            </w:r>
          </w:p>
          <w:p>
            <w:pPr>
              <w:pStyle w:val="Normal"/>
              <w:widowControl w:val="false"/>
              <w:rPr>
                <w:sz w:val="24"/>
                <w:szCs w:val="24"/>
              </w:rPr>
            </w:pPr>
            <w:r>
              <w:rPr>
                <w:sz w:val="24"/>
                <w:szCs w:val="24"/>
              </w:rPr>
            </w:r>
          </w:p>
          <w:p>
            <w:pPr>
              <w:pStyle w:val="Normal"/>
              <w:widowControl w:val="false"/>
              <w:rPr/>
            </w:pPr>
            <w:r>
              <w:rPr>
                <w:sz w:val="24"/>
                <w:szCs w:val="24"/>
              </w:rPr>
              <w:t>_________________ / А.Н. Деверинский /</w:t>
            </w:r>
          </w:p>
          <w:p>
            <w:pPr>
              <w:pStyle w:val="Normal"/>
              <w:widowControl w:val="false"/>
              <w:rPr>
                <w:sz w:val="24"/>
                <w:szCs w:val="24"/>
              </w:rPr>
            </w:pPr>
            <w:r>
              <w:rPr>
                <w:sz w:val="24"/>
                <w:szCs w:val="24"/>
              </w:rPr>
            </w:r>
          </w:p>
        </w:tc>
      </w:tr>
    </w:tbl>
    <w:p>
      <w:pPr>
        <w:pStyle w:val="Style21"/>
        <w:spacing w:before="0" w:after="120"/>
        <w:rPr/>
      </w:pPr>
      <w:r>
        <w:rPr/>
      </w:r>
    </w:p>
    <w:sectPr>
      <w:footerReference w:type="default" r:id="rId3"/>
      <w:type w:val="nextPage"/>
      <w:pgSz w:orient="landscape" w:w="16838" w:h="11906"/>
      <w:pgMar w:left="1191" w:right="993" w:header="0" w:top="709" w:footer="283" w:bottom="1418" w:gutter="0"/>
      <w:pgNumType w:fmt="decimal"/>
      <w:formProt w:val="false"/>
      <w:textDirection w:val="lrTb"/>
      <w:docGrid w:type="default" w:linePitch="272"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Univers">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onsultan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5387" w:leader="none"/>
        <w:tab w:val="left" w:pos="6804" w:leader="none"/>
        <w:tab w:val="left" w:pos="6946" w:leader="none"/>
        <w:tab w:val="right" w:pos="9355" w:leader="none"/>
      </w:tabs>
      <w:rPr/>
    </w:pPr>
    <w:r>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tabs>
        <w:tab w:val="clear" w:pos="4677"/>
        <w:tab w:val="center" w:pos="6379" w:leader="none"/>
        <w:tab w:val="right" w:pos="9355" w:leader="none"/>
      </w:tabs>
      <w:rPr/>
    </w:pPr>
    <w:r>
      <w:rPr/>
      <w:tab/>
    </w:r>
  </w:p>
  <w:p>
    <w:pPr>
      <w:pStyle w:val="Style28"/>
      <w:rPr/>
    </w:pPr>
    <w:r>
      <w:rPr/>
    </w:r>
  </w:p>
  <w:p>
    <w:pPr>
      <w:pStyle w:val="Style28"/>
      <w:tabs>
        <w:tab w:val="clear" w:pos="4677"/>
        <w:tab w:val="center" w:pos="5387" w:leader="none"/>
        <w:tab w:val="left" w:pos="5812" w:leader="none"/>
        <w:tab w:val="right" w:pos="9355" w:leader="none"/>
      </w:tabs>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4"/>
        <w:b/>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050"/>
        </w:tabs>
        <w:ind w:left="1050" w:hanging="510"/>
      </w:pPr>
    </w:lvl>
    <w:lvl w:ilvl="3">
      <w:start w:val="1"/>
      <w:numFmt w:val="decimal"/>
      <w:lvlText w:val="%1.%2.%3.%4."/>
      <w:lvlJc w:val="left"/>
      <w:pPr>
        <w:tabs>
          <w:tab w:val="num" w:pos="1134"/>
        </w:tabs>
        <w:ind w:left="1134" w:hanging="45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lvl w:ilvl="0">
      <w:start w:val="2"/>
      <w:numFmt w:val="decimal"/>
      <w:lvlText w:val="%1."/>
      <w:lvlJc w:val="left"/>
      <w:pPr>
        <w:tabs>
          <w:tab w:val="num" w:pos="2912"/>
        </w:tabs>
        <w:ind w:left="2912" w:hanging="360"/>
      </w:pPr>
      <w:rPr>
        <w:b/>
      </w:rPr>
    </w:lvl>
    <w:lvl w:ilvl="1">
      <w:start w:val="1"/>
      <w:numFmt w:val="decimal"/>
      <w:lvlText w:val="%1.%2."/>
      <w:lvlJc w:val="left"/>
      <w:pPr>
        <w:tabs>
          <w:tab w:val="num" w:pos="720"/>
        </w:tabs>
        <w:ind w:left="360" w:hanging="360"/>
      </w:pPr>
      <w:rPr>
        <w:sz w:val="24"/>
        <w:b w:val="false"/>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88"/>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qFormat/>
    <w:pPr>
      <w:keepNext w:val="true"/>
      <w:spacing w:before="240" w:after="60"/>
      <w:outlineLvl w:val="0"/>
    </w:pPr>
    <w:rPr>
      <w:rFonts w:ascii="Arial" w:hAnsi="Arial" w:cs="Arial"/>
      <w:b/>
      <w:kern w:val="2"/>
      <w:sz w:val="28"/>
    </w:rPr>
  </w:style>
  <w:style w:type="paragraph" w:styleId="2">
    <w:name w:val="Heading 2"/>
    <w:basedOn w:val="Normal"/>
    <w:next w:val="Normal"/>
    <w:qFormat/>
    <w:pPr>
      <w:keepNext w:val="true"/>
      <w:jc w:val="both"/>
      <w:outlineLvl w:val="1"/>
    </w:pPr>
    <w:rPr>
      <w:b/>
      <w:bCs/>
      <w:sz w:val="24"/>
    </w:rPr>
  </w:style>
  <w:style w:type="paragraph" w:styleId="3">
    <w:name w:val="Heading 3"/>
    <w:basedOn w:val="Normal"/>
    <w:next w:val="Normal"/>
    <w:qFormat/>
    <w:pPr>
      <w:keepNext w:val="true"/>
      <w:widowControl w:val="false"/>
      <w:spacing w:before="240" w:after="60"/>
      <w:outlineLvl w:val="2"/>
    </w:pPr>
    <w:rPr>
      <w:rFonts w:ascii="Arial" w:hAnsi="Arial" w:cs="Arial"/>
      <w:b/>
      <w:bCs/>
      <w:sz w:val="26"/>
      <w:szCs w:val="26"/>
    </w:rPr>
  </w:style>
  <w:style w:type="paragraph" w:styleId="6">
    <w:name w:val="Heading 6"/>
    <w:basedOn w:val="Normal"/>
    <w:next w:val="Normal"/>
    <w:qFormat/>
    <w:pPr>
      <w:spacing w:before="240" w:after="60"/>
      <w:outlineLvl w:val="5"/>
    </w:pPr>
    <w:rPr>
      <w:b/>
      <w:bCs/>
      <w:sz w:val="22"/>
      <w:szCs w:val="22"/>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sz w:val="24"/>
      <w:szCs w:val="24"/>
    </w:rPr>
  </w:style>
  <w:style w:type="character" w:styleId="WW8Num3z0" w:customStyle="1">
    <w:name w:val="WW8Num3z0"/>
    <w:qFormat/>
    <w:rPr>
      <w:b/>
      <w:i w:val="false"/>
    </w:rPr>
  </w:style>
  <w:style w:type="character" w:styleId="WW8Num3z1" w:customStyle="1">
    <w:name w:val="WW8Num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2" w:customStyle="1">
    <w:name w:val="WW8Num3z2"/>
    <w:qFormat/>
    <w:rPr>
      <w:b w:val="false"/>
      <w:bCs w:val="false"/>
      <w:i w:val="false"/>
      <w:iCs w:val="false"/>
    </w:rPr>
  </w:style>
  <w:style w:type="character" w:styleId="WW8Num3z3" w:customStyle="1">
    <w:name w:val="WW8Num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3z4" w:customStyle="1">
    <w:name w:val="WW8Num3z4"/>
    <w:qFormat/>
    <w:rPr/>
  </w:style>
  <w:style w:type="character" w:styleId="WW8Num3z5" w:customStyle="1">
    <w:name w:val="WW8Num3z5"/>
    <w:qFormat/>
    <w:rPr>
      <w:rFonts w:ascii="Symbol" w:hAnsi="Symbol" w:cs="Symbol"/>
    </w:rPr>
  </w:style>
  <w:style w:type="character" w:styleId="WW8Num4z0" w:customStyle="1">
    <w:name w:val="WW8Num4z0"/>
    <w:qFormat/>
    <w:rPr/>
  </w:style>
  <w:style w:type="character" w:styleId="WW8Num5z0" w:customStyle="1">
    <w:name w:val="WW8Num5z0"/>
    <w:qFormat/>
    <w:rPr>
      <w:b/>
    </w:rPr>
  </w:style>
  <w:style w:type="character" w:styleId="WW8Num5z1" w:customStyle="1">
    <w:name w:val="WW8Num5z1"/>
    <w:qFormat/>
    <w:rPr>
      <w:b w:val="false"/>
      <w:sz w:val="24"/>
      <w:szCs w:val="24"/>
    </w:rPr>
  </w:style>
  <w:style w:type="character" w:styleId="WW8Num5z2" w:customStyle="1">
    <w:name w:val="WW8Num5z2"/>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6z0" w:customStyle="1">
    <w:name w:val="WW8Num6z0"/>
    <w:qFormat/>
    <w:rPr>
      <w:rFonts w:ascii="Times New Roman" w:hAnsi="Times New Roman" w:cs="Times New Roman"/>
      <w:b/>
      <w:i w:val="false"/>
      <w:sz w:val="20"/>
      <w:u w:val="none"/>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cs="Times New Roman"/>
      <w:b w:val="false"/>
      <w:i w:val="false"/>
      <w:sz w:val="20"/>
      <w:u w:val="none"/>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cs="Times New Roman"/>
      <w:b w:val="false"/>
      <w:i w:val="false"/>
      <w:sz w:val="20"/>
      <w:u w:val="none"/>
    </w:rPr>
  </w:style>
  <w:style w:type="character" w:styleId="WW8Num11z0" w:customStyle="1">
    <w:name w:val="WW8Num11z0"/>
    <w:qFormat/>
    <w:rPr>
      <w:rFonts w:ascii="Times New Roman" w:hAnsi="Times New Roman" w:cs="Times New Roman"/>
      <w:b w:val="false"/>
      <w:i w:val="false"/>
      <w:sz w:val="20"/>
      <w:u w:val="none"/>
    </w:rPr>
  </w:style>
  <w:style w:type="character" w:styleId="WW8Num12z0" w:customStyle="1">
    <w:name w:val="WW8Num12z0"/>
    <w:qFormat/>
    <w:rPr/>
  </w:style>
  <w:style w:type="character" w:styleId="WW8Num13z0" w:customStyle="1">
    <w:name w:val="WW8Num13z0"/>
    <w:qFormat/>
    <w:rPr>
      <w:b/>
      <w:i w:val="false"/>
    </w:rPr>
  </w:style>
  <w:style w:type="character" w:styleId="WW8Num13z1" w:customStyle="1">
    <w:name w:val="WW8Num13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2" w:customStyle="1">
    <w:name w:val="WW8Num13z2"/>
    <w:qFormat/>
    <w:rPr>
      <w:b w:val="false"/>
      <w:bCs w:val="false"/>
      <w:i w:val="false"/>
      <w:iCs w:val="false"/>
    </w:rPr>
  </w:style>
  <w:style w:type="character" w:styleId="WW8Num13z3" w:customStyle="1">
    <w:name w:val="WW8Num13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styleId="WW8Num13z4" w:customStyle="1">
    <w:name w:val="WW8Num13z4"/>
    <w:qFormat/>
    <w:rPr/>
  </w:style>
  <w:style w:type="character" w:styleId="WW8Num13z5" w:customStyle="1">
    <w:name w:val="WW8Num13z5"/>
    <w:qFormat/>
    <w:rPr>
      <w:rFonts w:ascii="Symbol" w:hAnsi="Symbol" w:cs="Symbol"/>
    </w:rPr>
  </w:style>
  <w:style w:type="character" w:styleId="WW8Num14z0" w:customStyle="1">
    <w:name w:val="WW8Num14z0"/>
    <w:qFormat/>
    <w:rPr/>
  </w:style>
  <w:style w:type="character" w:styleId="WW8Num15z0" w:customStyle="1">
    <w:name w:val="WW8Num15z0"/>
    <w:qFormat/>
    <w:rPr>
      <w:rFonts w:ascii="Times New Roman" w:hAnsi="Times New Roman" w:cs="Times New Roman"/>
      <w:b/>
      <w:sz w:val="22"/>
      <w:szCs w:val="22"/>
    </w:rPr>
  </w:style>
  <w:style w:type="character" w:styleId="WW8Num15z1" w:customStyle="1">
    <w:name w:val="WW8Num15z1"/>
    <w:qFormat/>
    <w:rPr>
      <w:rFonts w:ascii="Times New Roman" w:hAnsi="Times New Roman" w:cs="Times New Roman"/>
      <w:b w:val="false"/>
      <w:sz w:val="22"/>
      <w:szCs w:val="22"/>
    </w:rPr>
  </w:style>
  <w:style w:type="character" w:styleId="WW8Num15z2" w:customStyle="1">
    <w:name w:val="WW8Num15z2"/>
    <w:qFormat/>
    <w:rPr/>
  </w:style>
  <w:style w:type="character" w:styleId="WW8Num16z0" w:customStyle="1">
    <w:name w:val="WW8Num16z0"/>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rPr>
  </w:style>
  <w:style w:type="character" w:styleId="WW8Num19z0" w:customStyle="1">
    <w:name w:val="WW8Num19z0"/>
    <w:qFormat/>
    <w:rPr>
      <w:rFonts w:ascii="Times New Roman" w:hAnsi="Times New Roman" w:cs="Times New Roman"/>
      <w:b w:val="false"/>
      <w:i w:val="false"/>
      <w:sz w:val="20"/>
      <w:u w:val="none"/>
    </w:rPr>
  </w:style>
  <w:style w:type="character" w:styleId="WW8Num20z0" w:customStyle="1">
    <w:name w:val="WW8Num20z0"/>
    <w:qFormat/>
    <w:rPr>
      <w:rFonts w:ascii="Times New Roman" w:hAnsi="Times New Roman" w:cs="Times New Roman"/>
      <w:b/>
      <w:i w:val="false"/>
      <w:sz w:val="20"/>
      <w:u w:val="none"/>
    </w:rPr>
  </w:style>
  <w:style w:type="character" w:styleId="WW8Num21z0" w:customStyle="1">
    <w:name w:val="WW8Num21z0"/>
    <w:qFormat/>
    <w:rPr>
      <w:b/>
    </w:rPr>
  </w:style>
  <w:style w:type="character" w:styleId="WW8Num21z1" w:customStyle="1">
    <w:name w:val="WW8Num21z1"/>
    <w:qFormat/>
    <w:rPr>
      <w:b w:val="false"/>
      <w:sz w:val="24"/>
      <w:szCs w:val="24"/>
    </w:rPr>
  </w:style>
  <w:style w:type="character" w:styleId="WW8Num21z2" w:customStyle="1">
    <w:name w:val="WW8Num21z2"/>
    <w:qFormat/>
    <w:rPr/>
  </w:style>
  <w:style w:type="character" w:styleId="WW8Num22z0" w:customStyle="1">
    <w:name w:val="WW8Num22z0"/>
    <w:qFormat/>
    <w:rPr>
      <w:rFonts w:ascii="Times New Roman" w:hAnsi="Times New Roman" w:cs="Times New Roman"/>
      <w:b/>
      <w:i w:val="false"/>
      <w:sz w:val="20"/>
      <w:u w:val="none"/>
    </w:rPr>
  </w:style>
  <w:style w:type="character" w:styleId="WW8Num23z0" w:customStyle="1">
    <w:name w:val="WW8Num23z0"/>
    <w:qFormat/>
    <w:rPr>
      <w:rFonts w:ascii="Times New Roman" w:hAnsi="Times New Roman" w:cs="Times New Roman"/>
      <w:b/>
      <w:i w:val="false"/>
      <w:sz w:val="20"/>
      <w:u w:val="none"/>
    </w:rPr>
  </w:style>
  <w:style w:type="character" w:styleId="WW8Num24z0" w:customStyle="1">
    <w:name w:val="WW8Num24z0"/>
    <w:qFormat/>
    <w:rPr>
      <w:rFonts w:ascii="Times New Roman" w:hAnsi="Times New Roman" w:cs="Times New Roman"/>
      <w:b w:val="false"/>
      <w:i w:val="false"/>
      <w:sz w:val="20"/>
      <w:u w:val="none"/>
    </w:rPr>
  </w:style>
  <w:style w:type="character" w:styleId="WW8Num25z0" w:customStyle="1">
    <w:name w:val="WW8Num25z0"/>
    <w:qFormat/>
    <w:rPr>
      <w:b/>
    </w:rPr>
  </w:style>
  <w:style w:type="character" w:styleId="WW8Num25z1" w:customStyle="1">
    <w:name w:val="WW8Num25z1"/>
    <w:qFormat/>
    <w:rPr>
      <w:b w:val="false"/>
    </w:rPr>
  </w:style>
  <w:style w:type="character" w:styleId="WW8Num25z2" w:customStyle="1">
    <w:name w:val="WW8Num25z2"/>
    <w:qFormat/>
    <w:rPr/>
  </w:style>
  <w:style w:type="character" w:styleId="WW8Num26z0" w:customStyle="1">
    <w:name w:val="WW8Num26z0"/>
    <w:qFormat/>
    <w:rPr/>
  </w:style>
  <w:style w:type="character" w:styleId="WW8Num27z0" w:customStyle="1">
    <w:name w:val="WW8Num27z0"/>
    <w:qFormat/>
    <w:rPr>
      <w:rFonts w:ascii="Times New Roman" w:hAnsi="Times New Roman" w:cs="Times New Roman"/>
      <w:b w:val="false"/>
      <w:i w:val="false"/>
      <w:sz w:val="20"/>
      <w:u w:val="none"/>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Times New Roman"/>
      <w:b w:val="false"/>
      <w:i w:val="false"/>
      <w:sz w:val="20"/>
      <w:u w:val="none"/>
    </w:rPr>
  </w:style>
  <w:style w:type="character" w:styleId="WW8Num31z0" w:customStyle="1">
    <w:name w:val="WW8Num31z0"/>
    <w:qFormat/>
    <w:rPr>
      <w:rFonts w:ascii="Times New Roman" w:hAnsi="Times New Roman" w:cs="Times New Roman"/>
      <w:b/>
      <w:i w:val="false"/>
      <w:sz w:val="20"/>
      <w:u w:val="none"/>
    </w:rPr>
  </w:style>
  <w:style w:type="character" w:styleId="WW8Num32z0" w:customStyle="1">
    <w:name w:val="WW8Num32z0"/>
    <w:qFormat/>
    <w:rPr>
      <w:b w:val="false"/>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5z0" w:customStyle="1">
    <w:name w:val="WW8Num35z0"/>
    <w:qFormat/>
    <w:rPr>
      <w:rFonts w:ascii="Times New Roman" w:hAnsi="Times New Roman" w:cs="Times New Roman"/>
      <w:b w:val="false"/>
      <w:i w:val="false"/>
      <w:sz w:val="22"/>
      <w:szCs w:val="22"/>
      <w:u w:val="none"/>
    </w:rPr>
  </w:style>
  <w:style w:type="character" w:styleId="WW8Num36z0" w:customStyle="1">
    <w:name w:val="WW8Num36z0"/>
    <w:qFormat/>
    <w:rPr>
      <w:rFonts w:ascii="Times New Roman" w:hAnsi="Times New Roman" w:cs="Times New Roman"/>
      <w:b w:val="false"/>
      <w:i w:val="false"/>
      <w:sz w:val="20"/>
      <w:u w:val="none"/>
    </w:rPr>
  </w:style>
  <w:style w:type="character" w:styleId="WW8Num37z0" w:customStyle="1">
    <w:name w:val="WW8Num37z0"/>
    <w:qFormat/>
    <w:rPr>
      <w:rFonts w:ascii="Times New Roman" w:hAnsi="Times New Roman" w:cs="Times New Roman"/>
      <w:b w:val="false"/>
      <w:i w:val="false"/>
      <w:sz w:val="22"/>
      <w:szCs w:val="22"/>
      <w:u w:val="none"/>
    </w:rPr>
  </w:style>
  <w:style w:type="character" w:styleId="WW8Num38z0" w:customStyle="1">
    <w:name w:val="WW8Num38z0"/>
    <w:qFormat/>
    <w:rPr>
      <w:rFonts w:ascii="Times New Roman" w:hAnsi="Times New Roman" w:cs="Times New Roman"/>
      <w:b w:val="false"/>
      <w:i w:val="false"/>
      <w:sz w:val="20"/>
      <w:u w:val="none"/>
    </w:rPr>
  </w:style>
  <w:style w:type="character" w:styleId="WW8Num39z0" w:customStyle="1">
    <w:name w:val="WW8Num39z0"/>
    <w:qFormat/>
    <w:rPr/>
  </w:style>
  <w:style w:type="character" w:styleId="WW8Num40z0" w:customStyle="1">
    <w:name w:val="WW8Num40z0"/>
    <w:qFormat/>
    <w:rPr/>
  </w:style>
  <w:style w:type="character" w:styleId="WW8NumSt6z0" w:customStyle="1">
    <w:name w:val="WW8NumSt6z0"/>
    <w:qFormat/>
    <w:rPr>
      <w:rFonts w:ascii="Times New Roman" w:hAnsi="Times New Roman" w:cs="Times New Roman"/>
      <w:b w:val="false"/>
      <w:i w:val="false"/>
      <w:sz w:val="20"/>
      <w:u w:val="none"/>
    </w:rPr>
  </w:style>
  <w:style w:type="character" w:styleId="WW8NumSt8z0" w:customStyle="1">
    <w:name w:val="WW8NumSt8z0"/>
    <w:qFormat/>
    <w:rPr>
      <w:rFonts w:ascii="Times New Roman" w:hAnsi="Times New Roman" w:cs="Times New Roman"/>
      <w:b w:val="false"/>
      <w:i w:val="false"/>
      <w:sz w:val="20"/>
      <w:u w:val="none"/>
    </w:rPr>
  </w:style>
  <w:style w:type="character" w:styleId="WW8NumSt11z0" w:customStyle="1">
    <w:name w:val="WW8NumSt11z0"/>
    <w:qFormat/>
    <w:rPr>
      <w:rFonts w:ascii="Times New Roman" w:hAnsi="Times New Roman" w:cs="Times New Roman"/>
      <w:b w:val="false"/>
      <w:i w:val="false"/>
      <w:sz w:val="20"/>
      <w:u w:val="none"/>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Style10">
    <w:name w:val="Интернет-ссылка"/>
    <w:rPr>
      <w:color w:val="0000FF"/>
      <w:u w:val="single"/>
    </w:rPr>
  </w:style>
  <w:style w:type="character" w:styleId="31" w:customStyle="1">
    <w:name w:val="Основной текст с отступом 3 Знак"/>
    <w:qFormat/>
    <w:rPr>
      <w:sz w:val="16"/>
      <w:szCs w:val="16"/>
    </w:rPr>
  </w:style>
  <w:style w:type="character" w:styleId="Style11" w:customStyle="1">
    <w:name w:val="Гипертекстовая ссылка"/>
    <w:qFormat/>
    <w:rPr>
      <w:color w:val="106BBE"/>
    </w:rPr>
  </w:style>
  <w:style w:type="character" w:styleId="Style12" w:customStyle="1">
    <w:name w:val="Основной текст Знак"/>
    <w:basedOn w:val="11"/>
    <w:qFormat/>
    <w:rPr/>
  </w:style>
  <w:style w:type="character" w:styleId="Style13" w:customStyle="1">
    <w:name w:val="Без интервала Знак"/>
    <w:qFormat/>
    <w:rPr>
      <w:sz w:val="24"/>
      <w:szCs w:val="24"/>
      <w:lang w:val="ru-RU" w:bidi="ar-SA"/>
    </w:rPr>
  </w:style>
  <w:style w:type="character" w:styleId="Style14" w:customStyle="1">
    <w:name w:val="Абзац списка Знак"/>
    <w:qFormat/>
    <w:rPr/>
  </w:style>
  <w:style w:type="character" w:styleId="Style15" w:customStyle="1">
    <w:name w:val="Текст концевой сноски Знак"/>
    <w:qFormat/>
    <w:rPr>
      <w:rFonts w:ascii="Univers" w:hAnsi="Univers" w:cs="Univers"/>
      <w:sz w:val="16"/>
      <w:szCs w:val="16"/>
      <w:lang w:val="en-GB"/>
    </w:rPr>
  </w:style>
  <w:style w:type="character" w:styleId="Style16" w:customStyle="1">
    <w:name w:val="Текст примечания Знак"/>
    <w:qFormat/>
    <w:rPr/>
  </w:style>
  <w:style w:type="character" w:styleId="Style17" w:customStyle="1">
    <w:name w:val="Нижний колонтитул Знак"/>
    <w:qFormat/>
    <w:rPr/>
  </w:style>
  <w:style w:type="character" w:styleId="Style18" w:customStyle="1">
    <w:name w:val="Неразрешенное упоминание"/>
    <w:qFormat/>
    <w:rPr>
      <w:color w:val="605E5C"/>
      <w:shd w:fill="E1DFDD" w:val="clear"/>
    </w:rPr>
  </w:style>
  <w:style w:type="character" w:styleId="Style19">
    <w:name w:val="Основной шрифт абзаца"/>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before="0" w:after="120"/>
    </w:pPr>
    <w:rPr/>
  </w:style>
  <w:style w:type="paragraph" w:styleId="Style22">
    <w:name w:val="List"/>
    <w:basedOn w:val="Normal"/>
    <w:pPr>
      <w:ind w:left="283" w:hanging="283"/>
    </w:pPr>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13" w:customStyle="1">
    <w:name w:val="Заголовок1"/>
    <w:basedOn w:val="Normal"/>
    <w:next w:val="Style21"/>
    <w:qFormat/>
    <w:pPr>
      <w:spacing w:before="480" w:after="120"/>
      <w:contextualSpacing/>
      <w:jc w:val="center"/>
    </w:pPr>
    <w:rPr>
      <w:b/>
      <w:bCs/>
      <w:caps/>
      <w:sz w:val="24"/>
      <w:szCs w:val="24"/>
    </w:rPr>
  </w:style>
  <w:style w:type="paragraph" w:styleId="Caption">
    <w:name w:val="caption"/>
    <w:basedOn w:val="Normal"/>
    <w:qFormat/>
    <w:pPr>
      <w:suppressLineNumbers/>
      <w:spacing w:before="120" w:after="120"/>
    </w:pPr>
    <w:rPr>
      <w:rFonts w:cs="Arial"/>
      <w:i/>
      <w:iCs/>
      <w:sz w:val="24"/>
      <w:szCs w:val="24"/>
    </w:rPr>
  </w:style>
  <w:style w:type="paragraph" w:styleId="14" w:customStyle="1">
    <w:name w:val="Указатель1"/>
    <w:basedOn w:val="Normal"/>
    <w:qFormat/>
    <w:pPr>
      <w:suppressLineNumbers/>
    </w:pPr>
    <w:rPr>
      <w:rFonts w:cs="Arial"/>
    </w:rPr>
  </w:style>
  <w:style w:type="paragraph" w:styleId="ListBullet2">
    <w:name w:val="List Bullet 2"/>
    <w:basedOn w:val="Normal"/>
    <w:qFormat/>
    <w:pPr>
      <w:ind w:left="566" w:hanging="283"/>
    </w:pPr>
    <w:rPr/>
  </w:style>
  <w:style w:type="paragraph" w:styleId="BalloonText">
    <w:name w:val="Balloon Text"/>
    <w:basedOn w:val="Normal"/>
    <w:qFormat/>
    <w:pPr/>
    <w:rPr>
      <w:rFonts w:ascii="Tahoma" w:hAnsi="Tahoma" w:cs="Tahoma"/>
      <w:sz w:val="16"/>
      <w:szCs w:val="16"/>
    </w:rPr>
  </w:style>
  <w:style w:type="paragraph" w:styleId="15" w:customStyle="1">
    <w:name w:val="Текст примечания1"/>
    <w:basedOn w:val="Normal"/>
    <w:qFormat/>
    <w:pPr/>
    <w:rPr/>
  </w:style>
  <w:style w:type="paragraph" w:styleId="Annotationsubject">
    <w:name w:val="annotation subject"/>
    <w:basedOn w:val="15"/>
    <w:next w:val="15"/>
    <w:qFormat/>
    <w:pPr/>
    <w:rPr>
      <w:b/>
      <w:bCs/>
    </w:rPr>
  </w:style>
  <w:style w:type="paragraph" w:styleId="ListBullet3">
    <w:name w:val="List Bullet 3"/>
    <w:basedOn w:val="Style21"/>
    <w:qFormat/>
    <w:pPr>
      <w:numPr>
        <w:ilvl w:val="0"/>
        <w:numId w:val="3"/>
      </w:numPr>
      <w:spacing w:before="0" w:after="60"/>
      <w:jc w:val="both"/>
    </w:pPr>
    <w:rPr>
      <w:szCs w:val="24"/>
    </w:rPr>
  </w:style>
  <w:style w:type="paragraph" w:styleId="ListBullet4">
    <w:name w:val="List Bullet 4"/>
    <w:basedOn w:val="ListBullet3"/>
    <w:qFormat/>
    <w:pPr/>
    <w:rPr/>
  </w:style>
  <w:style w:type="paragraph" w:styleId="Style25">
    <w:name w:val="Endnote Text"/>
    <w:basedOn w:val="Normal"/>
    <w:pPr/>
    <w:rPr>
      <w:rFonts w:ascii="Univers" w:hAnsi="Univers" w:cs="Univers"/>
      <w:sz w:val="16"/>
      <w:szCs w:val="16"/>
      <w:lang w:val="en-GB"/>
    </w:rPr>
  </w:style>
  <w:style w:type="paragraph" w:styleId="Style26"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7">
    <w:name w:val="Header"/>
    <w:basedOn w:val="Normal"/>
    <w:pPr>
      <w:tabs>
        <w:tab w:val="clear" w:pos="720"/>
        <w:tab w:val="center" w:pos="4677" w:leader="none"/>
        <w:tab w:val="right" w:pos="9355" w:leader="none"/>
      </w:tabs>
    </w:pPr>
    <w:rPr/>
  </w:style>
  <w:style w:type="paragraph" w:styleId="Style28">
    <w:name w:val="Footer"/>
    <w:basedOn w:val="Normal"/>
    <w:pPr>
      <w:tabs>
        <w:tab w:val="clear" w:pos="720"/>
        <w:tab w:val="center" w:pos="4677" w:leader="none"/>
        <w:tab w:val="right" w:pos="9355" w:leader="none"/>
      </w:tabs>
    </w:pPr>
    <w:rPr/>
  </w:style>
  <w:style w:type="paragraph" w:styleId="Style29" w:customStyle="1">
    <w:name w:val="Стиль"/>
    <w:qFormat/>
    <w:pPr>
      <w:widowControl w:val="false"/>
      <w:suppressAutoHyphens w:val="true"/>
      <w:bidi w:val="0"/>
      <w:spacing w:before="0" w:after="0"/>
      <w:jc w:val="left"/>
    </w:pPr>
    <w:rPr>
      <w:rFonts w:ascii="Arial" w:hAnsi="Arial" w:eastAsia="Times New Roman" w:cs="Arial"/>
      <w:color w:val="auto"/>
      <w:kern w:val="0"/>
      <w:sz w:val="24"/>
      <w:szCs w:val="24"/>
      <w:lang w:val="ru-RU" w:eastAsia="zh-CN" w:bidi="ar-SA"/>
    </w:rPr>
  </w:style>
  <w:style w:type="paragraph" w:styleId="Style30" w:customStyle="1">
    <w:name w:val="Знак"/>
    <w:basedOn w:val="Normal"/>
    <w:qFormat/>
    <w:pPr>
      <w:spacing w:lineRule="exact" w:line="240" w:before="0" w:after="160"/>
    </w:pPr>
    <w:rPr>
      <w:rFonts w:ascii="Verdana" w:hAnsi="Verdana" w:cs="Verdana"/>
      <w:sz w:val="24"/>
      <w:szCs w:val="24"/>
      <w:lang w:val="en-US"/>
    </w:rPr>
  </w:style>
  <w:style w:type="paragraph" w:styleId="ConsNonformat" w:customStyle="1">
    <w:name w:val="ConsNonformat"/>
    <w:qFormat/>
    <w:pPr>
      <w:widowControl/>
      <w:suppressAutoHyphens w:val="true"/>
      <w:bidi w:val="0"/>
      <w:spacing w:before="0" w:after="0"/>
      <w:jc w:val="left"/>
    </w:pPr>
    <w:rPr>
      <w:rFonts w:ascii="Consultant" w:hAnsi="Consultant" w:eastAsia="Arial" w:cs="Consultant"/>
      <w:color w:val="auto"/>
      <w:kern w:val="0"/>
      <w:sz w:val="20"/>
      <w:szCs w:val="20"/>
      <w:lang w:val="ru-RU" w:eastAsia="zh-CN" w:bidi="ar-SA"/>
    </w:rPr>
  </w:style>
  <w:style w:type="paragraph" w:styleId="Style31" w:customStyle="1">
    <w:name w:val="Текст таблицы"/>
    <w:basedOn w:val="Normal"/>
    <w:qFormat/>
    <w:pPr>
      <w:numPr>
        <w:ilvl w:val="0"/>
        <w:numId w:val="2"/>
      </w:numPr>
      <w:spacing w:before="40" w:after="40"/>
      <w:ind w:left="57" w:right="57" w:hanging="0"/>
    </w:pPr>
    <w:rPr>
      <w:sz w:val="24"/>
      <w:szCs w:val="24"/>
    </w:rPr>
  </w:style>
  <w:style w:type="paragraph" w:styleId="Style32" w:customStyle="1">
    <w:name w:val="Контракт-раздел"/>
    <w:basedOn w:val="Normal"/>
    <w:next w:val="Style33"/>
    <w:qFormat/>
    <w:pPr>
      <w:keepNext w:val="true"/>
      <w:numPr>
        <w:ilvl w:val="0"/>
        <w:numId w:val="2"/>
      </w:numPr>
      <w:tabs>
        <w:tab w:val="clear" w:pos="720"/>
        <w:tab w:val="left" w:pos="0" w:leader="none"/>
        <w:tab w:val="left" w:pos="540" w:leader="none"/>
      </w:tabs>
      <w:spacing w:before="360" w:after="120"/>
      <w:jc w:val="center"/>
    </w:pPr>
    <w:rPr>
      <w:b/>
      <w:bCs/>
      <w:caps/>
      <w:sz w:val="24"/>
      <w:szCs w:val="24"/>
    </w:rPr>
  </w:style>
  <w:style w:type="paragraph" w:styleId="Style33" w:customStyle="1">
    <w:name w:val="Контракт-пункт"/>
    <w:basedOn w:val="Normal"/>
    <w:qFormat/>
    <w:pPr>
      <w:numPr>
        <w:ilvl w:val="0"/>
        <w:numId w:val="2"/>
      </w:numPr>
      <w:jc w:val="both"/>
    </w:pPr>
    <w:rPr>
      <w:sz w:val="24"/>
      <w:szCs w:val="24"/>
    </w:rPr>
  </w:style>
  <w:style w:type="paragraph" w:styleId="Style34" w:customStyle="1">
    <w:name w:val="Контракт-подпункт"/>
    <w:basedOn w:val="Normal"/>
    <w:qFormat/>
    <w:pPr>
      <w:numPr>
        <w:ilvl w:val="0"/>
        <w:numId w:val="2"/>
      </w:numPr>
      <w:tabs>
        <w:tab w:val="clear" w:pos="720"/>
        <w:tab w:val="left" w:pos="851" w:leader="none"/>
      </w:tabs>
      <w:ind w:left="851" w:hanging="851"/>
      <w:jc w:val="both"/>
    </w:pPr>
    <w:rPr>
      <w:sz w:val="24"/>
      <w:szCs w:val="24"/>
    </w:rPr>
  </w:style>
  <w:style w:type="paragraph" w:styleId="311" w:customStyle="1">
    <w:name w:val="Основной текст с отступом 31"/>
    <w:basedOn w:val="Normal"/>
    <w:qFormat/>
    <w:pPr>
      <w:spacing w:before="0" w:after="120"/>
      <w:ind w:left="283" w:hanging="0"/>
    </w:pPr>
    <w:rPr>
      <w:sz w:val="16"/>
      <w:szCs w:val="16"/>
      <w:lang w:val="x-none"/>
    </w:rPr>
  </w:style>
  <w:style w:type="paragraph" w:styleId="16" w:customStyle="1">
    <w:name w:val="Обычный1"/>
    <w:qFormat/>
    <w:pPr>
      <w:widowControl/>
      <w:suppressAutoHyphens w:val="true"/>
      <w:bidi w:val="0"/>
      <w:spacing w:before="120" w:after="0"/>
      <w:jc w:val="both"/>
    </w:pPr>
    <w:rPr>
      <w:rFonts w:ascii="Times New Roman" w:hAnsi="Times New Roman" w:eastAsia="Times New Roman" w:cs="Times New Roman"/>
      <w:color w:val="auto"/>
      <w:kern w:val="0"/>
      <w:sz w:val="24"/>
      <w:szCs w:val="20"/>
      <w:lang w:val="ru-RU" w:eastAsia="zh-CN" w:bidi="ar-SA"/>
    </w:rPr>
  </w:style>
  <w:style w:type="paragraph" w:styleId="Style35" w:customStyle="1">
    <w:name w:val="Стиль По центру"/>
    <w:basedOn w:val="Normal"/>
    <w:qFormat/>
    <w:pPr>
      <w:jc w:val="both"/>
    </w:pPr>
    <w:rPr>
      <w:sz w:val="24"/>
    </w:rPr>
  </w:style>
  <w:style w:type="paragraph" w:styleId="ListParagraph">
    <w:name w:val="List Paragraph"/>
    <w:basedOn w:val="Normal"/>
    <w:qFormat/>
    <w:pPr>
      <w:spacing w:before="0" w:after="0"/>
      <w:ind w:left="720" w:hanging="0"/>
      <w:contextualSpacing/>
    </w:pPr>
    <w:rPr>
      <w:lang w:val="x-none"/>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Paragraph" w:customStyle="1">
    <w:name w:val="Table Paragraph"/>
    <w:basedOn w:val="Normal"/>
    <w:qFormat/>
    <w:pPr>
      <w:widowControl w:val="false"/>
      <w:spacing w:lineRule="exact" w:line="234"/>
      <w:ind w:left="37" w:hanging="0"/>
    </w:pPr>
    <w:rPr>
      <w:rFonts w:ascii="Arial" w:hAnsi="Arial" w:eastAsia="Arial" w:cs="Arial"/>
      <w:sz w:val="22"/>
      <w:szCs w:val="22"/>
      <w:lang w:bidi="ru-RU"/>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36" w:customStyle="1">
    <w:name w:val="Содержимое таблицы"/>
    <w:basedOn w:val="Normal"/>
    <w:qFormat/>
    <w:pPr>
      <w:widowControl w:val="false"/>
      <w:suppressLineNumbers/>
    </w:pPr>
    <w:rPr/>
  </w:style>
  <w:style w:type="paragraph" w:styleId="Style37" w:customStyle="1">
    <w:name w:val="Заголовок таблицы"/>
    <w:basedOn w:val="Style36"/>
    <w:qFormat/>
    <w:pPr>
      <w:jc w:val="center"/>
    </w:pPr>
    <w:rPr>
      <w:b/>
      <w:bCs/>
    </w:rPr>
  </w:style>
  <w:style w:type="paragraph" w:styleId="Standard" w:customStyle="1">
    <w:name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Договор Сем.Дв.dot</Template>
  <TotalTime>2</TotalTime>
  <Application>LibreOffice/7.0.6.2$Windows_X86_64 LibreOffice_project/144abb84a525d8e30c9dbbefa69cbbf2d8d4ae3b</Application>
  <AppVersion>15.0000</AppVersion>
  <Pages>7</Pages>
  <Words>2549</Words>
  <Characters>18205</Characters>
  <CharactersWithSpaces>20702</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2026-04-27T08:38:00Z</dcterms:created>
  <dc:creator>Красавчик</dc:creator>
  <dc:description/>
  <dc:language>ru-RU</dc:language>
  <cp:lastModifiedBy/>
  <cp:lastPrinted>2025-02-19T09:02:00Z</cp:lastPrinted>
  <dcterms:modified xsi:type="dcterms:W3CDTF">2026-05-13T12:04:42Z</dcterms:modified>
  <cp:revision>5</cp:revision>
  <dc:subject/>
  <dc:title>Д О Г О В О Р  № _________</dc:title>
</cp:coreProperties>
</file>

<file path=docProps/custom.xml><?xml version="1.0" encoding="utf-8"?>
<Properties xmlns="http://schemas.openxmlformats.org/officeDocument/2006/custom-properties" xmlns:vt="http://schemas.openxmlformats.org/officeDocument/2006/docPropsVTypes"/>
</file>