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rFonts w:eastAsiaTheme="minorHAnsi"/>
          <w:color w:val="00b050"/>
          <w:lang w:eastAsia="en-US"/>
        </w:rPr>
      </w:pPr>
      <w:r>
        <w:rPr>
          <w:rFonts w:eastAsiaTheme="minorHAnsi"/>
          <w:color w:val="00b050"/>
          <w:lang w:eastAsia="en-US"/>
        </w:rPr>
      </w:r>
      <w:r>
        <w:rPr>
          <w:rFonts w:eastAsiaTheme="minorHAnsi"/>
          <w:color w:val="00b050"/>
          <w:lang w:eastAsia="en-US"/>
        </w:rPr>
      </w:r>
      <w:r>
        <w:rPr>
          <w:rFonts w:eastAsiaTheme="minorHAnsi"/>
          <w:color w:val="00b050"/>
          <w:lang w:eastAsia="en-US"/>
        </w:rPr>
      </w:r>
    </w:p>
    <w:p>
      <w:pPr>
        <w:jc w:val="center"/>
      </w:pPr>
      <w:r>
        <w:t xml:space="preserve">Технические характеристики запасных частей, комплектующих для АРМ (</w:t>
      </w:r>
      <w:r>
        <w:t xml:space="preserve">Приобретение мониторов взамен списанных, вышедших из строя</w:t>
      </w:r>
      <w:r>
        <w:t xml:space="preserve">)</w:t>
      </w:r>
      <w:r>
        <w:t xml:space="preserve"> (ОКПД 26.20.17.110) (КТРУ 26.20.17.110-00000011).</w:t>
      </w:r>
      <w:r/>
      <w:r/>
    </w:p>
    <w:p>
      <w:pPr>
        <w:jc w:val="center"/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tbl>
      <w:tblPr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86"/>
        <w:gridCol w:w="5437"/>
        <w:gridCol w:w="709"/>
        <w:gridCol w:w="786"/>
      </w:tblGrid>
      <w:tr>
        <w:tblPrEx/>
        <w:trPr>
          <w:jc w:val="center"/>
        </w:trPr>
        <w:tc>
          <w:tcPr>
            <w:shd w:val="clear" w:color="ffffff" w:fill="ffffff"/>
            <w:tcW w:w="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  <w:r/>
          </w:p>
        </w:tc>
        <w:tc>
          <w:tcPr>
            <w:shd w:val="clear" w:color="ffffff" w:fill="ffffff"/>
            <w:tcW w:w="1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  <w:r/>
          </w:p>
        </w:tc>
        <w:tc>
          <w:tcPr>
            <w:shd w:val="clear" w:color="ffffff" w:fill="ffffff"/>
            <w:tcW w:w="54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Наименование, артикул,</w:t>
            </w:r>
            <w:r/>
            <w:r/>
          </w:p>
          <w:p>
            <w:pPr>
              <w:jc w:val="center"/>
            </w:pPr>
            <w:r>
              <w:t xml:space="preserve">функциональные характеристики</w:t>
            </w:r>
            <w:r/>
            <w:r/>
          </w:p>
          <w:p>
            <w:pPr>
              <w:jc w:val="center"/>
            </w:pPr>
            <w:r>
              <w:t xml:space="preserve">(потребительские свойства)</w:t>
            </w:r>
            <w:r/>
            <w:r/>
          </w:p>
        </w:tc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Ед.</w:t>
            </w:r>
            <w:r/>
            <w:r/>
          </w:p>
          <w:p>
            <w:pPr>
              <w:jc w:val="center"/>
            </w:pPr>
            <w:r>
              <w:t xml:space="preserve">изм.</w:t>
            </w:r>
            <w:r/>
            <w:r/>
          </w:p>
        </w:tc>
        <w:tc>
          <w:tcPr>
            <w:shd w:val="clear" w:color="ffffff" w:fill="ffffff"/>
            <w:tcW w:w="78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Кол</w:t>
            </w: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</w:pPr>
            <w:r>
              <w:t xml:space="preserve">во</w:t>
            </w:r>
            <w:r/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W w:w="6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  <w:r/>
          </w:p>
        </w:tc>
        <w:tc>
          <w:tcPr>
            <w:shd w:val="clear" w:color="ffffff" w:fill="ffffff"/>
            <w:tcW w:w="1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  <w:r/>
          </w:p>
        </w:tc>
        <w:tc>
          <w:tcPr>
            <w:shd w:val="clear" w:color="ffffff" w:fill="ffffff"/>
            <w:tcW w:w="54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  <w:r/>
          </w:p>
        </w:tc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  <w:r/>
          </w:p>
        </w:tc>
        <w:tc>
          <w:tcPr>
            <w:shd w:val="clear" w:color="ffffff" w:fill="ffffff"/>
            <w:tcW w:w="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  <w:r/>
          </w:p>
        </w:tc>
      </w:tr>
      <w:tr>
        <w:tblPrEx/>
        <w:trPr>
          <w:jc w:val="center"/>
        </w:trPr>
        <w:tc>
          <w:tcPr>
            <w:shd w:val="clear" w:color="ffffff" w:fill="ffffff"/>
            <w:tcW w:w="62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W w:w="1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26.20.17.110-00000011</w:t>
            </w:r>
            <w:r/>
            <w:r/>
          </w:p>
          <w:p>
            <w:pPr>
              <w:jc w:val="center"/>
              <w:rPr>
                <w:lang w:val="en-US"/>
              </w:rPr>
            </w:pPr>
            <w:r>
              <w:t xml:space="preserve">Монитор подключаемый к компьютеру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W w:w="5437" w:type="dxa"/>
            <w:vAlign w:val="center"/>
            <w:textDirection w:val="lrTb"/>
            <w:noWrap w:val="false"/>
          </w:tcPr>
          <w:p>
            <w:r>
              <w:t xml:space="preserve">Размер диагонали, дюйм (25,4 мм): ≥ 23.0</w:t>
            </w:r>
            <w:r/>
            <w:r/>
          </w:p>
          <w:p>
            <w:r>
              <w:t xml:space="preserve">Угол обзора по вертикали, градус: </w:t>
            </w:r>
            <w:r>
              <w:t xml:space="preserve">≥ 178</w:t>
            </w:r>
            <w:r/>
            <w:r/>
          </w:p>
          <w:p>
            <w:r>
              <w:t xml:space="preserve">Угол обзора по горизонтали, градус: </w:t>
            </w:r>
            <w:r>
              <w:t xml:space="preserve">≥ 178</w:t>
            </w:r>
            <w:r/>
            <w:r/>
          </w:p>
          <w:p>
            <w:r>
              <w:t xml:space="preserve">Технология изготовления матрицы дисплея: </w:t>
            </w:r>
            <w:r>
              <w:rPr>
                <w:lang w:val="en-US"/>
              </w:rPr>
              <w:t xml:space="preserve">IPS</w:t>
            </w:r>
            <w:r>
              <w:t xml:space="preserve"> (</w:t>
            </w:r>
            <w:r>
              <w:rPr>
                <w:lang w:val="en-US"/>
              </w:rPr>
              <w:t xml:space="preserve">PLS</w:t>
            </w:r>
            <w:r>
              <w:t xml:space="preserve">, </w:t>
            </w:r>
            <w:r>
              <w:rPr>
                <w:lang w:val="en-US"/>
              </w:rPr>
              <w:t xml:space="preserve">ADS</w:t>
            </w:r>
            <w:r>
              <w:t xml:space="preserve">, </w:t>
            </w:r>
            <w:r>
              <w:rPr>
                <w:lang w:val="en-US"/>
              </w:rPr>
              <w:t xml:space="preserve">AAS</w:t>
            </w:r>
            <w:r>
              <w:t xml:space="preserve">, </w:t>
            </w:r>
            <w:r>
              <w:rPr>
                <w:lang w:val="en-US"/>
              </w:rPr>
              <w:t xml:space="preserve">FFS</w:t>
            </w:r>
            <w:r>
              <w:t xml:space="preserve">, </w:t>
            </w:r>
            <w:r>
              <w:rPr>
                <w:lang w:val="en-US"/>
              </w:rPr>
              <w:t xml:space="preserve">SFT</w:t>
            </w:r>
            <w:r>
              <w:t xml:space="preserve">, </w:t>
            </w:r>
            <w:r>
              <w:rPr>
                <w:lang w:val="en-US"/>
              </w:rPr>
              <w:t xml:space="preserve">New</w:t>
            </w:r>
            <w:r>
              <w:t xml:space="preserve"> </w:t>
            </w:r>
            <w:r>
              <w:rPr>
                <w:lang w:val="en-US"/>
              </w:rPr>
              <w:t xml:space="preserve">Mode</w:t>
            </w:r>
            <w:r>
              <w:t xml:space="preserve">2, </w:t>
            </w:r>
            <w:r>
              <w:rPr>
                <w:lang w:val="en-US"/>
              </w:rPr>
              <w:t xml:space="preserve">Vistarich</w:t>
            </w:r>
            <w:r>
              <w:t xml:space="preserve">)</w:t>
            </w:r>
            <w:r/>
            <w:r/>
          </w:p>
          <w:p>
            <w:r>
              <w:t xml:space="preserve">Разрешение экрана, Пиксель</w:t>
            </w:r>
            <w:r>
              <w:t xml:space="preserve">: 1920x1080</w:t>
            </w:r>
            <w:r/>
            <w:r/>
          </w:p>
          <w:p>
            <w:r>
              <w:t xml:space="preserve">Формат изображения: 16:9</w:t>
            </w:r>
            <w:r/>
            <w:r/>
          </w:p>
          <w:p>
            <w:r>
              <w:t xml:space="preserve">Интерфейс подключения: VGA, </w:t>
            </w:r>
            <w:r>
              <w:rPr>
                <w:lang w:val="en-US"/>
              </w:rPr>
              <w:t xml:space="preserve">HDMI</w:t>
            </w:r>
            <w:r/>
            <w:r/>
          </w:p>
          <w:p>
            <w:r>
              <w:t xml:space="preserve">Блок питания: Встроенный</w:t>
            </w:r>
            <w:r/>
            <w:r/>
          </w:p>
        </w:tc>
        <w:tc>
          <w:tcPr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шт.</w:t>
            </w:r>
            <w:r/>
            <w:r/>
          </w:p>
        </w:tc>
        <w:tc>
          <w:tcPr>
            <w:shd w:val="clear" w:color="ffffff" w:fill="ffffff"/>
            <w:tcW w:w="78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</w:tbl>
    <w:p>
      <w:pPr>
        <w:jc w:val="right"/>
        <w:spacing w:line="259" w:lineRule="auto"/>
      </w:pPr>
      <w:r/>
      <w:r/>
      <w:r/>
    </w:p>
    <w:p>
      <w:pPr>
        <w:ind w:firstLine="567"/>
        <w:rPr>
          <w:b/>
        </w:rPr>
      </w:pPr>
      <w:r>
        <w:rPr>
          <w:b/>
        </w:rPr>
        <w:t xml:space="preserve">Технические требования к качеству, упаковке, безопасности и поставке Товара:</w:t>
      </w:r>
      <w:r>
        <w:rPr>
          <w:b/>
        </w:rPr>
      </w:r>
      <w:r>
        <w:rPr>
          <w:b/>
        </w:rPr>
      </w:r>
    </w:p>
    <w:p>
      <w:pPr>
        <w:pStyle w:val="1_178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Товарный знак (при наличии), а также марка (модель) предлагаемых к поставке товаров должны соответствовать товарному знаку (при наличии) и марке (модели), указанным на упаковке товара и будут являться контрольными при приемке товара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78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78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предоставлению гарантий товара – Поставщик обязан предоставить гарантию на весь поставляемый товар.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78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гарантий осуществляется вместе с товаром. Срок предоставления гарантии Поставщика: не менее 12 месяцев со дня сдачи-приемки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t xml:space="preserve">Требования к гарантийному обслуживанию товара – Поставщик обязуется выполнить гарантийное </w:t>
      </w:r>
      <w:r>
        <w:t xml:space="preserve">обслуживание поставляемого товара в течении всего гарантийного срока без дополнительных расходов со стороны Заказчика. Расходы по возврату товара или отправке его в ремонт, восстановлению, замене и доукомплектованию производятся за счёт средств Поставщика.</w:t>
      </w:r>
      <w:r/>
      <w:r/>
    </w:p>
    <w:p>
      <w:pPr>
        <w:pStyle w:val="1_178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  <w:t xml:space="preserve">Порядок поставки Товара.</w:t>
      </w:r>
      <w:r>
        <w:rPr>
          <w:b/>
        </w:rPr>
      </w:r>
      <w:r>
        <w:rPr>
          <w:b/>
        </w:rPr>
      </w:r>
    </w:p>
    <w:p>
      <w:pPr>
        <w:ind w:firstLine="567"/>
        <w:jc w:val="both"/>
      </w:pPr>
      <w:r>
        <w:t xml:space="preserve">Поставка Товара осуществляется Поставщиком одной партией по адресу: Вологодская область, г. Вологда, ул. Челюскинцев, д.3 на с</w:t>
      </w:r>
      <w:r>
        <w:t xml:space="preserve">клад Заказчика в рабочее </w:t>
      </w:r>
      <w:r>
        <w:t xml:space="preserve">время </w:t>
      </w:r>
      <w:r>
        <w:t xml:space="preserve"> </w:t>
      </w:r>
      <w:r>
        <w:t xml:space="preserve">Заказчика</w:t>
      </w:r>
      <w:r>
        <w:t xml:space="preserve"> в течении 5 рабочих дней с даты заключения контракта.</w:t>
      </w:r>
      <w:r/>
      <w:r/>
    </w:p>
    <w:p>
      <w:pPr>
        <w:ind w:firstLine="567"/>
        <w:jc w:val="both"/>
      </w:pPr>
      <w:r>
        <w:t xml:space="preserve">Замена Товара с дефектами и недостатками, выявленными в процессе сдачи-приемки Товара, осуществляется Поставщиком самостоятельно в сроки, установленные Государственным контрактом для поставки Товара.</w:t>
      </w:r>
      <w:r/>
      <w:r/>
    </w:p>
    <w:p>
      <w:pPr>
        <w:ind w:firstLine="567"/>
        <w:jc w:val="both"/>
      </w:pPr>
      <w:r>
        <w:t xml:space="preserve">Обязательства Поставщика по передаче Товара считаются исполненными с момента подписания сторонами документа о приемке в ЕИС.</w:t>
      </w:r>
      <w:r/>
      <w:r/>
    </w:p>
    <w:p>
      <w:pPr>
        <w:ind w:firstLine="567"/>
        <w:jc w:val="both"/>
      </w:pPr>
      <w:r>
        <w:t xml:space="preserve">Цена включает в себя: стоимость Товара, расходы, связа</w:t>
      </w:r>
      <w:r>
        <w:t xml:space="preserve">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178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moskvin_as</cp:lastModifiedBy>
  <cp:revision>1</cp:revision>
  <dcterms:modified xsi:type="dcterms:W3CDTF">2026-06-26T07:25:54Z</dcterms:modified>
</cp:coreProperties>
</file>