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 xml:space="preserve">VI</w:t>
      </w:r>
      <w:r>
        <w:rPr>
          <w:rFonts w:ascii="Times New Roman" w:hAnsi="Times New Roman" w:cs="Times New Roman"/>
          <w:b/>
        </w:rPr>
        <w:t xml:space="preserve">. ОБОСНОВАНИЕ НАЧАЛЬНОЙ (МАКСИМАЛЬНОЙ) ЦЕНЫ КОНТРАКТА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Расчет НМЦК нормативным методом совместно с методом сопоставимых рыночных цен (анализа рынка), являющимся приоритетным для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определения и обоснования НМЦК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36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контракта сформирована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</w:t>
      </w:r>
      <w:r>
        <w:rPr>
          <w:rFonts w:ascii="Times New Roman" w:hAnsi="Times New Roman" w:cs="Times New Roman"/>
          <w:sz w:val="24"/>
          <w:szCs w:val="24"/>
        </w:rPr>
        <w:t xml:space="preserve"> (далее – методические рекомендации).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36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получения ценовой информации в отношении</w:t>
      </w:r>
      <w:r>
        <w:rPr>
          <w:rFonts w:ascii="Times New Roman" w:hAnsi="Times New Roman" w:cs="Times New Roman"/>
          <w:sz w:val="24"/>
          <w:szCs w:val="24"/>
        </w:rPr>
        <w:t xml:space="preserve"> объекта закупки </w:t>
      </w:r>
      <w:r>
        <w:rPr>
          <w:rFonts w:ascii="Times New Roman" w:hAnsi="Times New Roman" w:cs="Times New Roman"/>
          <w:sz w:val="24"/>
          <w:szCs w:val="24"/>
        </w:rPr>
        <w:t xml:space="preserve">для определения начальной (максимальной) цены контракта заказчиком осуществлен анализ общедоступной ценовой информации (реклама, каталоги, описания товара и другие предложения, обращенн</w:t>
      </w:r>
      <w:r>
        <w:rPr>
          <w:rFonts w:ascii="Times New Roman" w:hAnsi="Times New Roman" w:cs="Times New Roman"/>
          <w:sz w:val="24"/>
          <w:szCs w:val="24"/>
        </w:rPr>
        <w:t xml:space="preserve">ые к неопределенному кругу лиц).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Проанализированы следующие источники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868"/>
        <w:tblW w:w="4958" w:type="pct"/>
        <w:tblInd w:w="137" w:type="dxa"/>
        <w:tblLook w:val="04A0" w:firstRow="1" w:lastRow="0" w:firstColumn="1" w:lastColumn="0" w:noHBand="0" w:noVBand="1"/>
      </w:tblPr>
      <w:tblGrid>
        <w:gridCol w:w="875"/>
        <w:gridCol w:w="8226"/>
        <w:gridCol w:w="6461"/>
      </w:tblGrid>
      <w:tr>
        <w:tblPrEx/>
        <w:trPr/>
        <w:tc>
          <w:tcPr>
            <w:tcW w:w="28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№ п/п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264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Ссылка на источник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207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Причина невозможности использования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ценовой информации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431"/>
        </w:trPr>
        <w:tc>
          <w:tcPr>
            <w:tcW w:w="28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264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https://khabarovsk.rt.ru/b2b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2076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eastAsia="en-US"/>
              </w:rPr>
              <w:t xml:space="preserve">Н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eastAsia="en-US"/>
              </w:rPr>
              <w:t xml:space="preserve">е использованы 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eastAsia="en-US"/>
              </w:rPr>
              <w:t xml:space="preserve">в расчете Н(М)ЦК 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eastAsia="en-US"/>
              </w:rPr>
              <w:t xml:space="preserve">в связи с несоответствием условиям закупки и невозможностью приведения их к сопоставимым значениям (несоответствие объема, перечня, места поставки, объект закупок входит в состав товара в реестровых записях и не является отдельным товаром)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W w:w="28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264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https://b2b.ttk.ru/dostup_v_internet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2076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</w:tbl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осуществл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 (далее - реестр контрактов), об исполненных контрактах с условиями, схожими с потребностями заказчика.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Рассмотрены следующие реестровые записи по контрактам, которые исполнены и по которым не взыскивались неустойки (штрафы, пени) в связи с неисполнением или ненадлежащим исполнением предусмотренных такими контрактами обязательств:</w:t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tbl>
      <w:tblPr>
        <w:tblW w:w="15622" w:type="dxa"/>
        <w:tblInd w:w="10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3"/>
        <w:gridCol w:w="1894"/>
        <w:gridCol w:w="316"/>
        <w:gridCol w:w="676"/>
        <w:gridCol w:w="1985"/>
        <w:gridCol w:w="1701"/>
        <w:gridCol w:w="1134"/>
        <w:gridCol w:w="992"/>
        <w:gridCol w:w="992"/>
        <w:gridCol w:w="993"/>
        <w:gridCol w:w="1275"/>
        <w:gridCol w:w="1134"/>
        <w:gridCol w:w="2127"/>
      </w:tblGrid>
      <w:tr>
        <w:tblPrEx/>
        <w:trPr>
          <w:trHeight w:val="29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94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  <w:t xml:space="preserve">Реестровая запись контракта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  <w:t xml:space="preserve">Объем услуг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98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  <w:t xml:space="preserve">Условия оплаты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  <w:t xml:space="preserve">Условия поставки, оказания услуг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  <w:t xml:space="preserve">Обеспечение исполнения контракта (договора), руб.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  <w:t xml:space="preserve">Дата заключения контракта (договора)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  <w:t xml:space="preserve">Дата исполнения контракта (договора)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  <w:t xml:space="preserve">Цена за единицу, руб.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  <w:t xml:space="preserve">Корректирующие коэффициенты (индексы)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val="en-US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  <w:t xml:space="preserve">Цена за единицу скорректированная, руб.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  <w:t xml:space="preserve">Примечание (в случае невозможности использовать реестровую запись)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40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8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31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6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98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</w:rPr>
            </w:r>
          </w:p>
        </w:tc>
      </w:tr>
    </w:tbl>
    <w:p>
      <w:pPr>
        <w:contextualSpacing/>
        <w:ind w:firstLine="709"/>
        <w:jc w:val="both"/>
        <w:spacing w:after="0" w:line="20" w:lineRule="exact"/>
        <w:tabs>
          <w:tab w:val="left" w:pos="1073" w:leader="none"/>
        </w:tabs>
        <w:rPr>
          <w:rFonts w:ascii="Times New Roman" w:hAnsi="Times New Roman"/>
          <w:sz w:val="2"/>
          <w:szCs w:val="24"/>
        </w:rPr>
      </w:pPr>
      <w:r>
        <w:rPr>
          <w:rFonts w:ascii="Times New Roman" w:hAnsi="Times New Roman"/>
          <w:sz w:val="2"/>
          <w:szCs w:val="24"/>
        </w:rPr>
      </w:r>
      <w:r>
        <w:rPr>
          <w:rFonts w:ascii="Times New Roman" w:hAnsi="Times New Roman"/>
          <w:sz w:val="2"/>
          <w:szCs w:val="24"/>
        </w:rPr>
      </w:r>
      <w:r>
        <w:rPr>
          <w:rFonts w:ascii="Times New Roman" w:hAnsi="Times New Roman"/>
          <w:sz w:val="2"/>
          <w:szCs w:val="24"/>
        </w:rPr>
      </w:r>
    </w:p>
    <w:tbl>
      <w:tblPr>
        <w:tblW w:w="15622" w:type="dxa"/>
        <w:tblInd w:w="10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0"/>
        <w:gridCol w:w="1954"/>
        <w:gridCol w:w="517"/>
        <w:gridCol w:w="476"/>
        <w:gridCol w:w="1973"/>
        <w:gridCol w:w="1759"/>
        <w:gridCol w:w="1042"/>
        <w:gridCol w:w="1036"/>
        <w:gridCol w:w="964"/>
        <w:gridCol w:w="984"/>
        <w:gridCol w:w="1231"/>
        <w:gridCol w:w="1230"/>
        <w:gridCol w:w="2096"/>
      </w:tblGrid>
      <w:tr>
        <w:tblPrEx/>
        <w:trPr>
          <w:trHeight w:val="97"/>
          <w:tblHeader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3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Cs/>
                <w:sz w:val="16"/>
                <w:szCs w:val="16"/>
              </w:rPr>
            </w:r>
          </w:p>
        </w:tc>
      </w:tr>
      <w:tr>
        <w:tblPrEx/>
        <w:trPr>
          <w:trHeight w:val="9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0" w:type="dxa"/>
            <w:vAlign w:val="center"/>
            <w:textDirection w:val="lrTb"/>
            <w:noWrap w:val="false"/>
          </w:tcPr>
          <w:p>
            <w:pPr>
              <w:pStyle w:val="881"/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</w:rPr>
              <w:outlineLvl w:val="1"/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</w:rPr>
              <w:t xml:space="preserve">2</w:t>
            </w:r>
            <w:r>
              <w:rPr>
                <w:rFonts w:ascii="Times New Roman" w:hAnsi="Times New Roman" w:cs="Times New Roman" w:eastAsiaTheme="minorEastAsia"/>
                <w:sz w:val="16"/>
                <w:szCs w:val="16"/>
              </w:rPr>
            </w:r>
            <w:r>
              <w:rPr>
                <w:rFonts w:ascii="Times New Roman" w:hAnsi="Times New Roman" w:cs="Times New Roman" w:eastAsiaTheme="minorEastAsia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100300834123100018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16"/>
                <w:szCs w:val="16"/>
              </w:rPr>
              <w:outlineLvl w:val="1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месяц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16"/>
                <w:szCs w:val="16"/>
              </w:rPr>
              <w:outlineLvl w:val="1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3" w:type="dxa"/>
            <w:vAlign w:val="center"/>
            <w:textDirection w:val="lrTb"/>
            <w:noWrap w:val="false"/>
          </w:tcPr>
          <w:p>
            <w:pPr>
              <w:ind w:right="141"/>
              <w:jc w:val="center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Оплата Услуг осуществляется в соответствии с бюджетным законодател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ьством РФ по безналичному расчету путем перечисления Заказчиком денежных средств на расчетный счет Исполнителя, указанный в контракте, по цене единицы Услуг исходя из объема фактически оказанных Услуг, но в размере, не превышающем лимит финансирования, 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основании выставленного Исполнителем счета или счета-фактуры в течение 10 рабочих дней после подписания Сторонами Акта оказанных услуг.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sz w:val="16"/>
                <w:szCs w:val="16"/>
              </w:rPr>
              <w:outlineLvl w:val="1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Расчет осуществляется ежемесячно за фактически оказанные Услуги.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16"/>
                <w:szCs w:val="16"/>
              </w:rPr>
              <w:outlineLvl w:val="1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В соответствии с требованиями, условиями и объемом, предусмотренными Технической частью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sz w:val="16"/>
                <w:szCs w:val="16"/>
              </w:rPr>
              <w:outlineLvl w:val="1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3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16"/>
                <w:szCs w:val="16"/>
              </w:rPr>
              <w:outlineLvl w:val="1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01.03.2023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16"/>
                <w:szCs w:val="16"/>
              </w:rPr>
              <w:outlineLvl w:val="1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31.12.2023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sz w:val="16"/>
                <w:szCs w:val="16"/>
              </w:rPr>
              <w:outlineLvl w:val="1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2800,00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16"/>
                <w:szCs w:val="16"/>
              </w:rPr>
              <w:outlineLvl w:val="1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16"/>
                <w:szCs w:val="16"/>
              </w:rPr>
              <w:outlineLvl w:val="1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16"/>
                <w:szCs w:val="16"/>
              </w:rPr>
              <w:outlineLvl w:val="1"/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eastAsia="en-US"/>
              </w:rPr>
              <w:t xml:space="preserve">Н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eastAsia="en-US"/>
              </w:rPr>
              <w:t xml:space="preserve">е использованы 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eastAsia="en-US"/>
              </w:rPr>
              <w:t xml:space="preserve">в расчете Н(М)ЦК 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eastAsia="en-US"/>
              </w:rPr>
              <w:t xml:space="preserve">в связи с несоответствием условиям закупки и невозможностью приведения их к сопоставимым значениям (несоответствие объема, перечня, места поставки)</w:t>
            </w:r>
            <w:bookmarkStart w:id="0" w:name="_GoBack"/>
            <w:r/>
            <w:bookmarkEnd w:id="0"/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</w:tbl>
    <w:p>
      <w:pPr>
        <w:pStyle w:val="869"/>
        <w:ind w:left="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</w:t>
      </w:r>
      <w:r>
        <w:rPr>
          <w:rFonts w:ascii="Times New Roman" w:hAnsi="Times New Roman" w:cs="Times New Roman"/>
          <w:sz w:val="24"/>
          <w:szCs w:val="24"/>
        </w:rPr>
        <w:t xml:space="preserve">аправлены запросы о предоставлении ценовой информации 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исполнителям</w:t>
      </w:r>
      <w:r>
        <w:rPr>
          <w:rFonts w:ascii="Times New Roman" w:hAnsi="Times New Roman" w:cs="Times New Roman"/>
          <w:sz w:val="24"/>
          <w:szCs w:val="24"/>
        </w:rPr>
        <w:t xml:space="preserve">, обладающим опытом соответствующих услуг, информация о которых имеется в свободном доступе. Заказчиком получены ответы от 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исполнителей</w:t>
      </w:r>
      <w:r>
        <w:rPr>
          <w:rFonts w:ascii="Times New Roman" w:hAnsi="Times New Roman" w:cs="Times New Roman"/>
          <w:sz w:val="24"/>
          <w:szCs w:val="24"/>
        </w:rPr>
        <w:t xml:space="preserve"> с ценовой информацией, на основании которых осуществлен расчет начальной (максимальной) цены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</w:pPr>
      <w:r/>
      <w:bookmarkStart w:id="1" w:name="_MON_1692443902"/>
      <w:r/>
      <w:bookmarkEnd w:id="1"/>
      <w:r/>
      <w:bookmarkStart w:id="2" w:name="_MON_1452692368"/>
      <w:r/>
      <w:bookmarkEnd w:id="2"/>
      <w:r>
        <w:object w:dxaOrig="15825" w:dyaOrig="1875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0" o:spid="_x0000_s0" type="#_x0000_t75" style="width:791.30pt;height:94.40pt;mso-wrap-distance-left:0.00pt;mso-wrap-distance-top:0.00pt;mso-wrap-distance-right:0.00pt;mso-wrap-distance-bottom:0.00pt;" filled="f" stroked="f">
            <v:path textboxrect="0,0,0,0"/>
            <v:imagedata r:id="rId10" o:title=""/>
          </v:shape>
          <o:OLEObject DrawAspect="Content" r:id="rId11" ObjectID="_1525040" ProgID="Excel.Sheet.12" ShapeID="_x0000_i0" Type="Embed"/>
        </w:object>
      </w:r>
      <w:r>
        <w:rPr>
          <w:rFonts w:ascii="Times New Roman" w:hAnsi="Times New Roman"/>
          <w:b/>
          <w:sz w:val="24"/>
          <w:szCs w:val="24"/>
        </w:rPr>
        <w:t xml:space="preserve">По результатам расчетов начальная (максимальная) цена контракта соста</w:t>
      </w:r>
      <w:r>
        <w:rPr>
          <w:rFonts w:ascii="Times New Roman" w:hAnsi="Times New Roman"/>
          <w:b/>
          <w:sz w:val="24"/>
          <w:szCs w:val="24"/>
        </w:rPr>
        <w:t xml:space="preserve">вила: </w:t>
      </w:r>
      <w:r>
        <w:rPr>
          <w:rFonts w:ascii="Times New Roman" w:hAnsi="Times New Roman"/>
          <w:b/>
          <w:sz w:val="24"/>
          <w:szCs w:val="24"/>
        </w:rPr>
        <w:t xml:space="preserve">320 000,00</w:t>
      </w:r>
      <w:r>
        <w:rPr>
          <w:rFonts w:ascii="Times New Roman" w:hAnsi="Times New Roman"/>
          <w:b/>
          <w:sz w:val="24"/>
          <w:szCs w:val="24"/>
        </w:rPr>
        <w:t xml:space="preserve"> рубл</w:t>
      </w:r>
      <w:r>
        <w:rPr>
          <w:rFonts w:ascii="Times New Roman" w:hAnsi="Times New Roman"/>
          <w:b/>
          <w:sz w:val="24"/>
          <w:szCs w:val="24"/>
        </w:rPr>
        <w:t xml:space="preserve">ей.</w:t>
      </w:r>
      <w:r/>
    </w:p>
    <w:p>
      <w:pPr>
        <w:spacing w:after="0" w:line="240" w:lineRule="auto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Реквизиты документов, используемых при расчете начальной (максимальной) цены контракта:</w: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Предлож</w:t>
      </w:r>
      <w:r>
        <w:rPr>
          <w:rFonts w:ascii="Times New Roman" w:hAnsi="Times New Roman" w:eastAsia="Times New Roman"/>
          <w:sz w:val="24"/>
          <w:szCs w:val="24"/>
        </w:rPr>
        <w:t xml:space="preserve">ение 1: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от 04.08.2026</w:t>
      </w:r>
      <w:r>
        <w:rPr>
          <w:rFonts w:ascii="Times New Roman" w:hAnsi="Times New Roman" w:eastAsia="Times New Roman"/>
          <w:sz w:val="24"/>
          <w:szCs w:val="24"/>
        </w:rPr>
        <w:t xml:space="preserve"> № </w:t>
      </w:r>
      <w:r>
        <w:rPr>
          <w:rFonts w:ascii="Times New Roman" w:hAnsi="Times New Roman" w:eastAsia="Times New Roman"/>
          <w:sz w:val="24"/>
          <w:szCs w:val="24"/>
        </w:rPr>
        <w:t xml:space="preserve">1793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Предложение 2: от </w:t>
      </w:r>
      <w:r>
        <w:rPr>
          <w:rFonts w:ascii="Times New Roman" w:hAnsi="Times New Roman" w:eastAsia="Times New Roman"/>
          <w:sz w:val="24"/>
          <w:szCs w:val="24"/>
        </w:rPr>
        <w:t xml:space="preserve">03.08.2026 № б/н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Предложение 3: от </w:t>
      </w:r>
      <w:r>
        <w:rPr>
          <w:rFonts w:ascii="Times New Roman" w:hAnsi="Times New Roman" w:eastAsia="Times New Roman"/>
          <w:sz w:val="24"/>
          <w:szCs w:val="24"/>
        </w:rPr>
        <w:t xml:space="preserve">04.08.2026 № б/н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подготовки обоснования начальной (максимальной) цены контракта: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8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.20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</w:t>
      </w:r>
      <w:r>
        <w:rPr>
          <w:rFonts w:ascii="Times New Roman" w:hAnsi="Times New Roman" w:cs="Times New Roman"/>
          <w:sz w:val="24"/>
          <w:szCs w:val="24"/>
        </w:rPr>
        <w:t xml:space="preserve">ответственного исполнителя: </w:t>
      </w:r>
      <w:r>
        <w:rPr>
          <w:rFonts w:ascii="Times New Roman" w:hAnsi="Times New Roman" w:cs="Times New Roman"/>
          <w:sz w:val="24"/>
          <w:szCs w:val="24"/>
        </w:rPr>
        <w:t xml:space="preserve">Крицкий А.А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, тел. 40-</w:t>
      </w:r>
      <w:r>
        <w:rPr>
          <w:rFonts w:ascii="Times New Roman" w:hAnsi="Times New Roman" w:cs="Times New Roman"/>
          <w:sz w:val="24"/>
          <w:szCs w:val="24"/>
        </w:rPr>
        <w:t xml:space="preserve">26-46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9"/>
      <w:footnotePr/>
      <w:endnotePr/>
      <w:type w:val="nextPage"/>
      <w:pgSz w:w="16838" w:h="11906" w:orient="landscape"/>
      <w:pgMar w:top="1701" w:right="567" w:bottom="567" w:left="567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302020402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349313935"/>
      <w:docPartObj>
        <w:docPartGallery w:val="Page Numbers (Top of Page)"/>
        <w:docPartUnique w:val="true"/>
      </w:docPartObj>
      <w:rPr/>
    </w:sdtPr>
    <w:sdtContent>
      <w:p>
        <w:pPr>
          <w:pStyle w:val="87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7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1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85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7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9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1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3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5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7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91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0">
    <w:name w:val="Heading 1"/>
    <w:basedOn w:val="864"/>
    <w:next w:val="864"/>
    <w:link w:val="69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1">
    <w:name w:val="Heading 1 Char"/>
    <w:basedOn w:val="865"/>
    <w:link w:val="690"/>
    <w:uiPriority w:val="9"/>
    <w:rPr>
      <w:rFonts w:ascii="Arial" w:hAnsi="Arial" w:eastAsia="Arial" w:cs="Arial"/>
      <w:sz w:val="40"/>
      <w:szCs w:val="40"/>
    </w:rPr>
  </w:style>
  <w:style w:type="paragraph" w:styleId="692">
    <w:name w:val="Heading 2"/>
    <w:basedOn w:val="864"/>
    <w:next w:val="864"/>
    <w:link w:val="69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3">
    <w:name w:val="Heading 2 Char"/>
    <w:basedOn w:val="865"/>
    <w:link w:val="692"/>
    <w:uiPriority w:val="9"/>
    <w:rPr>
      <w:rFonts w:ascii="Arial" w:hAnsi="Arial" w:eastAsia="Arial" w:cs="Arial"/>
      <w:sz w:val="34"/>
    </w:rPr>
  </w:style>
  <w:style w:type="paragraph" w:styleId="694">
    <w:name w:val="Heading 3"/>
    <w:basedOn w:val="864"/>
    <w:next w:val="864"/>
    <w:link w:val="69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5">
    <w:name w:val="Heading 3 Char"/>
    <w:basedOn w:val="865"/>
    <w:link w:val="694"/>
    <w:uiPriority w:val="9"/>
    <w:rPr>
      <w:rFonts w:ascii="Arial" w:hAnsi="Arial" w:eastAsia="Arial" w:cs="Arial"/>
      <w:sz w:val="30"/>
      <w:szCs w:val="30"/>
    </w:rPr>
  </w:style>
  <w:style w:type="paragraph" w:styleId="696">
    <w:name w:val="Heading 4"/>
    <w:basedOn w:val="864"/>
    <w:next w:val="864"/>
    <w:link w:val="69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7">
    <w:name w:val="Heading 4 Char"/>
    <w:basedOn w:val="865"/>
    <w:link w:val="696"/>
    <w:uiPriority w:val="9"/>
    <w:rPr>
      <w:rFonts w:ascii="Arial" w:hAnsi="Arial" w:eastAsia="Arial" w:cs="Arial"/>
      <w:b/>
      <w:bCs/>
      <w:sz w:val="26"/>
      <w:szCs w:val="26"/>
    </w:rPr>
  </w:style>
  <w:style w:type="paragraph" w:styleId="698">
    <w:name w:val="Heading 5"/>
    <w:basedOn w:val="864"/>
    <w:next w:val="864"/>
    <w:link w:val="69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9">
    <w:name w:val="Heading 5 Char"/>
    <w:basedOn w:val="865"/>
    <w:link w:val="698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64"/>
    <w:next w:val="864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basedOn w:val="865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64"/>
    <w:next w:val="864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basedOn w:val="865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64"/>
    <w:next w:val="864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basedOn w:val="865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64"/>
    <w:next w:val="864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basedOn w:val="865"/>
    <w:link w:val="706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No Spacing"/>
    <w:uiPriority w:val="1"/>
    <w:qFormat/>
    <w:pPr>
      <w:spacing w:before="0" w:after="0" w:line="240" w:lineRule="auto"/>
    </w:pPr>
  </w:style>
  <w:style w:type="paragraph" w:styleId="709">
    <w:name w:val="Title"/>
    <w:basedOn w:val="864"/>
    <w:next w:val="864"/>
    <w:link w:val="71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0">
    <w:name w:val="Title Char"/>
    <w:basedOn w:val="865"/>
    <w:link w:val="709"/>
    <w:uiPriority w:val="10"/>
    <w:rPr>
      <w:sz w:val="48"/>
      <w:szCs w:val="48"/>
    </w:rPr>
  </w:style>
  <w:style w:type="paragraph" w:styleId="711">
    <w:name w:val="Subtitle"/>
    <w:basedOn w:val="864"/>
    <w:next w:val="864"/>
    <w:link w:val="712"/>
    <w:uiPriority w:val="11"/>
    <w:qFormat/>
    <w:pPr>
      <w:spacing w:before="200" w:after="200"/>
    </w:pPr>
    <w:rPr>
      <w:sz w:val="24"/>
      <w:szCs w:val="24"/>
    </w:rPr>
  </w:style>
  <w:style w:type="character" w:styleId="712">
    <w:name w:val="Subtitle Char"/>
    <w:basedOn w:val="865"/>
    <w:link w:val="711"/>
    <w:uiPriority w:val="11"/>
    <w:rPr>
      <w:sz w:val="24"/>
      <w:szCs w:val="24"/>
    </w:rPr>
  </w:style>
  <w:style w:type="paragraph" w:styleId="713">
    <w:name w:val="Quote"/>
    <w:basedOn w:val="864"/>
    <w:next w:val="864"/>
    <w:link w:val="714"/>
    <w:uiPriority w:val="29"/>
    <w:qFormat/>
    <w:pPr>
      <w:ind w:left="720" w:right="720"/>
    </w:pPr>
    <w:rPr>
      <w:i/>
    </w:rPr>
  </w:style>
  <w:style w:type="character" w:styleId="714">
    <w:name w:val="Quote Char"/>
    <w:link w:val="713"/>
    <w:uiPriority w:val="29"/>
    <w:rPr>
      <w:i/>
    </w:rPr>
  </w:style>
  <w:style w:type="paragraph" w:styleId="715">
    <w:name w:val="Intense Quote"/>
    <w:basedOn w:val="864"/>
    <w:next w:val="864"/>
    <w:link w:val="71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6">
    <w:name w:val="Intense Quote Char"/>
    <w:link w:val="715"/>
    <w:uiPriority w:val="30"/>
    <w:rPr>
      <w:i/>
    </w:rPr>
  </w:style>
  <w:style w:type="character" w:styleId="717">
    <w:name w:val="Header Char"/>
    <w:basedOn w:val="865"/>
    <w:link w:val="875"/>
    <w:uiPriority w:val="99"/>
  </w:style>
  <w:style w:type="character" w:styleId="718">
    <w:name w:val="Footer Char"/>
    <w:basedOn w:val="865"/>
    <w:link w:val="877"/>
    <w:uiPriority w:val="99"/>
  </w:style>
  <w:style w:type="paragraph" w:styleId="719">
    <w:name w:val="Caption"/>
    <w:basedOn w:val="864"/>
    <w:next w:val="86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0">
    <w:name w:val="Caption Char"/>
    <w:basedOn w:val="719"/>
    <w:link w:val="877"/>
    <w:uiPriority w:val="99"/>
  </w:style>
  <w:style w:type="table" w:styleId="721">
    <w:name w:val="Table Grid Light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3">
    <w:name w:val="Grid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4">
    <w:name w:val="Grid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5">
    <w:name w:val="Grid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6">
    <w:name w:val="Grid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7">
    <w:name w:val="Grid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9">
    <w:name w:val="List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0">
    <w:name w:val="List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1">
    <w:name w:val="List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2">
    <w:name w:val="List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3">
    <w:name w:val="List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4">
    <w:name w:val="List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5">
    <w:name w:val="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 &amp; 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4">
    <w:name w:val="Bordered &amp; 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5">
    <w:name w:val="Bordered &amp; 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6">
    <w:name w:val="Bordered &amp; 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7">
    <w:name w:val="Bordered &amp; 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8">
    <w:name w:val="Bordered &amp; 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9">
    <w:name w:val="Bordered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6">
    <w:name w:val="Hyperlink"/>
    <w:uiPriority w:val="99"/>
    <w:unhideWhenUsed/>
    <w:rPr>
      <w:color w:val="0000ff" w:themeColor="hyperlink"/>
      <w:u w:val="single"/>
    </w:rPr>
  </w:style>
  <w:style w:type="paragraph" w:styleId="847">
    <w:name w:val="footnote text"/>
    <w:basedOn w:val="864"/>
    <w:link w:val="848"/>
    <w:uiPriority w:val="99"/>
    <w:semiHidden/>
    <w:unhideWhenUsed/>
    <w:pPr>
      <w:spacing w:after="40" w:line="240" w:lineRule="auto"/>
    </w:pPr>
    <w:rPr>
      <w:sz w:val="18"/>
    </w:rPr>
  </w:style>
  <w:style w:type="character" w:styleId="848">
    <w:name w:val="Footnote Text Char"/>
    <w:link w:val="847"/>
    <w:uiPriority w:val="99"/>
    <w:rPr>
      <w:sz w:val="18"/>
    </w:rPr>
  </w:style>
  <w:style w:type="character" w:styleId="849">
    <w:name w:val="footnote reference"/>
    <w:basedOn w:val="865"/>
    <w:uiPriority w:val="99"/>
    <w:unhideWhenUsed/>
    <w:rPr>
      <w:vertAlign w:val="superscript"/>
    </w:rPr>
  </w:style>
  <w:style w:type="paragraph" w:styleId="850">
    <w:name w:val="endnote text"/>
    <w:basedOn w:val="864"/>
    <w:link w:val="851"/>
    <w:uiPriority w:val="99"/>
    <w:semiHidden/>
    <w:unhideWhenUsed/>
    <w:pPr>
      <w:spacing w:after="0" w:line="240" w:lineRule="auto"/>
    </w:pPr>
    <w:rPr>
      <w:sz w:val="20"/>
    </w:rPr>
  </w:style>
  <w:style w:type="character" w:styleId="851">
    <w:name w:val="Endnote Text Char"/>
    <w:link w:val="850"/>
    <w:uiPriority w:val="99"/>
    <w:rPr>
      <w:sz w:val="20"/>
    </w:rPr>
  </w:style>
  <w:style w:type="character" w:styleId="852">
    <w:name w:val="endnote reference"/>
    <w:basedOn w:val="865"/>
    <w:uiPriority w:val="99"/>
    <w:semiHidden/>
    <w:unhideWhenUsed/>
    <w:rPr>
      <w:vertAlign w:val="superscript"/>
    </w:rPr>
  </w:style>
  <w:style w:type="paragraph" w:styleId="853">
    <w:name w:val="toc 1"/>
    <w:basedOn w:val="864"/>
    <w:next w:val="864"/>
    <w:uiPriority w:val="39"/>
    <w:unhideWhenUsed/>
    <w:pPr>
      <w:ind w:left="0" w:right="0" w:firstLine="0"/>
      <w:spacing w:after="57"/>
    </w:pPr>
  </w:style>
  <w:style w:type="paragraph" w:styleId="854">
    <w:name w:val="toc 2"/>
    <w:basedOn w:val="864"/>
    <w:next w:val="864"/>
    <w:uiPriority w:val="39"/>
    <w:unhideWhenUsed/>
    <w:pPr>
      <w:ind w:left="283" w:right="0" w:firstLine="0"/>
      <w:spacing w:after="57"/>
    </w:pPr>
  </w:style>
  <w:style w:type="paragraph" w:styleId="855">
    <w:name w:val="toc 3"/>
    <w:basedOn w:val="864"/>
    <w:next w:val="864"/>
    <w:uiPriority w:val="39"/>
    <w:unhideWhenUsed/>
    <w:pPr>
      <w:ind w:left="567" w:right="0" w:firstLine="0"/>
      <w:spacing w:after="57"/>
    </w:pPr>
  </w:style>
  <w:style w:type="paragraph" w:styleId="856">
    <w:name w:val="toc 4"/>
    <w:basedOn w:val="864"/>
    <w:next w:val="864"/>
    <w:uiPriority w:val="39"/>
    <w:unhideWhenUsed/>
    <w:pPr>
      <w:ind w:left="850" w:right="0" w:firstLine="0"/>
      <w:spacing w:after="57"/>
    </w:pPr>
  </w:style>
  <w:style w:type="paragraph" w:styleId="857">
    <w:name w:val="toc 5"/>
    <w:basedOn w:val="864"/>
    <w:next w:val="864"/>
    <w:uiPriority w:val="39"/>
    <w:unhideWhenUsed/>
    <w:pPr>
      <w:ind w:left="1134" w:right="0" w:firstLine="0"/>
      <w:spacing w:after="57"/>
    </w:pPr>
  </w:style>
  <w:style w:type="paragraph" w:styleId="858">
    <w:name w:val="toc 6"/>
    <w:basedOn w:val="864"/>
    <w:next w:val="864"/>
    <w:uiPriority w:val="39"/>
    <w:unhideWhenUsed/>
    <w:pPr>
      <w:ind w:left="1417" w:right="0" w:firstLine="0"/>
      <w:spacing w:after="57"/>
    </w:pPr>
  </w:style>
  <w:style w:type="paragraph" w:styleId="859">
    <w:name w:val="toc 7"/>
    <w:basedOn w:val="864"/>
    <w:next w:val="864"/>
    <w:uiPriority w:val="39"/>
    <w:unhideWhenUsed/>
    <w:pPr>
      <w:ind w:left="1701" w:right="0" w:firstLine="0"/>
      <w:spacing w:after="57"/>
    </w:pPr>
  </w:style>
  <w:style w:type="paragraph" w:styleId="860">
    <w:name w:val="toc 8"/>
    <w:basedOn w:val="864"/>
    <w:next w:val="864"/>
    <w:uiPriority w:val="39"/>
    <w:unhideWhenUsed/>
    <w:pPr>
      <w:ind w:left="1984" w:right="0" w:firstLine="0"/>
      <w:spacing w:after="57"/>
    </w:pPr>
  </w:style>
  <w:style w:type="paragraph" w:styleId="861">
    <w:name w:val="toc 9"/>
    <w:basedOn w:val="864"/>
    <w:next w:val="864"/>
    <w:uiPriority w:val="39"/>
    <w:unhideWhenUsed/>
    <w:pPr>
      <w:ind w:left="2268" w:right="0" w:firstLine="0"/>
      <w:spacing w:after="57"/>
    </w:pPr>
  </w:style>
  <w:style w:type="paragraph" w:styleId="862">
    <w:name w:val="TOC Heading"/>
    <w:uiPriority w:val="39"/>
    <w:unhideWhenUsed/>
  </w:style>
  <w:style w:type="paragraph" w:styleId="863">
    <w:name w:val="table of figures"/>
    <w:basedOn w:val="864"/>
    <w:next w:val="864"/>
    <w:uiPriority w:val="99"/>
    <w:unhideWhenUsed/>
    <w:pPr>
      <w:spacing w:after="0" w:afterAutospacing="0"/>
    </w:pPr>
  </w:style>
  <w:style w:type="paragraph" w:styleId="864" w:default="1">
    <w:name w:val="Normal"/>
    <w:qFormat/>
  </w:style>
  <w:style w:type="character" w:styleId="865" w:default="1">
    <w:name w:val="Default Paragraph Font"/>
    <w:uiPriority w:val="1"/>
    <w:semiHidden/>
    <w:unhideWhenUsed/>
  </w:style>
  <w:style w:type="table" w:styleId="8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7" w:default="1">
    <w:name w:val="No List"/>
    <w:uiPriority w:val="99"/>
    <w:semiHidden/>
    <w:unhideWhenUsed/>
  </w:style>
  <w:style w:type="table" w:styleId="868">
    <w:name w:val="Table Grid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69">
    <w:name w:val="List Paragraph"/>
    <w:basedOn w:val="864"/>
    <w:uiPriority w:val="34"/>
    <w:qFormat/>
    <w:pPr>
      <w:contextualSpacing/>
      <w:ind w:left="720"/>
    </w:pPr>
  </w:style>
  <w:style w:type="paragraph" w:styleId="870">
    <w:name w:val="Balloon Text"/>
    <w:basedOn w:val="864"/>
    <w:link w:val="87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71" w:customStyle="1">
    <w:name w:val="Текст выноски Знак"/>
    <w:basedOn w:val="865"/>
    <w:link w:val="870"/>
    <w:uiPriority w:val="99"/>
    <w:semiHidden/>
    <w:rPr>
      <w:rFonts w:ascii="Segoe UI" w:hAnsi="Segoe UI" w:cs="Segoe UI"/>
      <w:sz w:val="18"/>
      <w:szCs w:val="18"/>
    </w:rPr>
  </w:style>
  <w:style w:type="paragraph" w:styleId="872">
    <w:name w:val="Body Text Indent"/>
    <w:basedOn w:val="864"/>
    <w:link w:val="873"/>
    <w:unhideWhenUsed/>
    <w:pPr>
      <w:ind w:left="5400"/>
      <w:jc w:val="center"/>
      <w:spacing w:after="0" w:line="240" w:lineRule="auto"/>
    </w:pPr>
    <w:rPr>
      <w:rFonts w:ascii="Times New Roman" w:hAnsi="Times New Roman" w:eastAsia="Times New Roman" w:cs="Times New Roman"/>
      <w:sz w:val="28"/>
      <w:szCs w:val="24"/>
    </w:rPr>
  </w:style>
  <w:style w:type="character" w:styleId="873" w:customStyle="1">
    <w:name w:val="Основной текст с отступом Знак"/>
    <w:basedOn w:val="865"/>
    <w:link w:val="872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874" w:customStyle="1">
    <w:name w:val="section__info2"/>
    <w:basedOn w:val="865"/>
    <w:rPr>
      <w:vanish w:val="0"/>
      <w:sz w:val="24"/>
      <w:szCs w:val="24"/>
    </w:rPr>
  </w:style>
  <w:style w:type="paragraph" w:styleId="875">
    <w:name w:val="Header"/>
    <w:basedOn w:val="864"/>
    <w:link w:val="87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6" w:customStyle="1">
    <w:name w:val="Верхний колонтитул Знак"/>
    <w:basedOn w:val="865"/>
    <w:link w:val="875"/>
    <w:uiPriority w:val="99"/>
  </w:style>
  <w:style w:type="paragraph" w:styleId="877">
    <w:name w:val="Footer"/>
    <w:basedOn w:val="864"/>
    <w:link w:val="87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8" w:customStyle="1">
    <w:name w:val="Нижний колонтитул Знак"/>
    <w:basedOn w:val="865"/>
    <w:link w:val="877"/>
    <w:uiPriority w:val="99"/>
  </w:style>
  <w:style w:type="paragraph" w:styleId="879">
    <w:name w:val="Body Text"/>
    <w:basedOn w:val="864"/>
    <w:link w:val="880"/>
    <w:uiPriority w:val="99"/>
    <w:unhideWhenUsed/>
    <w:pPr>
      <w:spacing w:after="120"/>
    </w:pPr>
  </w:style>
  <w:style w:type="character" w:styleId="880" w:customStyle="1">
    <w:name w:val="Основной текст Знак"/>
    <w:basedOn w:val="865"/>
    <w:link w:val="879"/>
    <w:uiPriority w:val="99"/>
  </w:style>
  <w:style w:type="paragraph" w:styleId="881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Relationship Id="rId11" Type="http://schemas.openxmlformats.org/officeDocument/2006/relationships/package" Target="embeddings/Microsoft_Excel_Worksheet1.xlsx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aakritskiy</cp:lastModifiedBy>
  <cp:revision>16</cp:revision>
  <dcterms:created xsi:type="dcterms:W3CDTF">2021-05-18T02:18:00Z</dcterms:created>
  <dcterms:modified xsi:type="dcterms:W3CDTF">2026-08-12T22:46:36Z</dcterms:modified>
</cp:coreProperties>
</file>