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05297C">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F201DA">
        <w:rPr>
          <w:b/>
          <w:bCs/>
          <w:sz w:val="18"/>
          <w:szCs w:val="18"/>
        </w:rPr>
        <w:t>расходных материалов</w:t>
      </w:r>
      <w:r w:rsidR="003874E4">
        <w:rPr>
          <w:b/>
          <w:bCs/>
          <w:sz w:val="18"/>
          <w:szCs w:val="18"/>
        </w:rPr>
        <w:t xml:space="preserve"> для ремонт</w:t>
      </w:r>
      <w:r w:rsidR="006D2F47">
        <w:rPr>
          <w:b/>
          <w:bCs/>
          <w:sz w:val="18"/>
          <w:szCs w:val="18"/>
        </w:rPr>
        <w:t>ных работ</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Pr="00643C40">
        <w:rPr>
          <w:sz w:val="18"/>
          <w:szCs w:val="18"/>
        </w:rPr>
        <w:t xml:space="preserve"> 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6D2F47">
        <w:rPr>
          <w:b/>
          <w:bCs/>
          <w:sz w:val="18"/>
          <w:szCs w:val="18"/>
        </w:rPr>
        <w:t>расходных материалов для ремонтных работ</w:t>
      </w:r>
      <w:r w:rsidR="006D2F47"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05297C" w:rsidRPr="00643C40" w:rsidRDefault="0005297C" w:rsidP="0005297C">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B4405" w:rsidRPr="00DF7F33">
        <w:rPr>
          <w:sz w:val="18"/>
          <w:szCs w:val="18"/>
        </w:rPr>
        <w:t xml:space="preserve">20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w:t>
      </w:r>
      <w:r w:rsidRPr="00643C40">
        <w:rPr>
          <w:sz w:val="18"/>
          <w:szCs w:val="18"/>
        </w:rPr>
        <w:lastRenderedPageBreak/>
        <w:t xml:space="preserve">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05297C" w:rsidRPr="00643C40" w:rsidRDefault="0005297C" w:rsidP="0005297C">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E73C07" w:rsidRDefault="00294770" w:rsidP="002E2589">
      <w:pPr>
        <w:pStyle w:val="affff5"/>
        <w:numPr>
          <w:ilvl w:val="1"/>
          <w:numId w:val="40"/>
        </w:numPr>
        <w:jc w:val="both"/>
        <w:rPr>
          <w:b/>
          <w:sz w:val="18"/>
          <w:szCs w:val="18"/>
        </w:rPr>
      </w:pPr>
      <w:r w:rsidRPr="00E73C07">
        <w:rPr>
          <w:b/>
          <w:sz w:val="18"/>
          <w:szCs w:val="18"/>
        </w:rPr>
        <w:t>Цена договора _________</w:t>
      </w:r>
      <w:r w:rsidR="002E2589" w:rsidRPr="00E73C07">
        <w:rPr>
          <w:b/>
          <w:sz w:val="18"/>
          <w:szCs w:val="18"/>
        </w:rPr>
        <w:t>______________ рублей __ копеек, включая НДС</w:t>
      </w:r>
      <w:r w:rsidR="006A6FDA" w:rsidRPr="00E73C07">
        <w:rPr>
          <w:b/>
          <w:sz w:val="18"/>
          <w:szCs w:val="18"/>
        </w:rPr>
        <w:t>__</w:t>
      </w:r>
      <w:r w:rsidR="00E3295A" w:rsidRPr="00E73C07">
        <w:rPr>
          <w:b/>
          <w:sz w:val="18"/>
          <w:szCs w:val="18"/>
        </w:rPr>
        <w:t>_</w:t>
      </w:r>
      <w:r w:rsidR="006A6FDA" w:rsidRPr="00E73C07">
        <w:rPr>
          <w:b/>
          <w:sz w:val="18"/>
          <w:szCs w:val="18"/>
        </w:rPr>
        <w:t>%</w:t>
      </w:r>
      <w:r w:rsidR="00E3295A" w:rsidRPr="00E73C07">
        <w:rPr>
          <w:b/>
          <w:sz w:val="18"/>
          <w:szCs w:val="18"/>
        </w:rPr>
        <w:t xml:space="preserve"> </w:t>
      </w:r>
      <w:r w:rsidR="002E2589" w:rsidRPr="00E73C07">
        <w:rPr>
          <w:b/>
          <w:sz w:val="18"/>
          <w:szCs w:val="18"/>
        </w:rPr>
        <w:t>/</w:t>
      </w:r>
      <w:r w:rsidR="00E3295A" w:rsidRPr="00E73C07">
        <w:rPr>
          <w:b/>
          <w:sz w:val="18"/>
          <w:szCs w:val="18"/>
        </w:rPr>
        <w:t xml:space="preserve"> </w:t>
      </w:r>
      <w:r w:rsidR="002E2589" w:rsidRPr="00E73C07">
        <w:rPr>
          <w:b/>
          <w:sz w:val="18"/>
          <w:szCs w:val="18"/>
        </w:rPr>
        <w:t>НДС не облагается (указывается в зависимости от налогообложения).</w:t>
      </w:r>
      <w:r w:rsidR="00480AE8" w:rsidRPr="00E73C07">
        <w:rPr>
          <w:b/>
          <w:sz w:val="18"/>
          <w:szCs w:val="18"/>
        </w:rPr>
        <w:t xml:space="preserve"> </w:t>
      </w:r>
      <w:r w:rsidR="00085189" w:rsidRPr="00E73C07">
        <w:rPr>
          <w:b/>
          <w:sz w:val="18"/>
          <w:szCs w:val="18"/>
        </w:rPr>
        <w:t>Цена договора является твердой и определяется на весь срок исполнения договора.</w:t>
      </w:r>
    </w:p>
    <w:p w:rsidR="00294770" w:rsidRPr="00E73C07" w:rsidRDefault="00294770" w:rsidP="00997EF0">
      <w:pPr>
        <w:pStyle w:val="affff5"/>
        <w:numPr>
          <w:ilvl w:val="1"/>
          <w:numId w:val="40"/>
        </w:numPr>
        <w:ind w:left="426" w:hanging="426"/>
        <w:jc w:val="both"/>
        <w:rPr>
          <w:sz w:val="18"/>
          <w:szCs w:val="18"/>
        </w:rPr>
      </w:pPr>
      <w:r w:rsidRPr="00E73C07">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E73C07" w:rsidRDefault="001A0C24" w:rsidP="001A0C24">
      <w:pPr>
        <w:pStyle w:val="affff5"/>
        <w:numPr>
          <w:ilvl w:val="1"/>
          <w:numId w:val="40"/>
        </w:numPr>
        <w:ind w:left="426" w:hanging="426"/>
        <w:jc w:val="both"/>
        <w:rPr>
          <w:sz w:val="18"/>
          <w:szCs w:val="18"/>
        </w:rPr>
      </w:pPr>
      <w:r w:rsidRPr="00E73C07">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E73C07" w:rsidRDefault="001A0C24" w:rsidP="001A0C24">
      <w:pPr>
        <w:pStyle w:val="affff5"/>
        <w:ind w:left="426"/>
        <w:jc w:val="both"/>
        <w:rPr>
          <w:sz w:val="18"/>
          <w:szCs w:val="18"/>
        </w:rPr>
      </w:pPr>
      <w:r w:rsidRPr="00E73C07">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E73C07" w:rsidRDefault="001A0C24" w:rsidP="001A0C24">
      <w:pPr>
        <w:pStyle w:val="affff5"/>
        <w:ind w:left="426"/>
        <w:jc w:val="both"/>
        <w:rPr>
          <w:sz w:val="18"/>
          <w:szCs w:val="18"/>
        </w:rPr>
      </w:pPr>
      <w:r w:rsidRPr="00E73C07">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E73C07" w:rsidRDefault="00E86739" w:rsidP="00E86739">
      <w:pPr>
        <w:pStyle w:val="affff5"/>
        <w:numPr>
          <w:ilvl w:val="1"/>
          <w:numId w:val="40"/>
        </w:numPr>
        <w:jc w:val="both"/>
        <w:rPr>
          <w:sz w:val="18"/>
          <w:szCs w:val="18"/>
        </w:rPr>
      </w:pPr>
      <w:r w:rsidRPr="00E73C07">
        <w:rPr>
          <w:sz w:val="18"/>
          <w:szCs w:val="18"/>
        </w:rPr>
        <w:t xml:space="preserve">Источник финансирования – </w:t>
      </w:r>
      <w:r w:rsidR="000577AA" w:rsidRPr="00E73C07">
        <w:rPr>
          <w:sz w:val="18"/>
          <w:szCs w:val="18"/>
        </w:rPr>
        <w:t>средства бюджетных учреждений</w:t>
      </w:r>
      <w:r w:rsidRPr="00E73C07">
        <w:rPr>
          <w:sz w:val="18"/>
          <w:szCs w:val="18"/>
        </w:rPr>
        <w:t>.</w:t>
      </w:r>
    </w:p>
    <w:p w:rsidR="00141F68" w:rsidRDefault="00141F68" w:rsidP="00E86739">
      <w:pPr>
        <w:pStyle w:val="affff5"/>
        <w:numPr>
          <w:ilvl w:val="1"/>
          <w:numId w:val="40"/>
        </w:numPr>
        <w:jc w:val="both"/>
        <w:rPr>
          <w:sz w:val="18"/>
          <w:szCs w:val="18"/>
        </w:rPr>
      </w:pPr>
      <w:r w:rsidRPr="00E73C07">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E73C07">
          <w:rPr>
            <w:rStyle w:val="af4"/>
            <w:color w:val="auto"/>
            <w:sz w:val="18"/>
            <w:szCs w:val="18"/>
          </w:rPr>
          <w:t>пункте 1</w:t>
        </w:r>
      </w:hyperlink>
      <w:r w:rsidRPr="00E73C07">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w:t>
      </w:r>
      <w:r w:rsidRPr="00643C40">
        <w:rPr>
          <w:sz w:val="18"/>
          <w:szCs w:val="18"/>
        </w:rPr>
        <w:t>,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E73C07" w:rsidRPr="00643C40" w:rsidRDefault="00E73C07" w:rsidP="00E73C07">
      <w:pPr>
        <w:pStyle w:val="affff5"/>
        <w:ind w:left="360"/>
        <w:jc w:val="both"/>
        <w:rPr>
          <w:sz w:val="18"/>
          <w:szCs w:val="18"/>
        </w:rPr>
      </w:pP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w:t>
      </w:r>
      <w:r w:rsidRPr="00B868E1">
        <w:rPr>
          <w:sz w:val="18"/>
          <w:szCs w:val="18"/>
        </w:rPr>
        <w:lastRenderedPageBreak/>
        <w:t xml:space="preserve">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lastRenderedPageBreak/>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УФК по Новосибирской области (ФГБУЗ ЦМСЧ № 91 ФМБА России</w:t>
            </w:r>
            <w:r>
              <w:rPr>
                <w:rFonts w:cs="Times New Roman"/>
                <w:color w:val="000000"/>
                <w:spacing w:val="-1"/>
                <w:sz w:val="18"/>
                <w:szCs w:val="18"/>
              </w:rPr>
              <w:t xml:space="preserve"> </w:t>
            </w:r>
            <w:r w:rsidRPr="00C1259A">
              <w:rPr>
                <w:rFonts w:cs="Times New Roman"/>
                <w:color w:val="000000"/>
                <w:spacing w:val="-1"/>
                <w:sz w:val="18"/>
                <w:szCs w:val="18"/>
              </w:rPr>
              <w:t xml:space="preserve">лицевой счет </w:t>
            </w:r>
            <w:r w:rsidR="0005297C">
              <w:rPr>
                <w:rFonts w:cs="Times New Roman"/>
                <w:color w:val="000000"/>
                <w:spacing w:val="-1"/>
                <w:sz w:val="18"/>
                <w:szCs w:val="18"/>
              </w:rPr>
              <w:t>22626X69420,20626Х69420</w:t>
            </w:r>
            <w:r w:rsidRPr="00C1259A">
              <w:rPr>
                <w:rFonts w:cs="Times New Roman"/>
                <w:color w:val="000000"/>
                <w:spacing w:val="-1"/>
                <w:sz w:val="18"/>
                <w:szCs w:val="18"/>
              </w:rPr>
              <w:t>)</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Банк получателя: ОКЦ № 1СибГУ Банка России //УФК по Новосибирской области, г. Новосибирск.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Номер казначейского счета 03214643000000015113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Номер банковского счета 40102810445370000043</w:t>
            </w:r>
          </w:p>
          <w:p w:rsidR="002A228E" w:rsidRPr="0005297C" w:rsidRDefault="00C1259A" w:rsidP="00C1259A">
            <w:pPr>
              <w:widowControl/>
              <w:snapToGrid/>
              <w:spacing w:line="240" w:lineRule="auto"/>
              <w:ind w:firstLine="0"/>
              <w:jc w:val="left"/>
              <w:rPr>
                <w:rFonts w:cs="Times New Roman"/>
                <w:color w:val="000000"/>
                <w:spacing w:val="-1"/>
                <w:sz w:val="18"/>
                <w:szCs w:val="18"/>
                <w:lang w:val="en-US"/>
              </w:rPr>
            </w:pPr>
            <w:r w:rsidRPr="00C1259A">
              <w:rPr>
                <w:rFonts w:cs="Times New Roman"/>
                <w:color w:val="000000"/>
                <w:spacing w:val="-1"/>
                <w:sz w:val="18"/>
                <w:szCs w:val="18"/>
              </w:rPr>
              <w:t>Б</w:t>
            </w:r>
            <w:r>
              <w:rPr>
                <w:rFonts w:cs="Times New Roman"/>
                <w:color w:val="000000"/>
                <w:spacing w:val="-1"/>
                <w:sz w:val="18"/>
                <w:szCs w:val="18"/>
              </w:rPr>
              <w:t>ИК</w:t>
            </w:r>
            <w:r w:rsidRPr="0005297C">
              <w:rPr>
                <w:rFonts w:cs="Times New Roman"/>
                <w:color w:val="000000"/>
                <w:spacing w:val="-1"/>
                <w:sz w:val="18"/>
                <w:szCs w:val="18"/>
                <w:lang w:val="en-US"/>
              </w:rPr>
              <w:t xml:space="preserve"> 015004950</w:t>
            </w:r>
          </w:p>
          <w:p w:rsidR="00A965DB" w:rsidRPr="0005297C" w:rsidRDefault="002A228E" w:rsidP="00C1259A">
            <w:pPr>
              <w:widowControl/>
              <w:snapToGrid/>
              <w:spacing w:line="240" w:lineRule="auto"/>
              <w:ind w:firstLine="0"/>
              <w:jc w:val="left"/>
              <w:rPr>
                <w:rFonts w:cs="Times New Roman"/>
                <w:color w:val="000000"/>
                <w:spacing w:val="-1"/>
                <w:sz w:val="18"/>
                <w:szCs w:val="18"/>
                <w:lang w:val="en-US"/>
              </w:rPr>
            </w:pPr>
            <w:r w:rsidRPr="0005297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EE4570"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EE4570"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E465FB" w:rsidRPr="00DF4DDD" w:rsidRDefault="00E465FB" w:rsidP="00E465FB">
            <w:pPr>
              <w:pStyle w:val="affff5"/>
              <w:rPr>
                <w:rFonts w:cs="Times New Roman"/>
                <w:b/>
                <w:sz w:val="18"/>
                <w:szCs w:val="18"/>
              </w:rPr>
            </w:pPr>
            <w:r w:rsidRPr="00DF4DDD">
              <w:rPr>
                <w:rFonts w:cs="Times New Roman"/>
                <w:b/>
                <w:sz w:val="18"/>
                <w:szCs w:val="18"/>
              </w:rPr>
              <w:t xml:space="preserve">Клей </w:t>
            </w:r>
            <w:proofErr w:type="spellStart"/>
            <w:r w:rsidRPr="00DF4DDD">
              <w:rPr>
                <w:rFonts w:cs="Times New Roman"/>
                <w:b/>
                <w:sz w:val="18"/>
                <w:szCs w:val="18"/>
              </w:rPr>
              <w:t>Cosmofen</w:t>
            </w:r>
            <w:proofErr w:type="spellEnd"/>
            <w:r w:rsidRPr="00DF4DDD">
              <w:rPr>
                <w:rFonts w:cs="Times New Roman"/>
                <w:b/>
                <w:sz w:val="18"/>
                <w:szCs w:val="18"/>
              </w:rPr>
              <w:t xml:space="preserve"> </w:t>
            </w:r>
            <w:proofErr w:type="spellStart"/>
            <w:r w:rsidRPr="00DF4DDD">
              <w:rPr>
                <w:rFonts w:cs="Times New Roman"/>
                <w:b/>
                <w:sz w:val="18"/>
                <w:szCs w:val="18"/>
              </w:rPr>
              <w:t>Cosmo</w:t>
            </w:r>
            <w:proofErr w:type="spellEnd"/>
            <w:r w:rsidRPr="00DF4DDD">
              <w:rPr>
                <w:rFonts w:cs="Times New Roman"/>
                <w:b/>
                <w:sz w:val="18"/>
                <w:szCs w:val="18"/>
              </w:rPr>
              <w:t xml:space="preserve"> SL-660.220, для ПВХ, белый, водост</w:t>
            </w:r>
            <w:r w:rsidRPr="00DF4DDD">
              <w:rPr>
                <w:rFonts w:cs="Times New Roman"/>
                <w:b/>
                <w:sz w:val="18"/>
                <w:szCs w:val="18"/>
              </w:rPr>
              <w:t>ойкий, однокомпонентный, 200 г («жидкий пластик»)</w:t>
            </w:r>
          </w:p>
          <w:p w:rsidR="00E465FB" w:rsidRPr="00E465FB" w:rsidRDefault="00DF4DDD" w:rsidP="00E465FB">
            <w:pPr>
              <w:pStyle w:val="affff5"/>
              <w:rPr>
                <w:rFonts w:cs="Times New Roman"/>
                <w:sz w:val="18"/>
                <w:szCs w:val="18"/>
              </w:rPr>
            </w:pPr>
            <w:r>
              <w:rPr>
                <w:rFonts w:cs="Times New Roman"/>
                <w:sz w:val="18"/>
                <w:szCs w:val="18"/>
              </w:rPr>
              <w:t>О</w:t>
            </w:r>
            <w:r w:rsidR="00E465FB" w:rsidRPr="00E465FB">
              <w:rPr>
                <w:rFonts w:cs="Times New Roman"/>
                <w:sz w:val="18"/>
                <w:szCs w:val="18"/>
              </w:rPr>
              <w:t>днокомпонентный диффузионный клей для быстрого конструкционного склеивания деталей из жёсткого ПВХ (оконное производство, сантехнические работы).</w:t>
            </w:r>
          </w:p>
          <w:p w:rsidR="00E465FB" w:rsidRPr="00E465FB" w:rsidRDefault="00E465FB" w:rsidP="00E465FB">
            <w:pPr>
              <w:pStyle w:val="affff5"/>
              <w:rPr>
                <w:rFonts w:cs="Times New Roman"/>
                <w:sz w:val="18"/>
                <w:szCs w:val="18"/>
              </w:rPr>
            </w:pPr>
            <w:r w:rsidRPr="00E465FB">
              <w:rPr>
                <w:rFonts w:cs="Times New Roman"/>
                <w:sz w:val="18"/>
                <w:szCs w:val="18"/>
              </w:rPr>
              <w:t>Клей путем растворения склеиваемых пластиков может сглаживать пустоты в местах соединений (до 0,3мм).</w:t>
            </w:r>
          </w:p>
          <w:p w:rsidR="00E465FB" w:rsidRPr="00E465FB" w:rsidRDefault="00E465FB" w:rsidP="00E465FB">
            <w:pPr>
              <w:pStyle w:val="affff5"/>
              <w:rPr>
                <w:rFonts w:cs="Times New Roman"/>
                <w:sz w:val="18"/>
                <w:szCs w:val="18"/>
              </w:rPr>
            </w:pPr>
            <w:r w:rsidRPr="00E465FB">
              <w:rPr>
                <w:rFonts w:cs="Times New Roman"/>
                <w:sz w:val="18"/>
                <w:szCs w:val="18"/>
              </w:rPr>
              <w:t>Вес</w:t>
            </w:r>
            <w:r w:rsidR="007F1A77">
              <w:rPr>
                <w:rFonts w:cs="Times New Roman"/>
                <w:sz w:val="18"/>
                <w:szCs w:val="18"/>
              </w:rPr>
              <w:t xml:space="preserve">: </w:t>
            </w:r>
            <w:r w:rsidRPr="00E465FB">
              <w:rPr>
                <w:rFonts w:cs="Times New Roman"/>
                <w:sz w:val="18"/>
                <w:szCs w:val="18"/>
              </w:rPr>
              <w:t>200 грамм</w:t>
            </w:r>
          </w:p>
          <w:p w:rsidR="0072584F" w:rsidRPr="00643C40" w:rsidRDefault="00E465FB" w:rsidP="007F1A77">
            <w:pPr>
              <w:pStyle w:val="affff5"/>
              <w:rPr>
                <w:rFonts w:cs="Times New Roman"/>
                <w:sz w:val="18"/>
                <w:szCs w:val="18"/>
              </w:rPr>
            </w:pPr>
            <w:r w:rsidRPr="00E465FB">
              <w:rPr>
                <w:rFonts w:cs="Times New Roman"/>
                <w:sz w:val="18"/>
                <w:szCs w:val="18"/>
              </w:rPr>
              <w:t>Упаковка</w:t>
            </w:r>
            <w:r w:rsidR="007F1A77">
              <w:rPr>
                <w:rFonts w:cs="Times New Roman"/>
                <w:sz w:val="18"/>
                <w:szCs w:val="18"/>
              </w:rPr>
              <w:t>: туба</w:t>
            </w:r>
          </w:p>
        </w:tc>
        <w:tc>
          <w:tcPr>
            <w:tcW w:w="677" w:type="dxa"/>
          </w:tcPr>
          <w:p w:rsidR="0072584F" w:rsidRPr="00643C40" w:rsidRDefault="00E465FB"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E465FB" w:rsidP="007200C4">
            <w:pPr>
              <w:pStyle w:val="affff5"/>
              <w:jc w:val="center"/>
              <w:rPr>
                <w:rFonts w:cs="Times New Roman"/>
                <w:sz w:val="18"/>
                <w:szCs w:val="18"/>
              </w:rPr>
            </w:pPr>
            <w:r>
              <w:rPr>
                <w:rFonts w:cs="Times New Roman"/>
                <w:sz w:val="18"/>
                <w:szCs w:val="18"/>
              </w:rPr>
              <w:t>30</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EE4570" w:rsidRPr="00643C40" w:rsidTr="0072584F">
        <w:tc>
          <w:tcPr>
            <w:tcW w:w="521" w:type="dxa"/>
          </w:tcPr>
          <w:p w:rsidR="00E73C07" w:rsidRPr="00643C40" w:rsidRDefault="00E73C07" w:rsidP="007200C4">
            <w:pPr>
              <w:pStyle w:val="affff5"/>
              <w:numPr>
                <w:ilvl w:val="0"/>
                <w:numId w:val="44"/>
              </w:numPr>
              <w:ind w:left="0" w:firstLine="0"/>
              <w:jc w:val="center"/>
              <w:rPr>
                <w:sz w:val="18"/>
                <w:szCs w:val="18"/>
              </w:rPr>
            </w:pPr>
          </w:p>
        </w:tc>
        <w:tc>
          <w:tcPr>
            <w:tcW w:w="4652" w:type="dxa"/>
          </w:tcPr>
          <w:p w:rsidR="00CE3BA1" w:rsidRPr="00CE3BA1" w:rsidRDefault="00CE3BA1" w:rsidP="00CE3BA1">
            <w:pPr>
              <w:pStyle w:val="affff5"/>
              <w:rPr>
                <w:b/>
                <w:sz w:val="18"/>
                <w:szCs w:val="18"/>
                <w:lang w:val="en-US"/>
              </w:rPr>
            </w:pPr>
            <w:r w:rsidRPr="00CE3BA1">
              <w:rPr>
                <w:b/>
                <w:sz w:val="18"/>
                <w:szCs w:val="18"/>
              </w:rPr>
              <w:t>Очиститель</w:t>
            </w:r>
            <w:r w:rsidRPr="00CE3BA1">
              <w:rPr>
                <w:b/>
                <w:sz w:val="18"/>
                <w:szCs w:val="18"/>
                <w:lang w:val="en-US"/>
              </w:rPr>
              <w:t xml:space="preserve"> </w:t>
            </w:r>
            <w:r w:rsidRPr="00CE3BA1">
              <w:rPr>
                <w:b/>
                <w:sz w:val="18"/>
                <w:szCs w:val="18"/>
              </w:rPr>
              <w:t>для</w:t>
            </w:r>
            <w:r w:rsidRPr="00CE3BA1">
              <w:rPr>
                <w:b/>
                <w:sz w:val="18"/>
                <w:szCs w:val="18"/>
                <w:lang w:val="en-US"/>
              </w:rPr>
              <w:t xml:space="preserve"> </w:t>
            </w:r>
            <w:r w:rsidRPr="00CE3BA1">
              <w:rPr>
                <w:b/>
                <w:sz w:val="18"/>
                <w:szCs w:val="18"/>
              </w:rPr>
              <w:t>ПВХ</w:t>
            </w:r>
            <w:r w:rsidRPr="00CE3BA1">
              <w:rPr>
                <w:b/>
                <w:sz w:val="18"/>
                <w:szCs w:val="18"/>
                <w:lang w:val="en-US"/>
              </w:rPr>
              <w:t xml:space="preserve"> </w:t>
            </w:r>
            <w:proofErr w:type="spellStart"/>
            <w:r w:rsidRPr="00CE3BA1">
              <w:rPr>
                <w:b/>
                <w:sz w:val="18"/>
                <w:szCs w:val="18"/>
                <w:lang w:val="en-US"/>
              </w:rPr>
              <w:t>Tytan</w:t>
            </w:r>
            <w:proofErr w:type="spellEnd"/>
            <w:r w:rsidRPr="00CE3BA1">
              <w:rPr>
                <w:b/>
                <w:sz w:val="18"/>
                <w:szCs w:val="18"/>
                <w:lang w:val="en-US"/>
              </w:rPr>
              <w:t xml:space="preserve"> PROFESSIONAL EUROWIND</w:t>
            </w:r>
            <w:r w:rsidRPr="00CE3BA1">
              <w:rPr>
                <w:b/>
                <w:sz w:val="18"/>
                <w:szCs w:val="18"/>
                <w:lang w:val="en-US"/>
              </w:rPr>
              <w:t xml:space="preserve">OW №10, </w:t>
            </w:r>
            <w:r w:rsidRPr="00CE3BA1">
              <w:rPr>
                <w:b/>
                <w:sz w:val="18"/>
                <w:szCs w:val="18"/>
                <w:lang w:val="en-US"/>
              </w:rPr>
              <w:t xml:space="preserve">950 </w:t>
            </w:r>
            <w:r w:rsidRPr="00CE3BA1">
              <w:rPr>
                <w:b/>
                <w:sz w:val="18"/>
                <w:szCs w:val="18"/>
              </w:rPr>
              <w:t>мл</w:t>
            </w:r>
          </w:p>
          <w:p w:rsidR="00CE3BA1" w:rsidRDefault="00CE3BA1" w:rsidP="00CE3BA1">
            <w:pPr>
              <w:pStyle w:val="affff5"/>
              <w:rPr>
                <w:sz w:val="18"/>
                <w:szCs w:val="18"/>
              </w:rPr>
            </w:pPr>
            <w:r w:rsidRPr="00CE3BA1">
              <w:rPr>
                <w:sz w:val="18"/>
                <w:szCs w:val="18"/>
              </w:rPr>
              <w:t xml:space="preserve">Чистящее средство для белых, твердых ПВХ профилей, используемых в пластиковых конструкциях, слабо растворяющее поверхность ПВХ. Эффективно удаляет клейкую основу защитных пленок и скотча, следы маркировки, жира, масла, свежей полиуретановой пены, </w:t>
            </w:r>
            <w:proofErr w:type="spellStart"/>
            <w:r w:rsidRPr="00CE3BA1">
              <w:rPr>
                <w:sz w:val="18"/>
                <w:szCs w:val="18"/>
              </w:rPr>
              <w:t>герметиков</w:t>
            </w:r>
            <w:proofErr w:type="spellEnd"/>
            <w:r w:rsidRPr="00CE3BA1">
              <w:rPr>
                <w:sz w:val="18"/>
                <w:szCs w:val="18"/>
              </w:rPr>
              <w:t xml:space="preserve"> и прочих загрязнений.</w:t>
            </w:r>
          </w:p>
          <w:p w:rsidR="00CE3BA1" w:rsidRPr="00CE3BA1" w:rsidRDefault="00CE3BA1" w:rsidP="00CE3BA1">
            <w:pPr>
              <w:pStyle w:val="affff5"/>
              <w:rPr>
                <w:sz w:val="18"/>
                <w:szCs w:val="18"/>
              </w:rPr>
            </w:pPr>
            <w:r>
              <w:rPr>
                <w:sz w:val="18"/>
                <w:szCs w:val="18"/>
              </w:rPr>
              <w:t>Объем: 950 мл</w:t>
            </w:r>
          </w:p>
          <w:p w:rsidR="00E73C07" w:rsidRPr="00643C40" w:rsidRDefault="00CE3BA1" w:rsidP="00CE3BA1">
            <w:pPr>
              <w:pStyle w:val="affff5"/>
              <w:rPr>
                <w:sz w:val="18"/>
                <w:szCs w:val="18"/>
              </w:rPr>
            </w:pPr>
            <w:r w:rsidRPr="00CE3BA1">
              <w:rPr>
                <w:sz w:val="18"/>
                <w:szCs w:val="18"/>
              </w:rPr>
              <w:t>Вид тары</w:t>
            </w:r>
            <w:r>
              <w:rPr>
                <w:sz w:val="18"/>
                <w:szCs w:val="18"/>
              </w:rPr>
              <w:t xml:space="preserve">: </w:t>
            </w:r>
            <w:r w:rsidRPr="00CE3BA1">
              <w:rPr>
                <w:sz w:val="18"/>
                <w:szCs w:val="18"/>
              </w:rPr>
              <w:t>бутыль</w:t>
            </w:r>
          </w:p>
        </w:tc>
        <w:tc>
          <w:tcPr>
            <w:tcW w:w="677" w:type="dxa"/>
          </w:tcPr>
          <w:p w:rsidR="00E73C07" w:rsidRPr="00643C40" w:rsidRDefault="00CE3BA1" w:rsidP="007200C4">
            <w:pPr>
              <w:pStyle w:val="affff5"/>
              <w:jc w:val="center"/>
              <w:rPr>
                <w:sz w:val="18"/>
                <w:szCs w:val="18"/>
              </w:rPr>
            </w:pPr>
            <w:proofErr w:type="spellStart"/>
            <w:r>
              <w:rPr>
                <w:sz w:val="18"/>
                <w:szCs w:val="18"/>
              </w:rPr>
              <w:t>шт</w:t>
            </w:r>
            <w:proofErr w:type="spellEnd"/>
          </w:p>
        </w:tc>
        <w:tc>
          <w:tcPr>
            <w:tcW w:w="1020" w:type="dxa"/>
          </w:tcPr>
          <w:p w:rsidR="00E73C07" w:rsidRPr="00643C40" w:rsidRDefault="00CE3BA1" w:rsidP="007200C4">
            <w:pPr>
              <w:pStyle w:val="affff5"/>
              <w:jc w:val="center"/>
              <w:rPr>
                <w:sz w:val="18"/>
                <w:szCs w:val="18"/>
              </w:rPr>
            </w:pPr>
            <w:r>
              <w:rPr>
                <w:sz w:val="18"/>
                <w:szCs w:val="18"/>
              </w:rPr>
              <w:t>15</w:t>
            </w:r>
          </w:p>
        </w:tc>
        <w:tc>
          <w:tcPr>
            <w:tcW w:w="1274" w:type="dxa"/>
          </w:tcPr>
          <w:p w:rsidR="00E73C07" w:rsidRPr="00643C40" w:rsidRDefault="00E73C07" w:rsidP="007200C4">
            <w:pPr>
              <w:pStyle w:val="affff5"/>
              <w:jc w:val="center"/>
              <w:rPr>
                <w:sz w:val="18"/>
                <w:szCs w:val="18"/>
              </w:rPr>
            </w:pPr>
          </w:p>
        </w:tc>
        <w:tc>
          <w:tcPr>
            <w:tcW w:w="1441" w:type="dxa"/>
          </w:tcPr>
          <w:p w:rsidR="00E73C07" w:rsidRPr="00643C40" w:rsidRDefault="00E73C07" w:rsidP="007200C4">
            <w:pPr>
              <w:pStyle w:val="affff5"/>
              <w:jc w:val="center"/>
              <w:rPr>
                <w:sz w:val="18"/>
                <w:szCs w:val="18"/>
              </w:rPr>
            </w:pPr>
          </w:p>
        </w:tc>
        <w:tc>
          <w:tcPr>
            <w:tcW w:w="1261" w:type="dxa"/>
          </w:tcPr>
          <w:p w:rsidR="00E73C07" w:rsidRPr="00643C40" w:rsidRDefault="00E73C07" w:rsidP="007200C4">
            <w:pPr>
              <w:pStyle w:val="affff5"/>
              <w:jc w:val="center"/>
              <w:rPr>
                <w:sz w:val="18"/>
                <w:szCs w:val="18"/>
              </w:rPr>
            </w:pPr>
          </w:p>
        </w:tc>
      </w:tr>
      <w:tr w:rsidR="00EE4570" w:rsidRPr="00643C40" w:rsidTr="0072584F">
        <w:tc>
          <w:tcPr>
            <w:tcW w:w="521" w:type="dxa"/>
          </w:tcPr>
          <w:p w:rsidR="00E73C07" w:rsidRPr="00643C40" w:rsidRDefault="00E73C07" w:rsidP="007200C4">
            <w:pPr>
              <w:pStyle w:val="affff5"/>
              <w:numPr>
                <w:ilvl w:val="0"/>
                <w:numId w:val="44"/>
              </w:numPr>
              <w:ind w:left="0" w:firstLine="0"/>
              <w:jc w:val="center"/>
              <w:rPr>
                <w:sz w:val="18"/>
                <w:szCs w:val="18"/>
              </w:rPr>
            </w:pPr>
          </w:p>
        </w:tc>
        <w:tc>
          <w:tcPr>
            <w:tcW w:w="4652" w:type="dxa"/>
          </w:tcPr>
          <w:p w:rsidR="00BA743C" w:rsidRPr="00BA743C" w:rsidRDefault="00BA743C" w:rsidP="00BA743C">
            <w:pPr>
              <w:pStyle w:val="affff5"/>
              <w:rPr>
                <w:b/>
                <w:sz w:val="18"/>
                <w:szCs w:val="18"/>
              </w:rPr>
            </w:pPr>
            <w:r w:rsidRPr="00BA743C">
              <w:rPr>
                <w:b/>
                <w:sz w:val="18"/>
                <w:szCs w:val="18"/>
              </w:rPr>
              <w:t xml:space="preserve">Очиститель монтажной пены </w:t>
            </w:r>
            <w:proofErr w:type="spellStart"/>
            <w:r w:rsidRPr="00BA743C">
              <w:rPr>
                <w:b/>
                <w:sz w:val="18"/>
                <w:szCs w:val="18"/>
              </w:rPr>
              <w:t>Технониколь</w:t>
            </w:r>
            <w:proofErr w:type="spellEnd"/>
            <w:r w:rsidRPr="00BA743C">
              <w:rPr>
                <w:b/>
                <w:sz w:val="18"/>
                <w:szCs w:val="18"/>
              </w:rPr>
              <w:t xml:space="preserve"> PROFESSIONAL 500 мл </w:t>
            </w:r>
          </w:p>
          <w:p w:rsidR="00BA743C" w:rsidRPr="00BA743C" w:rsidRDefault="00BA743C" w:rsidP="00BA743C">
            <w:pPr>
              <w:pStyle w:val="affff5"/>
              <w:rPr>
                <w:sz w:val="18"/>
                <w:szCs w:val="18"/>
              </w:rPr>
            </w:pPr>
            <w:r w:rsidRPr="00BA743C">
              <w:rPr>
                <w:sz w:val="18"/>
                <w:szCs w:val="18"/>
              </w:rPr>
              <w:t>Очиститель монтажной пены предназначен для очищения пистолетов - ап</w:t>
            </w:r>
            <w:r w:rsidR="00F33CCD">
              <w:rPr>
                <w:sz w:val="18"/>
                <w:szCs w:val="18"/>
              </w:rPr>
              <w:t>п</w:t>
            </w:r>
            <w:r w:rsidRPr="00BA743C">
              <w:rPr>
                <w:sz w:val="18"/>
                <w:szCs w:val="18"/>
              </w:rPr>
              <w:t xml:space="preserve">ликаторов, удаления незатвердевшей монтажной пены, свежих пятен герметика и клеев с различных поверхностей, которые отличаются устойчивостью к действию ацетона. Продукт </w:t>
            </w:r>
            <w:r>
              <w:rPr>
                <w:sz w:val="18"/>
                <w:szCs w:val="18"/>
              </w:rPr>
              <w:t>подходит</w:t>
            </w:r>
            <w:r w:rsidRPr="00BA743C">
              <w:rPr>
                <w:sz w:val="18"/>
                <w:szCs w:val="18"/>
              </w:rPr>
              <w:t xml:space="preserve"> для обезжиривания стальных поверхностей перед использованием силиконов и пол</w:t>
            </w:r>
            <w:r w:rsidR="00F33CCD">
              <w:rPr>
                <w:sz w:val="18"/>
                <w:szCs w:val="18"/>
              </w:rPr>
              <w:t>и</w:t>
            </w:r>
            <w:r w:rsidRPr="00BA743C">
              <w:rPr>
                <w:sz w:val="18"/>
                <w:szCs w:val="18"/>
              </w:rPr>
              <w:t xml:space="preserve">уретанов. </w:t>
            </w:r>
          </w:p>
          <w:p w:rsidR="00BA743C" w:rsidRPr="00BA743C" w:rsidRDefault="00BA743C" w:rsidP="00BA743C">
            <w:pPr>
              <w:pStyle w:val="affff5"/>
              <w:rPr>
                <w:sz w:val="18"/>
                <w:szCs w:val="18"/>
              </w:rPr>
            </w:pPr>
            <w:r w:rsidRPr="00BA743C">
              <w:rPr>
                <w:sz w:val="18"/>
                <w:szCs w:val="18"/>
              </w:rPr>
              <w:t>Объем</w:t>
            </w:r>
            <w:r>
              <w:rPr>
                <w:sz w:val="18"/>
                <w:szCs w:val="18"/>
              </w:rPr>
              <w:t>: 500 мл</w:t>
            </w:r>
          </w:p>
          <w:p w:rsidR="00E73C07" w:rsidRPr="00643C40" w:rsidRDefault="00BA743C" w:rsidP="00BA743C">
            <w:pPr>
              <w:pStyle w:val="affff5"/>
              <w:rPr>
                <w:sz w:val="18"/>
                <w:szCs w:val="18"/>
              </w:rPr>
            </w:pPr>
            <w:r w:rsidRPr="00BA743C">
              <w:rPr>
                <w:sz w:val="18"/>
                <w:szCs w:val="18"/>
              </w:rPr>
              <w:t>Под пистолет</w:t>
            </w:r>
            <w:r>
              <w:rPr>
                <w:sz w:val="18"/>
                <w:szCs w:val="18"/>
              </w:rPr>
              <w:t>: соответствие</w:t>
            </w:r>
          </w:p>
        </w:tc>
        <w:tc>
          <w:tcPr>
            <w:tcW w:w="677" w:type="dxa"/>
          </w:tcPr>
          <w:p w:rsidR="00E73C07" w:rsidRPr="00643C40" w:rsidRDefault="00BA743C" w:rsidP="007200C4">
            <w:pPr>
              <w:pStyle w:val="affff5"/>
              <w:jc w:val="center"/>
              <w:rPr>
                <w:sz w:val="18"/>
                <w:szCs w:val="18"/>
              </w:rPr>
            </w:pPr>
            <w:proofErr w:type="spellStart"/>
            <w:r>
              <w:rPr>
                <w:sz w:val="18"/>
                <w:szCs w:val="18"/>
              </w:rPr>
              <w:t>шт</w:t>
            </w:r>
            <w:proofErr w:type="spellEnd"/>
          </w:p>
        </w:tc>
        <w:tc>
          <w:tcPr>
            <w:tcW w:w="1020" w:type="dxa"/>
          </w:tcPr>
          <w:p w:rsidR="00E73C07" w:rsidRPr="00643C40" w:rsidRDefault="00BA743C" w:rsidP="007200C4">
            <w:pPr>
              <w:pStyle w:val="affff5"/>
              <w:jc w:val="center"/>
              <w:rPr>
                <w:sz w:val="18"/>
                <w:szCs w:val="18"/>
              </w:rPr>
            </w:pPr>
            <w:r>
              <w:rPr>
                <w:sz w:val="18"/>
                <w:szCs w:val="18"/>
              </w:rPr>
              <w:t>30</w:t>
            </w:r>
          </w:p>
        </w:tc>
        <w:tc>
          <w:tcPr>
            <w:tcW w:w="1274" w:type="dxa"/>
          </w:tcPr>
          <w:p w:rsidR="00E73C07" w:rsidRPr="00643C40" w:rsidRDefault="00E73C07" w:rsidP="007200C4">
            <w:pPr>
              <w:pStyle w:val="affff5"/>
              <w:jc w:val="center"/>
              <w:rPr>
                <w:sz w:val="18"/>
                <w:szCs w:val="18"/>
              </w:rPr>
            </w:pPr>
          </w:p>
        </w:tc>
        <w:tc>
          <w:tcPr>
            <w:tcW w:w="1441" w:type="dxa"/>
          </w:tcPr>
          <w:p w:rsidR="00E73C07" w:rsidRPr="00643C40" w:rsidRDefault="00E73C07" w:rsidP="007200C4">
            <w:pPr>
              <w:pStyle w:val="affff5"/>
              <w:jc w:val="center"/>
              <w:rPr>
                <w:sz w:val="18"/>
                <w:szCs w:val="18"/>
              </w:rPr>
            </w:pPr>
          </w:p>
        </w:tc>
        <w:tc>
          <w:tcPr>
            <w:tcW w:w="1261" w:type="dxa"/>
          </w:tcPr>
          <w:p w:rsidR="00E73C07" w:rsidRPr="00643C40" w:rsidRDefault="00E73C07" w:rsidP="007200C4">
            <w:pPr>
              <w:pStyle w:val="affff5"/>
              <w:jc w:val="center"/>
              <w:rPr>
                <w:sz w:val="18"/>
                <w:szCs w:val="18"/>
              </w:rPr>
            </w:pPr>
          </w:p>
        </w:tc>
      </w:tr>
      <w:tr w:rsidR="00EE4570" w:rsidRPr="00643C40" w:rsidTr="0072584F">
        <w:tc>
          <w:tcPr>
            <w:tcW w:w="521" w:type="dxa"/>
          </w:tcPr>
          <w:p w:rsidR="00E73C07" w:rsidRPr="00643C40" w:rsidRDefault="00E73C07" w:rsidP="007200C4">
            <w:pPr>
              <w:pStyle w:val="affff5"/>
              <w:numPr>
                <w:ilvl w:val="0"/>
                <w:numId w:val="44"/>
              </w:numPr>
              <w:ind w:left="0" w:firstLine="0"/>
              <w:jc w:val="center"/>
              <w:rPr>
                <w:sz w:val="18"/>
                <w:szCs w:val="18"/>
              </w:rPr>
            </w:pPr>
          </w:p>
        </w:tc>
        <w:tc>
          <w:tcPr>
            <w:tcW w:w="4652" w:type="dxa"/>
          </w:tcPr>
          <w:p w:rsidR="008740ED" w:rsidRDefault="008740ED" w:rsidP="008740ED">
            <w:pPr>
              <w:pStyle w:val="affff5"/>
              <w:jc w:val="both"/>
              <w:rPr>
                <w:sz w:val="18"/>
                <w:szCs w:val="18"/>
              </w:rPr>
            </w:pPr>
            <w:r w:rsidRPr="008740ED">
              <w:rPr>
                <w:b/>
                <w:sz w:val="18"/>
                <w:szCs w:val="18"/>
              </w:rPr>
              <w:t>Уплотнитель для пластиковых окон универсальный, 10м</w:t>
            </w:r>
            <w:r w:rsidR="00245753">
              <w:rPr>
                <w:b/>
                <w:sz w:val="18"/>
                <w:szCs w:val="18"/>
              </w:rPr>
              <w:t>, серый</w:t>
            </w:r>
          </w:p>
          <w:p w:rsidR="00245753" w:rsidRPr="00245753" w:rsidRDefault="00245753" w:rsidP="00245753">
            <w:pPr>
              <w:pStyle w:val="affff5"/>
              <w:rPr>
                <w:sz w:val="18"/>
                <w:szCs w:val="18"/>
              </w:rPr>
            </w:pPr>
            <w:r>
              <w:rPr>
                <w:sz w:val="18"/>
                <w:szCs w:val="18"/>
              </w:rPr>
              <w:t>У</w:t>
            </w:r>
            <w:r w:rsidRPr="00245753">
              <w:rPr>
                <w:sz w:val="18"/>
                <w:szCs w:val="18"/>
              </w:rPr>
              <w:t>ниверсальный</w:t>
            </w:r>
            <w:r w:rsidRPr="00245753">
              <w:rPr>
                <w:sz w:val="18"/>
                <w:szCs w:val="18"/>
              </w:rPr>
              <w:t xml:space="preserve"> </w:t>
            </w:r>
            <w:r>
              <w:rPr>
                <w:sz w:val="18"/>
                <w:szCs w:val="18"/>
              </w:rPr>
              <w:t>э</w:t>
            </w:r>
            <w:r w:rsidRPr="00245753">
              <w:rPr>
                <w:sz w:val="18"/>
                <w:szCs w:val="18"/>
              </w:rPr>
              <w:t>ластичный серый уплотнитель</w:t>
            </w:r>
            <w:r>
              <w:rPr>
                <w:sz w:val="18"/>
                <w:szCs w:val="18"/>
              </w:rPr>
              <w:t xml:space="preserve"> </w:t>
            </w:r>
            <w:r w:rsidRPr="00245753">
              <w:rPr>
                <w:sz w:val="18"/>
                <w:szCs w:val="18"/>
              </w:rPr>
              <w:t>для пластиковых окон</w:t>
            </w:r>
            <w:r>
              <w:rPr>
                <w:sz w:val="18"/>
                <w:szCs w:val="18"/>
              </w:rPr>
              <w:t>,</w:t>
            </w:r>
            <w:r w:rsidRPr="00245753">
              <w:rPr>
                <w:sz w:val="18"/>
                <w:szCs w:val="18"/>
              </w:rPr>
              <w:t xml:space="preserve"> с пористой структурой, предназначен для герметизации пластиковых окон и дверей. </w:t>
            </w:r>
          </w:p>
          <w:p w:rsidR="00245753" w:rsidRPr="00245753" w:rsidRDefault="00245753" w:rsidP="00245753">
            <w:pPr>
              <w:pStyle w:val="affff5"/>
              <w:rPr>
                <w:sz w:val="18"/>
                <w:szCs w:val="18"/>
              </w:rPr>
            </w:pPr>
            <w:r w:rsidRPr="00245753">
              <w:rPr>
                <w:sz w:val="18"/>
                <w:szCs w:val="18"/>
              </w:rPr>
              <w:t>Состав:</w:t>
            </w:r>
            <w:r>
              <w:rPr>
                <w:sz w:val="18"/>
                <w:szCs w:val="18"/>
              </w:rPr>
              <w:t xml:space="preserve"> т</w:t>
            </w:r>
            <w:r w:rsidRPr="00245753">
              <w:rPr>
                <w:sz w:val="18"/>
                <w:szCs w:val="18"/>
              </w:rPr>
              <w:t>ермопластичный эластомер</w:t>
            </w:r>
            <w:r>
              <w:rPr>
                <w:sz w:val="18"/>
                <w:szCs w:val="18"/>
              </w:rPr>
              <w:t>.</w:t>
            </w:r>
          </w:p>
          <w:p w:rsidR="00245753" w:rsidRDefault="00245753" w:rsidP="00245753">
            <w:pPr>
              <w:pStyle w:val="affff5"/>
              <w:rPr>
                <w:sz w:val="18"/>
                <w:szCs w:val="18"/>
              </w:rPr>
            </w:pPr>
            <w:r w:rsidRPr="00245753">
              <w:rPr>
                <w:sz w:val="18"/>
                <w:szCs w:val="18"/>
              </w:rPr>
              <w:t>Область применения:</w:t>
            </w:r>
            <w:r>
              <w:rPr>
                <w:sz w:val="18"/>
                <w:szCs w:val="18"/>
              </w:rPr>
              <w:t xml:space="preserve"> г</w:t>
            </w:r>
            <w:r w:rsidRPr="00245753">
              <w:rPr>
                <w:sz w:val="18"/>
                <w:szCs w:val="18"/>
              </w:rPr>
              <w:t xml:space="preserve">ерметизация стыков и зазоров в пластиковых оконных рамах, дверных коробках и других конструкциях из ПВХ. </w:t>
            </w:r>
            <w:r>
              <w:rPr>
                <w:sz w:val="18"/>
                <w:szCs w:val="18"/>
              </w:rPr>
              <w:t>П</w:t>
            </w:r>
            <w:r w:rsidRPr="00245753">
              <w:rPr>
                <w:sz w:val="18"/>
                <w:szCs w:val="18"/>
              </w:rPr>
              <w:t>одходит для ремонта старого изношенного уплотнителя и обеспечения плотного прилегания створок.</w:t>
            </w:r>
          </w:p>
          <w:p w:rsidR="00245753" w:rsidRPr="00245753" w:rsidRDefault="00245753" w:rsidP="00245753">
            <w:pPr>
              <w:pStyle w:val="affff5"/>
              <w:rPr>
                <w:sz w:val="18"/>
                <w:szCs w:val="18"/>
              </w:rPr>
            </w:pPr>
            <w:r>
              <w:rPr>
                <w:sz w:val="18"/>
                <w:szCs w:val="18"/>
              </w:rPr>
              <w:t>В одной упаковке: 10 метров.</w:t>
            </w:r>
          </w:p>
          <w:p w:rsidR="00245753" w:rsidRDefault="00245753" w:rsidP="00245753">
            <w:pPr>
              <w:pStyle w:val="affff5"/>
              <w:jc w:val="both"/>
              <w:rPr>
                <w:sz w:val="18"/>
                <w:szCs w:val="18"/>
              </w:rPr>
            </w:pPr>
          </w:p>
          <w:p w:rsidR="008740ED" w:rsidRPr="00643C40" w:rsidRDefault="0073403E" w:rsidP="00245753">
            <w:pPr>
              <w:pStyle w:val="affff5"/>
              <w:jc w:val="both"/>
              <w:rPr>
                <w:sz w:val="18"/>
                <w:szCs w:val="18"/>
              </w:rPr>
            </w:pPr>
            <w:r>
              <w:rPr>
                <w:noProof/>
              </w:rPr>
              <w:lastRenderedPageBreak/>
              <w:drawing>
                <wp:inline distT="0" distB="0" distL="0" distR="0">
                  <wp:extent cx="1139285" cy="682388"/>
                  <wp:effectExtent l="0" t="0" r="0" b="0"/>
                  <wp:docPr id="1" name="Рисунок 1" descr="https://brozex.ru/upload/iblock/18f/6grjfbdvn0rmfp8vvf6w7sqrbw4lie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ozex.ru/upload/iblock/18f/6grjfbdvn0rmfp8vvf6w7sqrbw4lies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02" t="26685" r="26928" b="36497"/>
                          <a:stretch/>
                        </pic:blipFill>
                        <pic:spPr bwMode="auto">
                          <a:xfrm>
                            <a:off x="0" y="0"/>
                            <a:ext cx="1146452" cy="6866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E73C07" w:rsidRPr="00643C40" w:rsidRDefault="008740ED" w:rsidP="007200C4">
            <w:pPr>
              <w:pStyle w:val="affff5"/>
              <w:jc w:val="center"/>
              <w:rPr>
                <w:sz w:val="18"/>
                <w:szCs w:val="18"/>
              </w:rPr>
            </w:pPr>
            <w:proofErr w:type="spellStart"/>
            <w:r>
              <w:rPr>
                <w:sz w:val="18"/>
                <w:szCs w:val="18"/>
              </w:rPr>
              <w:lastRenderedPageBreak/>
              <w:t>упак</w:t>
            </w:r>
            <w:proofErr w:type="spellEnd"/>
          </w:p>
        </w:tc>
        <w:tc>
          <w:tcPr>
            <w:tcW w:w="1020" w:type="dxa"/>
          </w:tcPr>
          <w:p w:rsidR="00E73C07" w:rsidRPr="00643C40" w:rsidRDefault="008740ED" w:rsidP="007200C4">
            <w:pPr>
              <w:pStyle w:val="affff5"/>
              <w:jc w:val="center"/>
              <w:rPr>
                <w:sz w:val="18"/>
                <w:szCs w:val="18"/>
              </w:rPr>
            </w:pPr>
            <w:r>
              <w:rPr>
                <w:sz w:val="18"/>
                <w:szCs w:val="18"/>
              </w:rPr>
              <w:t>60</w:t>
            </w:r>
          </w:p>
        </w:tc>
        <w:tc>
          <w:tcPr>
            <w:tcW w:w="1274" w:type="dxa"/>
          </w:tcPr>
          <w:p w:rsidR="00E73C07" w:rsidRPr="00643C40" w:rsidRDefault="00E73C07" w:rsidP="007200C4">
            <w:pPr>
              <w:pStyle w:val="affff5"/>
              <w:jc w:val="center"/>
              <w:rPr>
                <w:sz w:val="18"/>
                <w:szCs w:val="18"/>
              </w:rPr>
            </w:pPr>
          </w:p>
        </w:tc>
        <w:tc>
          <w:tcPr>
            <w:tcW w:w="1441" w:type="dxa"/>
          </w:tcPr>
          <w:p w:rsidR="00E73C07" w:rsidRPr="00643C40" w:rsidRDefault="00E73C07" w:rsidP="007200C4">
            <w:pPr>
              <w:pStyle w:val="affff5"/>
              <w:jc w:val="center"/>
              <w:rPr>
                <w:sz w:val="18"/>
                <w:szCs w:val="18"/>
              </w:rPr>
            </w:pPr>
          </w:p>
        </w:tc>
        <w:tc>
          <w:tcPr>
            <w:tcW w:w="1261" w:type="dxa"/>
          </w:tcPr>
          <w:p w:rsidR="00E73C07" w:rsidRPr="00643C40" w:rsidRDefault="00E73C07" w:rsidP="007200C4">
            <w:pPr>
              <w:pStyle w:val="affff5"/>
              <w:jc w:val="center"/>
              <w:rPr>
                <w:sz w:val="18"/>
                <w:szCs w:val="18"/>
              </w:rPr>
            </w:pPr>
          </w:p>
        </w:tc>
      </w:tr>
      <w:tr w:rsidR="00EE4570" w:rsidRPr="00643C40" w:rsidTr="0072584F">
        <w:tc>
          <w:tcPr>
            <w:tcW w:w="521" w:type="dxa"/>
          </w:tcPr>
          <w:p w:rsidR="00E73C07" w:rsidRPr="00643C40" w:rsidRDefault="00E73C07" w:rsidP="007200C4">
            <w:pPr>
              <w:pStyle w:val="affff5"/>
              <w:numPr>
                <w:ilvl w:val="0"/>
                <w:numId w:val="44"/>
              </w:numPr>
              <w:ind w:left="0" w:firstLine="0"/>
              <w:jc w:val="center"/>
              <w:rPr>
                <w:sz w:val="18"/>
                <w:szCs w:val="18"/>
              </w:rPr>
            </w:pPr>
          </w:p>
        </w:tc>
        <w:tc>
          <w:tcPr>
            <w:tcW w:w="4652" w:type="dxa"/>
          </w:tcPr>
          <w:p w:rsidR="00E73C07" w:rsidRPr="00094F95" w:rsidRDefault="00336565" w:rsidP="00336565">
            <w:pPr>
              <w:pStyle w:val="affff5"/>
              <w:jc w:val="both"/>
              <w:rPr>
                <w:b/>
                <w:sz w:val="18"/>
                <w:szCs w:val="18"/>
              </w:rPr>
            </w:pPr>
            <w:proofErr w:type="spellStart"/>
            <w:r w:rsidRPr="00094F95">
              <w:rPr>
                <w:b/>
                <w:sz w:val="18"/>
                <w:szCs w:val="18"/>
              </w:rPr>
              <w:t>Саморез</w:t>
            </w:r>
            <w:proofErr w:type="spellEnd"/>
            <w:r w:rsidRPr="00094F95">
              <w:rPr>
                <w:b/>
                <w:sz w:val="18"/>
                <w:szCs w:val="18"/>
              </w:rPr>
              <w:t xml:space="preserve"> остроконечный, полусферическая головка, </w:t>
            </w:r>
            <w:r w:rsidRPr="00094F95">
              <w:rPr>
                <w:b/>
                <w:sz w:val="18"/>
                <w:szCs w:val="18"/>
              </w:rPr>
              <w:t>3,5*11</w:t>
            </w:r>
            <w:r w:rsidRPr="00094F95">
              <w:rPr>
                <w:b/>
                <w:sz w:val="18"/>
                <w:szCs w:val="18"/>
              </w:rPr>
              <w:t xml:space="preserve"> мм</w:t>
            </w:r>
          </w:p>
          <w:p w:rsidR="00094F95" w:rsidRPr="00094F95" w:rsidRDefault="00094F95" w:rsidP="00094F95">
            <w:pPr>
              <w:pStyle w:val="affff5"/>
              <w:rPr>
                <w:sz w:val="18"/>
                <w:szCs w:val="18"/>
              </w:rPr>
            </w:pPr>
            <w:r w:rsidRPr="00094F95">
              <w:rPr>
                <w:sz w:val="18"/>
                <w:szCs w:val="18"/>
              </w:rPr>
              <w:t xml:space="preserve">Стальной </w:t>
            </w:r>
            <w:proofErr w:type="spellStart"/>
            <w:r w:rsidRPr="00094F95">
              <w:rPr>
                <w:sz w:val="18"/>
                <w:szCs w:val="18"/>
              </w:rPr>
              <w:t>саморе</w:t>
            </w:r>
            <w:r>
              <w:rPr>
                <w:sz w:val="18"/>
                <w:szCs w:val="18"/>
              </w:rPr>
              <w:t>з</w:t>
            </w:r>
            <w:proofErr w:type="spellEnd"/>
            <w:r>
              <w:rPr>
                <w:sz w:val="18"/>
                <w:szCs w:val="18"/>
              </w:rPr>
              <w:t xml:space="preserve"> с полуцилиндрической головкой</w:t>
            </w:r>
            <w:r w:rsidRPr="00094F95">
              <w:rPr>
                <w:sz w:val="18"/>
                <w:szCs w:val="18"/>
              </w:rPr>
              <w:t xml:space="preserve">. Имеет острый наконечник со способностью просверливания тонколистового металла и крестообразный шлиц. </w:t>
            </w:r>
          </w:p>
          <w:p w:rsidR="00094F95" w:rsidRPr="00094F95" w:rsidRDefault="00094F95" w:rsidP="00094F95">
            <w:pPr>
              <w:pStyle w:val="affff5"/>
              <w:rPr>
                <w:sz w:val="18"/>
                <w:szCs w:val="18"/>
              </w:rPr>
            </w:pPr>
            <w:r w:rsidRPr="00094F95">
              <w:rPr>
                <w:sz w:val="18"/>
                <w:szCs w:val="18"/>
              </w:rPr>
              <w:t>Длина</w:t>
            </w:r>
            <w:r>
              <w:rPr>
                <w:sz w:val="18"/>
                <w:szCs w:val="18"/>
              </w:rPr>
              <w:t xml:space="preserve">: </w:t>
            </w:r>
            <w:r w:rsidRPr="00094F95">
              <w:rPr>
                <w:sz w:val="18"/>
                <w:szCs w:val="18"/>
              </w:rPr>
              <w:t>11 мм</w:t>
            </w:r>
          </w:p>
          <w:p w:rsidR="00094F95" w:rsidRPr="00EE4570" w:rsidRDefault="00094F95" w:rsidP="00094F95">
            <w:pPr>
              <w:pStyle w:val="affff5"/>
              <w:rPr>
                <w:sz w:val="18"/>
                <w:szCs w:val="18"/>
                <w:lang w:val="en-US"/>
              </w:rPr>
            </w:pPr>
            <w:r w:rsidRPr="00094F95">
              <w:rPr>
                <w:sz w:val="18"/>
                <w:szCs w:val="18"/>
              </w:rPr>
              <w:t>Диаметр ствола</w:t>
            </w:r>
            <w:r>
              <w:rPr>
                <w:sz w:val="18"/>
                <w:szCs w:val="18"/>
              </w:rPr>
              <w:t xml:space="preserve">: </w:t>
            </w:r>
            <w:r w:rsidRPr="00094F95">
              <w:rPr>
                <w:sz w:val="18"/>
                <w:szCs w:val="18"/>
              </w:rPr>
              <w:t>3.5 мм</w:t>
            </w:r>
          </w:p>
        </w:tc>
        <w:tc>
          <w:tcPr>
            <w:tcW w:w="677" w:type="dxa"/>
          </w:tcPr>
          <w:p w:rsidR="00E73C07" w:rsidRPr="00643C40" w:rsidRDefault="00336565" w:rsidP="007200C4">
            <w:pPr>
              <w:pStyle w:val="affff5"/>
              <w:jc w:val="center"/>
              <w:rPr>
                <w:sz w:val="18"/>
                <w:szCs w:val="18"/>
              </w:rPr>
            </w:pPr>
            <w:proofErr w:type="spellStart"/>
            <w:r>
              <w:rPr>
                <w:sz w:val="18"/>
                <w:szCs w:val="18"/>
              </w:rPr>
              <w:t>шт</w:t>
            </w:r>
            <w:proofErr w:type="spellEnd"/>
          </w:p>
        </w:tc>
        <w:tc>
          <w:tcPr>
            <w:tcW w:w="1020" w:type="dxa"/>
          </w:tcPr>
          <w:p w:rsidR="00E73C07" w:rsidRPr="00643C40" w:rsidRDefault="00336565" w:rsidP="007200C4">
            <w:pPr>
              <w:pStyle w:val="affff5"/>
              <w:jc w:val="center"/>
              <w:rPr>
                <w:sz w:val="18"/>
                <w:szCs w:val="18"/>
              </w:rPr>
            </w:pPr>
            <w:r>
              <w:rPr>
                <w:sz w:val="18"/>
                <w:szCs w:val="18"/>
              </w:rPr>
              <w:t>6000</w:t>
            </w:r>
          </w:p>
        </w:tc>
        <w:tc>
          <w:tcPr>
            <w:tcW w:w="1274" w:type="dxa"/>
          </w:tcPr>
          <w:p w:rsidR="00E73C07" w:rsidRPr="00643C40" w:rsidRDefault="00E73C07" w:rsidP="007200C4">
            <w:pPr>
              <w:pStyle w:val="affff5"/>
              <w:jc w:val="center"/>
              <w:rPr>
                <w:sz w:val="18"/>
                <w:szCs w:val="18"/>
              </w:rPr>
            </w:pPr>
          </w:p>
        </w:tc>
        <w:tc>
          <w:tcPr>
            <w:tcW w:w="1441" w:type="dxa"/>
          </w:tcPr>
          <w:p w:rsidR="00E73C07" w:rsidRPr="00643C40" w:rsidRDefault="00E73C07" w:rsidP="007200C4">
            <w:pPr>
              <w:pStyle w:val="affff5"/>
              <w:jc w:val="center"/>
              <w:rPr>
                <w:sz w:val="18"/>
                <w:szCs w:val="18"/>
              </w:rPr>
            </w:pPr>
          </w:p>
        </w:tc>
        <w:tc>
          <w:tcPr>
            <w:tcW w:w="1261" w:type="dxa"/>
          </w:tcPr>
          <w:p w:rsidR="00E73C07" w:rsidRPr="00643C40" w:rsidRDefault="00E73C07" w:rsidP="007200C4">
            <w:pPr>
              <w:pStyle w:val="affff5"/>
              <w:jc w:val="center"/>
              <w:rPr>
                <w:sz w:val="18"/>
                <w:szCs w:val="18"/>
              </w:rPr>
            </w:pPr>
          </w:p>
        </w:tc>
        <w:bookmarkStart w:id="0" w:name="_GoBack"/>
        <w:bookmarkEnd w:id="0"/>
      </w:tr>
      <w:tr w:rsidR="00EE4570" w:rsidRPr="00643C40" w:rsidTr="0072584F">
        <w:tc>
          <w:tcPr>
            <w:tcW w:w="521" w:type="dxa"/>
          </w:tcPr>
          <w:p w:rsidR="00E73C07" w:rsidRPr="00643C40" w:rsidRDefault="00E73C07" w:rsidP="007200C4">
            <w:pPr>
              <w:pStyle w:val="affff5"/>
              <w:numPr>
                <w:ilvl w:val="0"/>
                <w:numId w:val="44"/>
              </w:numPr>
              <w:ind w:left="0" w:firstLine="0"/>
              <w:jc w:val="center"/>
              <w:rPr>
                <w:sz w:val="18"/>
                <w:szCs w:val="18"/>
              </w:rPr>
            </w:pPr>
          </w:p>
        </w:tc>
        <w:tc>
          <w:tcPr>
            <w:tcW w:w="4652" w:type="dxa"/>
          </w:tcPr>
          <w:p w:rsidR="00EE4570" w:rsidRPr="00EE4570" w:rsidRDefault="00EE4570" w:rsidP="00EE4570">
            <w:pPr>
              <w:pStyle w:val="affff5"/>
              <w:rPr>
                <w:sz w:val="18"/>
                <w:szCs w:val="18"/>
                <w:lang w:val="en-US"/>
              </w:rPr>
            </w:pPr>
            <w:r w:rsidRPr="00B35C66">
              <w:rPr>
                <w:b/>
                <w:sz w:val="18"/>
                <w:szCs w:val="18"/>
              </w:rPr>
              <w:t>Пистолет</w:t>
            </w:r>
            <w:r w:rsidRPr="00B35C66">
              <w:rPr>
                <w:b/>
                <w:sz w:val="18"/>
                <w:szCs w:val="18"/>
                <w:lang w:val="en-US"/>
              </w:rPr>
              <w:t xml:space="preserve"> </w:t>
            </w:r>
            <w:r w:rsidRPr="00B35C66">
              <w:rPr>
                <w:b/>
                <w:sz w:val="18"/>
                <w:szCs w:val="18"/>
              </w:rPr>
              <w:t>для</w:t>
            </w:r>
            <w:r w:rsidR="00B35C66">
              <w:rPr>
                <w:b/>
                <w:sz w:val="18"/>
                <w:szCs w:val="18"/>
                <w:lang w:val="en-US"/>
              </w:rPr>
              <w:t xml:space="preserve"> </w:t>
            </w:r>
            <w:r w:rsidRPr="00B35C66">
              <w:rPr>
                <w:b/>
                <w:sz w:val="18"/>
                <w:szCs w:val="18"/>
              </w:rPr>
              <w:t>пены</w:t>
            </w:r>
            <w:r w:rsidRPr="00B35C66">
              <w:rPr>
                <w:b/>
                <w:sz w:val="18"/>
                <w:szCs w:val="18"/>
                <w:lang w:val="en-US"/>
              </w:rPr>
              <w:t xml:space="preserve"> </w:t>
            </w:r>
            <w:proofErr w:type="spellStart"/>
            <w:r w:rsidRPr="00B35C66">
              <w:rPr>
                <w:b/>
                <w:sz w:val="18"/>
                <w:szCs w:val="18"/>
                <w:lang w:val="en-US"/>
              </w:rPr>
              <w:t>Tytan</w:t>
            </w:r>
            <w:proofErr w:type="spellEnd"/>
            <w:r w:rsidRPr="00B35C66">
              <w:rPr>
                <w:b/>
                <w:sz w:val="18"/>
                <w:szCs w:val="18"/>
                <w:lang w:val="en-US"/>
              </w:rPr>
              <w:t xml:space="preserve"> PROFESSIONAL CALIBER 30</w:t>
            </w:r>
          </w:p>
          <w:p w:rsidR="00EE4570" w:rsidRPr="00EE4570" w:rsidRDefault="00B35C66" w:rsidP="00EE4570">
            <w:pPr>
              <w:pStyle w:val="affff5"/>
              <w:rPr>
                <w:sz w:val="18"/>
                <w:szCs w:val="18"/>
              </w:rPr>
            </w:pPr>
            <w:r>
              <w:rPr>
                <w:sz w:val="18"/>
                <w:szCs w:val="18"/>
              </w:rPr>
              <w:t>Пистолет для монтажной пены с а</w:t>
            </w:r>
            <w:r w:rsidRPr="00EE4570">
              <w:rPr>
                <w:sz w:val="18"/>
                <w:szCs w:val="18"/>
              </w:rPr>
              <w:t>люминиевы</w:t>
            </w:r>
            <w:r>
              <w:rPr>
                <w:sz w:val="18"/>
                <w:szCs w:val="18"/>
              </w:rPr>
              <w:t>м</w:t>
            </w:r>
            <w:r w:rsidRPr="00EE4570">
              <w:rPr>
                <w:sz w:val="18"/>
                <w:szCs w:val="18"/>
              </w:rPr>
              <w:t xml:space="preserve"> корпус</w:t>
            </w:r>
            <w:r>
              <w:rPr>
                <w:sz w:val="18"/>
                <w:szCs w:val="18"/>
              </w:rPr>
              <w:t>ом для</w:t>
            </w:r>
            <w:r w:rsidR="00EE4570" w:rsidRPr="00EE4570">
              <w:rPr>
                <w:sz w:val="18"/>
                <w:szCs w:val="18"/>
              </w:rPr>
              <w:t xml:space="preserve"> нанесени</w:t>
            </w:r>
            <w:r>
              <w:rPr>
                <w:sz w:val="18"/>
                <w:szCs w:val="18"/>
              </w:rPr>
              <w:t>я</w:t>
            </w:r>
            <w:r w:rsidR="00EE4570" w:rsidRPr="00EE4570">
              <w:rPr>
                <w:sz w:val="18"/>
                <w:szCs w:val="18"/>
              </w:rPr>
              <w:t xml:space="preserve"> пены.</w:t>
            </w:r>
          </w:p>
          <w:p w:rsidR="00EE4570" w:rsidRPr="00EE4570" w:rsidRDefault="00B35C66" w:rsidP="00EE4570">
            <w:pPr>
              <w:pStyle w:val="affff5"/>
              <w:rPr>
                <w:sz w:val="18"/>
                <w:szCs w:val="18"/>
              </w:rPr>
            </w:pPr>
            <w:r>
              <w:rPr>
                <w:sz w:val="18"/>
                <w:szCs w:val="18"/>
              </w:rPr>
              <w:t>В</w:t>
            </w:r>
            <w:r w:rsidR="00EE4570" w:rsidRPr="00EE4570">
              <w:rPr>
                <w:sz w:val="18"/>
                <w:szCs w:val="18"/>
              </w:rPr>
              <w:t>ид клапана позволяет сохранять плотность пены на протяжении всего процесса нанесения.</w:t>
            </w:r>
          </w:p>
          <w:p w:rsidR="00B35C66" w:rsidRDefault="00B35C66" w:rsidP="00EE4570">
            <w:pPr>
              <w:pStyle w:val="affff5"/>
              <w:rPr>
                <w:sz w:val="18"/>
                <w:szCs w:val="18"/>
              </w:rPr>
            </w:pPr>
            <w:r>
              <w:rPr>
                <w:sz w:val="18"/>
                <w:szCs w:val="18"/>
              </w:rPr>
              <w:t>Рукоять с упором под пальцы.</w:t>
            </w:r>
          </w:p>
          <w:p w:rsidR="00EE4570" w:rsidRPr="00EE4570" w:rsidRDefault="00EE4570" w:rsidP="00EE4570">
            <w:pPr>
              <w:pStyle w:val="affff5"/>
              <w:rPr>
                <w:sz w:val="18"/>
                <w:szCs w:val="18"/>
              </w:rPr>
            </w:pPr>
            <w:r w:rsidRPr="00EE4570">
              <w:rPr>
                <w:sz w:val="18"/>
                <w:szCs w:val="18"/>
              </w:rPr>
              <w:t>Область применения:</w:t>
            </w:r>
            <w:r w:rsidR="00B35C66">
              <w:rPr>
                <w:sz w:val="18"/>
                <w:szCs w:val="18"/>
              </w:rPr>
              <w:t xml:space="preserve"> </w:t>
            </w:r>
            <w:r w:rsidRPr="00EE4570">
              <w:rPr>
                <w:sz w:val="18"/>
                <w:szCs w:val="18"/>
              </w:rPr>
              <w:t>дл</w:t>
            </w:r>
            <w:r w:rsidR="00B35C66">
              <w:rPr>
                <w:sz w:val="18"/>
                <w:szCs w:val="18"/>
              </w:rPr>
              <w:t xml:space="preserve">я монтажа оконных и дверных рам, </w:t>
            </w:r>
            <w:r w:rsidRPr="00EE4570">
              <w:rPr>
                <w:sz w:val="18"/>
                <w:szCs w:val="18"/>
              </w:rPr>
              <w:t>для регулярной работы с большим объемом полиуретановой пены</w:t>
            </w:r>
            <w:r w:rsidR="00B35C66">
              <w:rPr>
                <w:sz w:val="18"/>
                <w:szCs w:val="18"/>
              </w:rPr>
              <w:t xml:space="preserve">, </w:t>
            </w:r>
            <w:r w:rsidRPr="00EE4570">
              <w:rPr>
                <w:sz w:val="18"/>
                <w:szCs w:val="18"/>
              </w:rPr>
              <w:t>для надежног</w:t>
            </w:r>
            <w:r w:rsidR="00B35C66">
              <w:rPr>
                <w:sz w:val="18"/>
                <w:szCs w:val="18"/>
              </w:rPr>
              <w:t>о заполнения пеной узких щелей.</w:t>
            </w:r>
          </w:p>
          <w:p w:rsidR="00EE4570" w:rsidRPr="00EE4570" w:rsidRDefault="00EE4570" w:rsidP="00EE4570">
            <w:pPr>
              <w:pStyle w:val="affff5"/>
              <w:rPr>
                <w:sz w:val="18"/>
                <w:szCs w:val="18"/>
              </w:rPr>
            </w:pPr>
            <w:r w:rsidRPr="00EE4570">
              <w:rPr>
                <w:sz w:val="18"/>
                <w:szCs w:val="18"/>
              </w:rPr>
              <w:t>Питание</w:t>
            </w:r>
            <w:r w:rsidR="00B35C66">
              <w:rPr>
                <w:sz w:val="18"/>
                <w:szCs w:val="18"/>
              </w:rPr>
              <w:t xml:space="preserve">: </w:t>
            </w:r>
            <w:r w:rsidRPr="00EE4570">
              <w:rPr>
                <w:sz w:val="18"/>
                <w:szCs w:val="18"/>
              </w:rPr>
              <w:t>механический</w:t>
            </w:r>
          </w:p>
          <w:p w:rsidR="00EE4570" w:rsidRPr="00EE4570" w:rsidRDefault="00EE4570" w:rsidP="00EE4570">
            <w:pPr>
              <w:pStyle w:val="affff5"/>
              <w:rPr>
                <w:sz w:val="18"/>
                <w:szCs w:val="18"/>
              </w:rPr>
            </w:pPr>
            <w:r w:rsidRPr="00EE4570">
              <w:rPr>
                <w:sz w:val="18"/>
                <w:szCs w:val="18"/>
              </w:rPr>
              <w:t>Материал ствола</w:t>
            </w:r>
            <w:r w:rsidR="00B35C66">
              <w:rPr>
                <w:sz w:val="18"/>
                <w:szCs w:val="18"/>
              </w:rPr>
              <w:t xml:space="preserve">: </w:t>
            </w:r>
            <w:r w:rsidRPr="00EE4570">
              <w:rPr>
                <w:sz w:val="18"/>
                <w:szCs w:val="18"/>
              </w:rPr>
              <w:t>металл</w:t>
            </w:r>
          </w:p>
          <w:p w:rsidR="00EE4570" w:rsidRDefault="00EE4570" w:rsidP="001E2A47">
            <w:pPr>
              <w:pStyle w:val="affff5"/>
              <w:jc w:val="both"/>
              <w:rPr>
                <w:sz w:val="18"/>
                <w:szCs w:val="18"/>
              </w:rPr>
            </w:pPr>
            <w:r w:rsidRPr="00EE4570">
              <w:rPr>
                <w:sz w:val="18"/>
                <w:szCs w:val="18"/>
              </w:rPr>
              <w:t>Игольчатый клапан</w:t>
            </w:r>
            <w:r w:rsidR="00B35C66">
              <w:rPr>
                <w:sz w:val="18"/>
                <w:szCs w:val="18"/>
              </w:rPr>
              <w:t>: наличие</w:t>
            </w:r>
          </w:p>
          <w:p w:rsidR="00EE4570" w:rsidRPr="00643C40" w:rsidRDefault="00EE4570" w:rsidP="001E2A47">
            <w:pPr>
              <w:pStyle w:val="affff5"/>
              <w:jc w:val="both"/>
              <w:rPr>
                <w:sz w:val="18"/>
                <w:szCs w:val="18"/>
              </w:rPr>
            </w:pPr>
            <w:r>
              <w:rPr>
                <w:noProof/>
              </w:rPr>
              <w:drawing>
                <wp:inline distT="0" distB="0" distL="0" distR="0">
                  <wp:extent cx="900752" cy="600701"/>
                  <wp:effectExtent l="0" t="0" r="0" b="0"/>
                  <wp:docPr id="3" name="Рисунок 3" descr="https://cdn.vseinstrumenti.ru/images/goods/stroitelnyj-instrument/pistolety-dlya-remonta/1457776/1200x800/52300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vseinstrumenti.ru/images/goods/stroitelnyj-instrument/pistolety-dlya-remonta/1457776/1200x800/5230066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528" cy="615890"/>
                          </a:xfrm>
                          <a:prstGeom prst="rect">
                            <a:avLst/>
                          </a:prstGeom>
                          <a:noFill/>
                          <a:ln>
                            <a:noFill/>
                          </a:ln>
                        </pic:spPr>
                      </pic:pic>
                    </a:graphicData>
                  </a:graphic>
                </wp:inline>
              </w:drawing>
            </w:r>
          </w:p>
        </w:tc>
        <w:tc>
          <w:tcPr>
            <w:tcW w:w="677" w:type="dxa"/>
          </w:tcPr>
          <w:p w:rsidR="00E73C07" w:rsidRPr="00EE4570" w:rsidRDefault="00EE4570" w:rsidP="007200C4">
            <w:pPr>
              <w:pStyle w:val="affff5"/>
              <w:jc w:val="center"/>
              <w:rPr>
                <w:sz w:val="18"/>
                <w:szCs w:val="18"/>
              </w:rPr>
            </w:pPr>
            <w:proofErr w:type="spellStart"/>
            <w:r>
              <w:rPr>
                <w:sz w:val="18"/>
                <w:szCs w:val="18"/>
              </w:rPr>
              <w:t>шт</w:t>
            </w:r>
            <w:proofErr w:type="spellEnd"/>
          </w:p>
        </w:tc>
        <w:tc>
          <w:tcPr>
            <w:tcW w:w="1020" w:type="dxa"/>
          </w:tcPr>
          <w:p w:rsidR="00E73C07" w:rsidRPr="00EE4570" w:rsidRDefault="00EE4570" w:rsidP="007200C4">
            <w:pPr>
              <w:pStyle w:val="affff5"/>
              <w:jc w:val="center"/>
              <w:rPr>
                <w:sz w:val="18"/>
                <w:szCs w:val="18"/>
                <w:lang w:val="en-US"/>
              </w:rPr>
            </w:pPr>
            <w:r>
              <w:rPr>
                <w:sz w:val="18"/>
                <w:szCs w:val="18"/>
                <w:lang w:val="en-US"/>
              </w:rPr>
              <w:t>5</w:t>
            </w:r>
          </w:p>
        </w:tc>
        <w:tc>
          <w:tcPr>
            <w:tcW w:w="1274" w:type="dxa"/>
          </w:tcPr>
          <w:p w:rsidR="00E73C07" w:rsidRPr="00643C40" w:rsidRDefault="00E73C07" w:rsidP="007200C4">
            <w:pPr>
              <w:pStyle w:val="affff5"/>
              <w:jc w:val="center"/>
              <w:rPr>
                <w:sz w:val="18"/>
                <w:szCs w:val="18"/>
              </w:rPr>
            </w:pPr>
          </w:p>
        </w:tc>
        <w:tc>
          <w:tcPr>
            <w:tcW w:w="1441" w:type="dxa"/>
          </w:tcPr>
          <w:p w:rsidR="00E73C07" w:rsidRPr="00643C40" w:rsidRDefault="00E73C07" w:rsidP="007200C4">
            <w:pPr>
              <w:pStyle w:val="affff5"/>
              <w:jc w:val="center"/>
              <w:rPr>
                <w:sz w:val="18"/>
                <w:szCs w:val="18"/>
              </w:rPr>
            </w:pPr>
          </w:p>
        </w:tc>
        <w:tc>
          <w:tcPr>
            <w:tcW w:w="1261" w:type="dxa"/>
          </w:tcPr>
          <w:p w:rsidR="00E73C07" w:rsidRPr="00643C40" w:rsidRDefault="00E73C07" w:rsidP="007200C4">
            <w:pPr>
              <w:pStyle w:val="affff5"/>
              <w:jc w:val="center"/>
              <w:rPr>
                <w:sz w:val="18"/>
                <w:szCs w:val="18"/>
              </w:rPr>
            </w:pPr>
          </w:p>
        </w:tc>
      </w:tr>
      <w:tr w:rsidR="00EE4570"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E73C07"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Default="00113FFE">
      <w:pPr>
        <w:widowControl/>
        <w:snapToGrid/>
        <w:spacing w:line="240" w:lineRule="auto"/>
        <w:ind w:firstLine="0"/>
        <w:jc w:val="left"/>
        <w:rPr>
          <w:b/>
          <w:sz w:val="18"/>
          <w:szCs w:val="18"/>
          <w:u w:val="single"/>
        </w:rPr>
      </w:pPr>
    </w:p>
    <w:sectPr w:rsidR="00113FFE" w:rsidSect="00997EF0">
      <w:footerReference w:type="default" r:id="rId11"/>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50A" w:rsidRDefault="004E650A" w:rsidP="00D1257E">
      <w:pPr>
        <w:spacing w:line="240" w:lineRule="auto"/>
      </w:pPr>
      <w:r>
        <w:separator/>
      </w:r>
    </w:p>
  </w:endnote>
  <w:endnote w:type="continuationSeparator" w:id="0">
    <w:p w:rsidR="004E650A" w:rsidRDefault="004E650A"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50A" w:rsidRDefault="004E650A" w:rsidP="00D1257E">
      <w:pPr>
        <w:spacing w:line="240" w:lineRule="auto"/>
      </w:pPr>
      <w:r>
        <w:separator/>
      </w:r>
    </w:p>
  </w:footnote>
  <w:footnote w:type="continuationSeparator" w:id="0">
    <w:p w:rsidR="004E650A" w:rsidRDefault="004E650A"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297C"/>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2DA"/>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4F95"/>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753"/>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62C"/>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65"/>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874E4"/>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A7744"/>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50A"/>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0C3"/>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2F47"/>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54E"/>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03E"/>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1A77"/>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0ED"/>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B92"/>
    <w:rsid w:val="00897F85"/>
    <w:rsid w:val="008A0B26"/>
    <w:rsid w:val="008A1003"/>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984"/>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3A4A"/>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5C66"/>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43C"/>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59A"/>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835"/>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3BA1"/>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4DDD"/>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5FB"/>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3C07"/>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3F5D"/>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4570"/>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01DA"/>
    <w:rsid w:val="00F23C4C"/>
    <w:rsid w:val="00F24D0A"/>
    <w:rsid w:val="00F24D8F"/>
    <w:rsid w:val="00F25410"/>
    <w:rsid w:val="00F26006"/>
    <w:rsid w:val="00F3076F"/>
    <w:rsid w:val="00F3249E"/>
    <w:rsid w:val="00F33CCD"/>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DF0B-8C9E-4CCD-973E-7BB6F168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24915</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404</cp:revision>
  <cp:lastPrinted>2014-01-27T04:22:00Z</cp:lastPrinted>
  <dcterms:created xsi:type="dcterms:W3CDTF">2014-01-23T03:58:00Z</dcterms:created>
  <dcterms:modified xsi:type="dcterms:W3CDTF">2026-07-01T11:10:00Z</dcterms:modified>
</cp:coreProperties>
</file>