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0"/>
        <w:jc w:val="center"/>
        <w:rPr>
          <w:rFonts w:ascii="Times New Roman" w:hAnsi="Times New Roman" w:cs="Times New Roman"/>
          <w:bCs w:val="false"/>
          <w:iCs/>
          <w:sz w:val="24"/>
          <w:szCs w:val="24"/>
          <w:lang w:val="ru-RU"/>
        </w:rPr>
      </w:pPr>
      <w:bookmarkStart w:id="0" w:name="_Toc22724769"/>
      <w:r>
        <w:rPr>
          <w:rFonts w:cs="Times New Roman" w:ascii="Times New Roman" w:hAnsi="Times New Roman"/>
          <w:bCs w:val="false"/>
          <w:iCs/>
          <w:sz w:val="24"/>
          <w:szCs w:val="24"/>
          <w:lang w:val="ru-RU"/>
        </w:rPr>
        <w:t>ОБОСНОВАНИЕ НАЧАЛЬНОЙ (МАКСИМАЛЬНОЙ) ЦЕНЫ</w:t>
      </w:r>
      <w:bookmarkEnd w:id="0"/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соответствии с положениями статьи 22 Закона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расчет начальной (максимальной) цены контракта проведен тарифным методом. Цена (тариф) единицы услуги подлежит государственному регулированию или установлена муниципальным правовым актом. </w:t>
      </w:r>
    </w:p>
    <w:p>
      <w:pPr>
        <w:pStyle w:val="Normal"/>
        <w:widowControl w:val="false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Расчет начальной (максимальной) цены контракта произведен на основании приказа Министерства тарифной политики Красноярского края от</w:t>
      </w:r>
      <w:r>
        <w:rPr>
          <w:sz w:val="23"/>
          <w:szCs w:val="23"/>
          <w:lang w:val="ru-RU"/>
        </w:rPr>
        <w:t xml:space="preserve"> </w:t>
      </w:r>
      <w:r>
        <w:rPr>
          <w:sz w:val="24"/>
          <w:szCs w:val="24"/>
          <w:lang w:val="ru-RU"/>
        </w:rPr>
        <w:t>19.12.2025 г. №71-э</w:t>
      </w:r>
      <w:r>
        <w:rPr>
          <w:sz w:val="23"/>
          <w:szCs w:val="23"/>
          <w:lang w:val="ru-RU"/>
        </w:rPr>
        <w:t xml:space="preserve">   </w:t>
      </w:r>
      <w:r>
        <w:rPr>
          <w:sz w:val="24"/>
          <w:szCs w:val="24"/>
          <w:lang w:val="ru-RU"/>
        </w:rPr>
        <w:t>и по формуле:</w:t>
      </w:r>
    </w:p>
    <w:p>
      <w:pPr>
        <w:pStyle w:val="Normal"/>
        <w:spacing w:before="240" w:after="240"/>
        <w:ind w:left="4"/>
        <w:jc w:val="center"/>
        <w:rPr>
          <w:spacing w:val="-9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НМЦК</w:t>
      </w:r>
      <w:r>
        <w:rPr>
          <w:sz w:val="24"/>
          <w:szCs w:val="24"/>
          <w:vertAlign w:val="superscript"/>
          <w:lang w:val="ru-RU"/>
        </w:rPr>
        <w:t>тариф</w:t>
      </w:r>
      <w:r>
        <w:rPr>
          <w:sz w:val="24"/>
          <w:szCs w:val="24"/>
          <w:lang w:val="ru-RU"/>
        </w:rPr>
        <w:t xml:space="preserve"> = </w:t>
      </w:r>
      <w:r>
        <w:rPr>
          <w:sz w:val="24"/>
          <w:szCs w:val="24"/>
        </w:rPr>
        <w:t>V</w:t>
      </w:r>
      <w:r>
        <w:rPr>
          <w:sz w:val="24"/>
          <w:szCs w:val="24"/>
          <w:lang w:val="ru-RU"/>
        </w:rPr>
        <w:t xml:space="preserve"> х Ц</w:t>
      </w:r>
      <w:r>
        <w:rPr>
          <w:sz w:val="24"/>
          <w:szCs w:val="24"/>
          <w:vertAlign w:val="subscript"/>
          <w:lang w:val="ru-RU"/>
        </w:rPr>
        <w:t>тариф</w:t>
      </w:r>
      <w:r>
        <w:rPr>
          <w:sz w:val="24"/>
          <w:szCs w:val="24"/>
          <w:lang w:val="ru-RU"/>
        </w:rPr>
        <w:t xml:space="preserve">, </w:t>
      </w:r>
      <w:r>
        <w:rPr>
          <w:spacing w:val="-9"/>
          <w:sz w:val="24"/>
          <w:szCs w:val="24"/>
          <w:lang w:val="ru-RU"/>
        </w:rPr>
        <w:t>где:</w:t>
      </w:r>
    </w:p>
    <w:p>
      <w:pPr>
        <w:pStyle w:val="Normal"/>
        <w:ind w:left="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НМЦК</w:t>
      </w:r>
      <w:r>
        <w:rPr>
          <w:sz w:val="24"/>
          <w:szCs w:val="24"/>
          <w:vertAlign w:val="superscript"/>
          <w:lang w:val="ru-RU"/>
        </w:rPr>
        <w:t>тариф</w:t>
      </w:r>
      <w:r>
        <w:rPr>
          <w:sz w:val="24"/>
          <w:szCs w:val="24"/>
          <w:lang w:val="ru-RU"/>
        </w:rPr>
        <w:t xml:space="preserve"> - НМЦК, определяемая тарифным методом; </w:t>
      </w:r>
    </w:p>
    <w:p>
      <w:pPr>
        <w:pStyle w:val="Normal"/>
        <w:shd w:val="clear" w:color="auto" w:fill="FFFFFF"/>
        <w:ind w:left="4"/>
        <w:rPr>
          <w:sz w:val="24"/>
          <w:szCs w:val="24"/>
          <w:lang w:val="ru-RU"/>
        </w:rPr>
      </w:pPr>
      <w:r>
        <w:rPr>
          <w:spacing w:val="-1"/>
          <w:sz w:val="24"/>
          <w:szCs w:val="24"/>
        </w:rPr>
        <w:t>V</w:t>
      </w:r>
      <w:r>
        <w:rPr>
          <w:spacing w:val="-1"/>
          <w:sz w:val="24"/>
          <w:szCs w:val="24"/>
          <w:lang w:val="ru-RU"/>
        </w:rPr>
        <w:t xml:space="preserve"> - </w:t>
      </w:r>
      <w:r>
        <w:rPr>
          <w:color w:val="000000"/>
          <w:sz w:val="24"/>
          <w:szCs w:val="24"/>
          <w:lang w:val="ru-RU"/>
        </w:rPr>
        <w:t>объем оказываемых услуг</w:t>
      </w:r>
      <w:r>
        <w:rPr>
          <w:color w:val="000000"/>
          <w:spacing w:val="-1"/>
          <w:sz w:val="24"/>
          <w:szCs w:val="24"/>
          <w:lang w:val="ru-RU"/>
        </w:rPr>
        <w:t>;</w:t>
      </w:r>
    </w:p>
    <w:p>
      <w:pPr>
        <w:pStyle w:val="Normal"/>
        <w:ind w:left="4"/>
        <w:jc w:val="both"/>
        <w:rPr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Ц</w:t>
      </w:r>
      <w:r>
        <w:rPr>
          <w:iCs/>
          <w:sz w:val="24"/>
          <w:szCs w:val="24"/>
          <w:vertAlign w:val="subscript"/>
          <w:lang w:val="ru-RU"/>
        </w:rPr>
        <w:t>тариф</w:t>
      </w:r>
      <w:r>
        <w:rPr>
          <w:i/>
          <w:iCs/>
          <w:sz w:val="24"/>
          <w:szCs w:val="24"/>
          <w:lang w:val="ru-RU"/>
        </w:rPr>
        <w:t xml:space="preserve"> -</w:t>
      </w:r>
      <w:r>
        <w:rPr>
          <w:sz w:val="24"/>
          <w:szCs w:val="24"/>
          <w:lang w:val="ru-RU"/>
        </w:rPr>
        <w:t>цена (тариф) единицы услуги, установленная в рамках государственного регулирования цен (тарифов) или установленная муниципальным правовым актом и составляет на II полугодие 2026 года - 46,41 руб./кВт.ч. (без учета НДС 22 %):</w:t>
      </w:r>
    </w:p>
    <w:p>
      <w:pPr>
        <w:pStyle w:val="Normal"/>
        <w:ind w:left="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ind w:left="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Тариф с 01.07.2026 по 30.12.2026 года составляет – 46,41 руб. за 1 кВт.ч.</w:t>
      </w:r>
    </w:p>
    <w:p>
      <w:pPr>
        <w:pStyle w:val="Normal"/>
        <w:ind w:left="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НЦМКтариф = 8 400 * 46,41 = 389 844 руб. 00 коп. без учета НДС.</w:t>
      </w:r>
    </w:p>
    <w:p>
      <w:pPr>
        <w:pStyle w:val="Normal"/>
        <w:spacing w:before="0" w:after="120"/>
        <w:ind w:left="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НЦМКтариф = 389 844,00 * 1,22 (НДС 22%) = </w:t>
      </w:r>
      <w:bookmarkStart w:id="1" w:name="OLE_LINK1"/>
      <w:r>
        <w:rPr>
          <w:sz w:val="24"/>
          <w:szCs w:val="24"/>
          <w:lang w:val="ru-RU"/>
        </w:rPr>
        <w:t xml:space="preserve">475 609 руб.68 коп. </w:t>
      </w:r>
      <w:bookmarkEnd w:id="1"/>
      <w:r>
        <w:rPr>
          <w:sz w:val="24"/>
          <w:szCs w:val="24"/>
          <w:lang w:val="ru-RU"/>
        </w:rPr>
        <w:t xml:space="preserve">с учетом НДС. </w:t>
      </w:r>
    </w:p>
    <w:p>
      <w:pPr>
        <w:pStyle w:val="Normal"/>
        <w:ind w:left="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>
      <w:pPr>
        <w:pStyle w:val="Normal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>
      <w:pPr>
        <w:pStyle w:val="Normal"/>
        <w:ind w:left="6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На основании проведенного расчета НМЦК составляет: 475 609 рублей 68 копеек. </w:t>
      </w:r>
    </w:p>
    <w:p>
      <w:pPr>
        <w:pStyle w:val="Normal"/>
        <w:ind w:lef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</w:r>
    </w:p>
    <w:p>
      <w:pPr>
        <w:pStyle w:val="Normal"/>
        <w:ind w:lef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</w:r>
    </w:p>
    <w:p>
      <w:pPr>
        <w:pStyle w:val="Normal"/>
        <w:ind w:lef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</w:r>
    </w:p>
    <w:p>
      <w:pPr>
        <w:pStyle w:val="Normal"/>
        <w:ind w:lef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</w:r>
    </w:p>
    <w:p>
      <w:pPr>
        <w:pStyle w:val="Normal"/>
        <w:rPr>
          <w:b/>
          <w:sz w:val="24"/>
          <w:szCs w:val="24"/>
          <w:lang w:val="ru-RU"/>
        </w:rPr>
      </w:pPr>
      <w:r>
        <w:rPr/>
      </w:r>
    </w:p>
    <w:sectPr>
      <w:type w:val="nextPage"/>
      <w:pgSz w:w="11906" w:h="16838"/>
      <w:pgMar w:left="1134" w:right="707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14a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Heading1">
    <w:name w:val="heading 1"/>
    <w:basedOn w:val="Normal"/>
    <w:next w:val="Normal"/>
    <w:link w:val="11"/>
    <w:qFormat/>
    <w:rsid w:val="00bf6f2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3">
    <w:name w:val="heading 3"/>
    <w:basedOn w:val="Normal"/>
    <w:next w:val="Normal"/>
    <w:link w:val="3"/>
    <w:uiPriority w:val="99"/>
    <w:qFormat/>
    <w:rsid w:val="00e47218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f6f24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  <w:lang w:val="en-US" w:eastAsia="ru-RU"/>
    </w:rPr>
  </w:style>
  <w:style w:type="character" w:styleId="11" w:customStyle="1">
    <w:name w:val="Заголовок 1 Знак1"/>
    <w:qFormat/>
    <w:rsid w:val="00bf6f24"/>
    <w:rPr>
      <w:rFonts w:ascii="Arial" w:hAnsi="Arial" w:eastAsia="Times New Roman" w:cs="Arial"/>
      <w:b/>
      <w:bCs/>
      <w:kern w:val="2"/>
      <w:sz w:val="32"/>
      <w:szCs w:val="32"/>
      <w:lang w:val="en-US" w:eastAsia="ru-RU"/>
    </w:rPr>
  </w:style>
  <w:style w:type="character" w:styleId="Strong">
    <w:name w:val="Strong"/>
    <w:qFormat/>
    <w:rsid w:val="00bf6f24"/>
    <w:rPr>
      <w:b/>
      <w:bCs/>
    </w:rPr>
  </w:style>
  <w:style w:type="character" w:styleId="3" w:customStyle="1">
    <w:name w:val="Заголовок 3 Знак"/>
    <w:basedOn w:val="DefaultParagraphFont"/>
    <w:uiPriority w:val="99"/>
    <w:qFormat/>
    <w:rsid w:val="00e47218"/>
    <w:rPr>
      <w:rFonts w:ascii="Arial" w:hAnsi="Arial" w:eastAsia="Times New Roman" w:cs="Arial"/>
      <w:b/>
      <w:bCs/>
      <w:sz w:val="26"/>
      <w:szCs w:val="26"/>
      <w:lang w:val="en-US"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b31083"/>
    <w:rPr>
      <w:rFonts w:ascii="Segoe UI" w:hAnsi="Segoe UI" w:eastAsia="Times New Roman" w:cs="Segoe UI"/>
      <w:sz w:val="18"/>
      <w:szCs w:val="18"/>
      <w:lang w:val="en-US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31083"/>
    <w:rPr>
      <w:sz w:val="16"/>
      <w:szCs w:val="16"/>
    </w:rPr>
  </w:style>
  <w:style w:type="character" w:styleId="Style13" w:customStyle="1">
    <w:name w:val="Текст примечания Знак"/>
    <w:basedOn w:val="DefaultParagraphFont"/>
    <w:uiPriority w:val="99"/>
    <w:semiHidden/>
    <w:qFormat/>
    <w:rsid w:val="00b31083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Style14" w:customStyle="1">
    <w:name w:val="Тема примечания Знак"/>
    <w:basedOn w:val="Style13"/>
    <w:link w:val="annotationsubject"/>
    <w:uiPriority w:val="99"/>
    <w:semiHidden/>
    <w:qFormat/>
    <w:rsid w:val="00b31083"/>
    <w:rPr>
      <w:rFonts w:ascii="Times New Roman" w:hAnsi="Times New Roman" w:eastAsia="Times New Roman" w:cs="Times New Roman"/>
      <w:b/>
      <w:bCs/>
      <w:sz w:val="20"/>
      <w:szCs w:val="20"/>
      <w:lang w:val="en-US"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31083"/>
    <w:pPr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Style13"/>
    <w:uiPriority w:val="99"/>
    <w:semiHidden/>
    <w:unhideWhenUsed/>
    <w:rsid w:val="00b31083"/>
    <w:pPr/>
    <w:rPr/>
  </w:style>
  <w:style w:type="paragraph" w:styleId="annotationsubject">
    <w:name w:val="annotation subject"/>
    <w:basedOn w:val="CommentText"/>
    <w:next w:val="CommentText"/>
    <w:link w:val="Style14"/>
    <w:uiPriority w:val="99"/>
    <w:semiHidden/>
    <w:unhideWhenUsed/>
    <w:qFormat/>
    <w:rsid w:val="00b31083"/>
    <w:pPr/>
    <w:rPr>
      <w:b/>
      <w:bCs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f77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Application>LibreOffice/25.2.3.2$Linux_X86_64 LibreOffice_project/520$Build-2</Application>
  <AppVersion>15.0000</AppVersion>
  <Pages>1</Pages>
  <Words>202</Words>
  <Characters>1330</Characters>
  <CharactersWithSpaces>1530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2022-03-21T08:18:00Z</dcterms:created>
  <dc:creator>zakup</dc:creator>
  <dc:description/>
  <dc:language>ru-RU</dc:language>
  <cp:lastModifiedBy/>
  <cp:lastPrinted>2022-03-22T04:05:00Z</cp:lastPrinted>
  <dcterms:modified xsi:type="dcterms:W3CDTF">2026-08-13T11:45:31Z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