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bCs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на поставку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расходных материалов для выполнения научных исследований.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943"/>
        <w:numPr>
          <w:ilvl w:val="0"/>
          <w:numId w:val="35"/>
        </w:num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Состав и порядок организации поставки.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709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еагенты для выполнения научных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исследований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(далее по тексту- товар), поставляем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ые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данному техническому заданию указан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в таблице №1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  <w:outlineLvl w:val="0"/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eastAsia="SimSu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Таблица №1</w:t>
      </w:r>
      <w:r>
        <w:rPr>
          <w:rFonts w:ascii="Times New Roman" w:hAnsi="Times New Roman" w:eastAsia="SimSun" w:cs="Times New Roman"/>
          <w:lang w:eastAsia="ru-RU"/>
        </w:rPr>
      </w:r>
      <w:r>
        <w:rPr>
          <w:rFonts w:ascii="Times New Roman" w:hAnsi="Times New Roman" w:eastAsia="SimSun" w:cs="Times New Roman"/>
          <w:lang w:eastAsia="ru-RU"/>
        </w:rPr>
      </w:r>
    </w:p>
    <w:tbl>
      <w:tblPr>
        <w:tblW w:w="5000" w:type="pct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3"/>
        <w:gridCol w:w="4325"/>
        <w:gridCol w:w="5102"/>
        <w:gridCol w:w="1559"/>
        <w:gridCol w:w="992"/>
        <w:gridCol w:w="992"/>
        <w:gridCol w:w="1628"/>
      </w:tblGrid>
      <w:tr>
        <w:tblPrEx/>
        <w:trPr>
          <w:trHeight w:val="725"/>
        </w:trPr>
        <w:tc>
          <w:tcPr>
            <w:shd w:val="clear" w:color="ffffff" w:fill="e7e6e6" w:themeFill="background2"/>
            <w:tcW w:w="32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  <w:t xml:space="preserve">N</w:t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e7e6e6" w:themeFill="background2"/>
            <w:tcW w:w="43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  <w:t xml:space="preserve">Наименование</w:t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e7e6e6" w:themeFill="background2"/>
            <w:tcW w:w="5102" w:type="dxa"/>
            <w:vAlign w:val="center"/>
            <w:textDirection w:val="lrTb"/>
            <w:noWrap w:val="false"/>
          </w:tcPr>
          <w:p>
            <w:pPr>
              <w:rPr>
                <w:rFonts w:ascii="XO Thames" w:hAnsi="XO Thames" w:eastAsia="XO Thames" w:cs="XO Thame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shd w:val="clear" w:color="ffffff" w:fill="e7e6e6" w:themeFill="background2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ОКПД и/или КТРУ</w:t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e7e6e6" w:themeFill="background2"/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  <w:t xml:space="preserve">Ед. измерения</w:t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e7e6e6" w:themeFill="background2"/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  <w:t xml:space="preserve">Общее кол-во</w:t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e7e6e6" w:themeFill="background2"/>
            <w:tcW w:w="1628" w:type="dxa"/>
            <w:textDirection w:val="lrTb"/>
            <w:noWrap w:val="false"/>
          </w:tcPr>
          <w:p>
            <w:pP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  <w:t xml:space="preserve">Срок поставки</w:t>
            </w: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53"/>
        </w:trPr>
        <w:tc>
          <w:tcPr>
            <w:shd w:val="clear" w:color="ffffff" w:fill="ffffff"/>
            <w:tcW w:w="323" w:type="dxa"/>
            <w:vAlign w:val="center"/>
            <w:textDirection w:val="lrTb"/>
            <w:noWrap w:val="false"/>
          </w:tcPr>
          <w:p>
            <w:pPr>
              <w:pStyle w:val="943"/>
              <w:numPr>
                <w:ilvl w:val="0"/>
                <w:numId w:val="31"/>
              </w:numPr>
              <w:contextualSpacing w:val="0"/>
              <w:ind w:left="0" w:right="-108" w:firstLine="0"/>
              <w:jc w:val="center"/>
              <w:spacing w:after="0" w:line="240" w:lineRule="auto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5" w:type="dxa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2"/>
                <w:szCs w:val="22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</w:p>
          <w:p>
            <w:pPr>
              <w:ind w:left="0" w:right="0" w:firstLine="0"/>
              <w:spacing w:after="0" w:line="57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Реагент dsGreen® для ПЦР реального времени, 100×, 5 мл, пр-во РФ, ООО «Люмипроб», арт.71010</w:t>
            </w:r>
            <w:r/>
          </w:p>
          <w:p>
            <w:pPr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2" w:type="dxa"/>
            <w:textDirection w:val="lrTb"/>
            <w:noWrap w:val="false"/>
          </w:tcPr>
          <w:p>
            <w:pPr>
              <w:ind w:left="0" w:right="0" w:firstLine="0"/>
              <w:spacing w:after="0"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Флуоресцентный краситель для детекции амплификации в ПЦР реального времени в готовом 100×-растворе для добавления в мастер-микс.</w:t>
            </w:r>
            <w:r/>
          </w:p>
          <w:p>
            <w:pPr>
              <w:ind w:left="0" w:right="0" w:firstLine="0"/>
              <w:spacing w:after="0"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Контроль качества: ЯМР 1H,HPLC-MS(95%), ПЦР-тестирование</w:t>
            </w:r>
            <w:r/>
          </w:p>
          <w:p>
            <w:pPr>
              <w:ind w:left="0" w:right="0" w:firstLine="0"/>
              <w:spacing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Фасовка: 5 мл.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2"/>
                <w:szCs w:val="22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</w:p>
          <w:p>
            <w:pPr>
              <w:jc w:val="center"/>
              <w:rPr>
                <w:rFonts w:ascii="XO Thames" w:hAnsi="XO Thames" w:eastAsia="XO Thames" w:cs="XO Thames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20.59.52.199</w:t>
            </w:r>
            <w:r>
              <w:rPr>
                <w:rFonts w:ascii="XO Thames" w:hAnsi="XO Thames" w:eastAsia="XO Thames" w:cs="XO Thames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2"/>
                <w:szCs w:val="22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штука</w:t>
            </w:r>
            <w:r>
              <w:rPr>
                <w:rFonts w:ascii="XO Thames" w:hAnsi="XO Thames" w:cs="XO Thames"/>
                <w:sz w:val="22"/>
                <w:szCs w:val="22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2"/>
                <w:szCs w:val="22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 xml:space="preserve">1</w:t>
            </w:r>
            <w:r>
              <w:rPr>
                <w:rFonts w:ascii="XO Thames" w:hAnsi="XO Thames" w:cs="XO Thames"/>
                <w:sz w:val="22"/>
                <w:szCs w:val="22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2"/>
                <w:szCs w:val="22"/>
              </w:rPr>
            </w:pPr>
            <w:r>
              <w:rPr>
                <w:rFonts w:ascii="XO Thames" w:hAnsi="XO Thames" w:eastAsia="XO Thames" w:cs="XO Thames"/>
                <w:sz w:val="22"/>
                <w:szCs w:val="22"/>
              </w:rPr>
              <w:t xml:space="preserve">30  календарных дней с даты подписания контракта но не позднее 30.11.2026г</w:t>
            </w:r>
            <w:r>
              <w:rPr>
                <w:rFonts w:ascii="XO Thames" w:hAnsi="XO Thames" w:cs="XO Thames"/>
                <w:sz w:val="22"/>
                <w:szCs w:val="22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</w:p>
        </w:tc>
      </w:tr>
      <w:tr>
        <w:tblPrEx/>
        <w:trPr>
          <w:trHeight w:val="375"/>
        </w:trPr>
        <w:tc>
          <w:tcPr>
            <w:shd w:val="clear" w:color="ffffff" w:fill="ffffff"/>
            <w:tcW w:w="323" w:type="dxa"/>
            <w:vAlign w:val="center"/>
            <w:vMerge w:val="restart"/>
            <w:textDirection w:val="lrTb"/>
            <w:noWrap w:val="false"/>
          </w:tcPr>
          <w:p>
            <w:pPr>
              <w:pStyle w:val="943"/>
              <w:numPr>
                <w:ilvl w:val="0"/>
                <w:numId w:val="31"/>
              </w:numPr>
              <w:contextualSpacing w:val="0"/>
              <w:ind w:left="0" w:right="-108" w:firstLine="0"/>
              <w:jc w:val="center"/>
              <w:spacing w:after="0" w:line="240" w:lineRule="auto"/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5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57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Набор QuDye® dsDNA HS для определения количества двухцепочечной ДНК, 100 реакций, включен однократный буфер,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пр-во РФ, ООО «Люмипроб»,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арт. 22102</w:t>
            </w:r>
            <w:r/>
          </w:p>
          <w:p>
            <w:pPr>
              <w:jc w:val="center"/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2" w:type="dxa"/>
            <w:textDirection w:val="lrTb"/>
            <w:noWrap w:val="false"/>
          </w:tcPr>
          <w:p>
            <w:pPr>
              <w:ind w:left="0" w:right="0" w:firstLine="0"/>
              <w:spacing w:after="0"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Набор для точного и высокочувствительного определения концентрации ДНК на флуориметре в диапазоне от 10 пг/мкл до 100 нг/мкл. Отличается высокой толерантностью к примесям.</w:t>
            </w:r>
            <w:r/>
          </w:p>
          <w:p>
            <w:pPr>
              <w:ind w:left="0" w:right="0" w:firstLine="0"/>
              <w:spacing w:after="0"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Набор состоит из:</w:t>
            </w:r>
            <w:r/>
          </w:p>
          <w:p>
            <w:pPr>
              <w:ind w:left="0" w:right="0" w:firstLine="0"/>
              <w:spacing w:after="0"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 × 33010, Краситель QuDye® dsDNA HS / QuDye® dsDNA HS Reagent, 200×, 250 uL</w:t>
            </w:r>
            <w:r/>
          </w:p>
          <w:p>
            <w:pPr>
              <w:ind w:left="0" w:right="0" w:firstLine="0"/>
              <w:spacing w:after="0"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 × B9650, Стандарт/ Quantitative standard, 0 нг/мклвTE буфере, 1 mL</w:t>
            </w:r>
            <w:r/>
          </w:p>
          <w:p>
            <w:pPr>
              <w:ind w:left="0" w:right="0" w:firstLine="0"/>
              <w:spacing w:after="0"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 × B7650, СтандартдцДНК/ dsDNA quantitative standard, 10 ng/uL вTE буфере, 1 mL</w:t>
            </w:r>
            <w:r/>
          </w:p>
          <w:p>
            <w:pPr>
              <w:ind w:left="0" w:right="0" w:firstLine="0"/>
              <w:spacing w:after="0"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 × S3250, БуферTE, 1x, 50 mL</w:t>
            </w:r>
            <w:r/>
          </w:p>
          <w:p>
            <w:pPr>
              <w:ind w:left="0" w:right="0" w:firstLine="0"/>
              <w:spacing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Количество реакций: 100 штук.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2"/>
                <w:szCs w:val="22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</w:p>
          <w:p>
            <w:pPr>
              <w:jc w:val="center"/>
              <w:rPr>
                <w:rFonts w:ascii="XO Thames" w:hAnsi="XO Thames" w:eastAsia="XO Thames" w:cs="XO Thames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20.59.52.199</w:t>
            </w:r>
            <w:r>
              <w:rPr>
                <w:rFonts w:ascii="XO Thames" w:hAnsi="XO Thames" w:eastAsia="XO Thames" w:cs="XO Thames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2"/>
                <w:szCs w:val="22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штука</w:t>
            </w:r>
            <w:r>
              <w:rPr>
                <w:rFonts w:ascii="XO Thames" w:hAnsi="XO Thames" w:cs="XO Thames"/>
                <w:sz w:val="22"/>
                <w:szCs w:val="22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2"/>
                <w:szCs w:val="22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 xml:space="preserve">10</w:t>
            </w:r>
            <w:r>
              <w:rPr>
                <w:rFonts w:ascii="XO Thames" w:hAnsi="XO Thames" w:cs="XO Thames"/>
                <w:sz w:val="22"/>
                <w:szCs w:val="22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2"/>
                <w:szCs w:val="22"/>
              </w:rPr>
            </w:pPr>
            <w:r>
              <w:rPr>
                <w:rFonts w:ascii="XO Thames" w:hAnsi="XO Thames" w:eastAsia="XO Thames" w:cs="XO Thames"/>
                <w:sz w:val="22"/>
                <w:szCs w:val="22"/>
              </w:rPr>
            </w:r>
            <w:r>
              <w:rPr>
                <w:rFonts w:ascii="XO Thames" w:hAnsi="XO Thames" w:eastAsia="XO Thames" w:cs="XO Thames"/>
                <w:sz w:val="22"/>
                <w:szCs w:val="22"/>
              </w:rPr>
              <w:t xml:space="preserve">30  календарных дней с даты подписания контракта но не позднее 30.11.2026г</w:t>
            </w:r>
            <w:r>
              <w:rPr>
                <w:rFonts w:ascii="XO Thames" w:hAnsi="XO Thames" w:cs="XO Thames"/>
                <w:sz w:val="22"/>
                <w:szCs w:val="22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</w:p>
        </w:tc>
      </w:tr>
      <w:tr>
        <w:tblPrEx/>
        <w:trPr>
          <w:trHeight w:val="353"/>
        </w:trPr>
        <w:tc>
          <w:tcPr>
            <w:shd w:val="clear" w:color="ffffff" w:fill="ffffff"/>
            <w:tcW w:w="323" w:type="dxa"/>
            <w:vAlign w:val="center"/>
            <w:vMerge w:val="restart"/>
            <w:textDirection w:val="lrTb"/>
            <w:noWrap w:val="false"/>
          </w:tcPr>
          <w:p>
            <w:pPr>
              <w:pStyle w:val="943"/>
              <w:numPr>
                <w:ilvl w:val="0"/>
                <w:numId w:val="31"/>
              </w:numPr>
              <w:contextualSpacing w:val="0"/>
              <w:ind w:left="0" w:right="-108" w:firstLine="0"/>
              <w:jc w:val="center"/>
              <w:spacing w:after="0" w:line="240" w:lineRule="auto"/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5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line="57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Набор QuDye® ssDNA для определения количества одноцепочечной ДНК, 100 реакций,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пр-во РФ, ООО «Люмипроб»,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арт. 17102</w:t>
            </w:r>
            <w:r/>
          </w:p>
          <w:p>
            <w:pPr>
              <w:jc w:val="center"/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2" w:type="dxa"/>
            <w:textDirection w:val="lrTb"/>
            <w:noWrap w:val="false"/>
          </w:tcPr>
          <w:p>
            <w:pPr>
              <w:ind w:left="0" w:right="0" w:firstLine="0"/>
              <w:spacing w:after="0"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Набор для точного и высокочувствительного определения концентрации одноцепочечной ДНК на флуориметре в диапазоне 50 пг/мкл–200 нг/мкл для исходного образца.</w:t>
            </w:r>
            <w:r/>
          </w:p>
          <w:p>
            <w:pPr>
              <w:ind w:left="0" w:right="0" w:firstLine="0"/>
              <w:spacing w:after="0"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Набор состоит из:</w:t>
            </w:r>
            <w:r/>
          </w:p>
          <w:p>
            <w:pPr>
              <w:ind w:left="0" w:right="0" w:firstLine="0"/>
              <w:spacing w:after="0"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 × 35010, КрасительQuDye ssDNA / QuDye ssDNA Reagent, 200x, 250 uL</w:t>
            </w:r>
            <w:r/>
          </w:p>
          <w:p>
            <w:pPr>
              <w:ind w:left="0" w:right="0" w:firstLine="0"/>
              <w:spacing w:after="0"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 × B2650, СтандартоцДНК/ ssDNA quantitative standard, 20 ng/uL вTE буфере, 1 mL</w:t>
            </w:r>
            <w:r/>
          </w:p>
          <w:p>
            <w:pPr>
              <w:ind w:left="0" w:right="0" w:firstLine="0"/>
              <w:spacing w:after="0"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 × B9650, Стандарт/ Quantitative standard, 0 нг/мклвTE буфере, 1 mL</w:t>
            </w:r>
            <w:r/>
          </w:p>
          <w:p>
            <w:pPr>
              <w:ind w:left="0" w:right="0" w:firstLine="0"/>
              <w:spacing w:after="0"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 × S3250, БуферTE, 1x, 50 mL</w:t>
            </w:r>
            <w:r/>
          </w:p>
          <w:p>
            <w:pPr>
              <w:ind w:left="0" w:right="0" w:firstLine="0"/>
              <w:spacing w:line="264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Количество реакций: 100 штук.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2"/>
                <w:szCs w:val="22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</w:p>
          <w:p>
            <w:pPr>
              <w:jc w:val="center"/>
              <w:rPr>
                <w:rFonts w:ascii="XO Thames" w:hAnsi="XO Thames" w:eastAsia="XO Thames" w:cs="XO Thames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20.59.52.199</w:t>
            </w:r>
            <w:r>
              <w:rPr>
                <w:rFonts w:ascii="XO Thames" w:hAnsi="XO Thames" w:eastAsia="XO Thames" w:cs="XO Thames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2"/>
                <w:szCs w:val="22"/>
              </w:rPr>
            </w:pPr>
            <w:r>
              <w:rPr>
                <w:rFonts w:ascii="XO Thames" w:hAnsi="XO Thames" w:eastAsia="XO Thames" w:cs="XO Thames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штука</w:t>
            </w:r>
            <w:r>
              <w:rPr>
                <w:rFonts w:ascii="XO Thames" w:hAnsi="XO Thames" w:cs="XO Thames"/>
                <w:sz w:val="22"/>
                <w:szCs w:val="22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2"/>
                <w:szCs w:val="22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 xml:space="preserve">1</w:t>
            </w:r>
            <w:r>
              <w:rPr>
                <w:rFonts w:ascii="XO Thames" w:hAnsi="XO Thames" w:cs="XO Thames"/>
                <w:sz w:val="22"/>
                <w:szCs w:val="22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sz w:val="22"/>
                <w:szCs w:val="22"/>
              </w:rPr>
            </w:pPr>
            <w:r>
              <w:rPr>
                <w:rFonts w:ascii="XO Thames" w:hAnsi="XO Thames" w:eastAsia="XO Thames" w:cs="XO Thames"/>
                <w:sz w:val="22"/>
                <w:szCs w:val="22"/>
              </w:rPr>
            </w:r>
            <w:r>
              <w:rPr>
                <w:rFonts w:ascii="XO Thames" w:hAnsi="XO Thames" w:eastAsia="XO Thames" w:cs="XO Thames"/>
                <w:sz w:val="22"/>
                <w:szCs w:val="22"/>
              </w:rPr>
              <w:t xml:space="preserve">30  календарных дней с даты подписания контракта но не позднее 30.11.2026г</w:t>
            </w:r>
            <w:r>
              <w:rPr>
                <w:rFonts w:ascii="XO Thames" w:hAnsi="XO Thames" w:cs="XO Thames"/>
                <w:sz w:val="22"/>
                <w:szCs w:val="22"/>
              </w:rPr>
            </w:r>
            <w:r>
              <w:rPr>
                <w:rFonts w:ascii="XO Thames" w:hAnsi="XO Thames" w:cs="XO Thames"/>
                <w:sz w:val="22"/>
                <w:szCs w:val="22"/>
              </w:rPr>
            </w:r>
          </w:p>
        </w:tc>
      </w:tr>
    </w:tbl>
    <w:p>
      <w:pPr>
        <w:pStyle w:val="943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Поступивший груз должен быть доставлен по адресу: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197376, г. Санкт-Петербург, ул. Профессора Попова, д.15/17, лит. Б, (лаборатория молекулярной вирусологии, 2 этаж, лифт отсутствует)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        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Товар поставляется Поставщиком самостоятельно до места доставки (с разгрузкой, подъемом на этаж, заносом в кабинет)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 xml:space="preserve">с предварительным информированием Заказчика по телефону +7 (812) 499-15-61,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либо на эл.адрес:</w:t>
      </w:r>
      <w:r>
        <w:rPr>
          <w:rFonts w:ascii="Times New Roman" w:hAnsi="Times New Roman" w:cs="Times New Roman"/>
          <w:b/>
          <w:sz w:val="24"/>
          <w:szCs w:val="24"/>
        </w:rPr>
        <w:t xml:space="preserve"> maksim.durnov@influenz</w:t>
      </w:r>
      <w:r>
        <w:rPr>
          <w:rFonts w:ascii="Times New Roman" w:hAnsi="Times New Roman" w:cs="Times New Roman"/>
          <w:b/>
          <w:sz w:val="24"/>
          <w:szCs w:val="24"/>
        </w:rPr>
        <w:t xml:space="preserve">a.spb.ru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за 2 рабочих дня до даты предполагаемой доставки.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Рабочее время Заказчика для принятия Товара с понедельника по четверг с 9-00ч до 15-45ч, в пятницу с 9-00ч до 14-30ч, суббота, воскресенье – выходные дни (по местному времени).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Поставщиком должен исполняться комплекс мероприятий по организации холодовых цепей на базе измерителей-регистраторов, которые применяются для контроля температуры при доставке товара до момента передачи его Заказчику.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Независимо от количества привлекаемых для доставки товара субподрядных организаций должна обеспечиваться возможность документирования температурного режима груза от момента отгрузки товара и до момента получения груза Заказчиком. В каждом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термоконтейнере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долж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находиться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терморегистратор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отправке груза Поставщик обязан: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3"/>
        </w:numPr>
        <w:contextualSpacing/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 менее чем за 48 часов уведомить Заказчика о дате прибытия товара;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3"/>
        </w:numPr>
        <w:contextualSpacing/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температурном режиме хранения его отдельных компонентов;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3"/>
        </w:numPr>
        <w:contextualSpacing/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схеме раскладки по промаркированным Поставщиком для упрощения проверки по номенклатуре и количеству термоконтейнерам и иной транспортной таре (коробкам, контейнерам, ящикам);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3"/>
        </w:numPr>
        <w:contextualSpacing/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номера пломбировочных устройств и номера термоиндикаторов с местами их закладки.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ind w:left="426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ind w:left="426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Упаковки, содержащие товар с заданным температурным диапазоном хранения и перевозки, должны иметь соответствующую маркировку.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Принимая во внимание сложно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сть поставляемых компонентов и его высокую стоимость, при приемке товара должен присутствовать представитель Поставщика, действующий по доверенности, выданной уполномоченным руководителем Поставщика для проведения действий по передаче товара по Контракту.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отказа Поставщика от направления представителя для передачи тов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ара в месте получения груза Заказчиком или его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отсутствии при прибытии указанного товара к месту выгрузки, в в товаросопроводительных документах при приемке товара Заказчиком указывается информация  об отсутствии уполномоченного представителя Поставщика. В этом случае проверка груза проводится представ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ителями Заказчика самостоятельно и его результаты (проверка результатов контроля холодовой цепи, состояние груза и недостатки, выявленные путем внешнего осмотра груза и проведение измерений температуры поступившего груза, не могут оспариваться Поставщиком.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Поставка товара включает в себя: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2"/>
        </w:numPr>
        <w:ind w:left="567" w:hanging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доставку в специализированной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термо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упаковке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для реагентов требующих соблюдения температурного диапазона при хранении и транспортировке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по адресу Заказчика;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2"/>
        </w:numPr>
        <w:ind w:left="567" w:hanging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распаковку,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доставку 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 месту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размещения на складе Заказчика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оказание указанных услуг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Поставщиком входит в стоимость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2"/>
        </w:numPr>
        <w:ind w:left="567" w:hanging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неукоснительное соблюдение Поставщиком мероприятий по осуществлению контроля холодовой цепи. Терморегистраторы должны находиться в опечатанных вместе с товаром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2"/>
        </w:numPr>
        <w:ind w:left="567" w:hanging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выполнение совместно с представителями Заказчика контроля температурного режима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доставленного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(товар, поставленный с нарушением режима температуры хранения Заказчиком не принимается и подлежит замене)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составления акта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приема-передачи Товара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стороны могут привлекать независимые сюрвейерские компании, действующие по соглашению сторон и фиксирующие сведения изложенные в акте доставки товара.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Датой доставки товара считается дата подписания: первичного сопроводительного документа (акт приема-передачи, накладная и т.п. в котором обязательны к указанию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наименование Контракта, наименование товара в соответствии с Контрактом, количество, ед.измерения, даты и подписи  представителей сторон) подтверждающего доставку до Заказчика и переданного Заказчику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обнаружения некачественной  доставки товара составляется акт к составлению которого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стороны могут привлекать независимые сюрвейерские компании.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0"/>
        <w:spacing w:after="0" w:line="240" w:lineRule="auto"/>
        <w:rPr>
          <w:rFonts w:ascii="XO Thames" w:hAnsi="XO Thames" w:cs="XO Thames"/>
          <w:b/>
          <w:bCs/>
          <w:sz w:val="24"/>
          <w:szCs w:val="24"/>
          <w:highlight w:val="none"/>
        </w:rPr>
      </w:pPr>
      <w:r>
        <w:rPr>
          <w:rFonts w:ascii="XO Thames" w:hAnsi="XO Thames" w:eastAsia="XO Thames" w:cs="XO Thames"/>
          <w:b/>
          <w:bCs/>
          <w:sz w:val="24"/>
          <w:szCs w:val="24"/>
          <w:lang w:eastAsia="ru-RU"/>
        </w:rPr>
        <w:t xml:space="preserve">Дополнительные требования:</w:t>
      </w:r>
      <w:r>
        <w:rPr>
          <w:rFonts w:ascii="XO Thames" w:hAnsi="XO Thames" w:cs="XO Thames"/>
          <w:b/>
          <w:bCs/>
          <w:sz w:val="24"/>
          <w:szCs w:val="24"/>
          <w:highlight w:val="none"/>
        </w:rPr>
      </w:r>
      <w:r>
        <w:rPr>
          <w:rFonts w:ascii="XO Thames" w:hAnsi="XO Thames" w:cs="XO Thames"/>
          <w:b/>
          <w:bCs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XO Thames" w:hAnsi="XO Thames" w:cs="XO Thames"/>
          <w:b w:val="0"/>
          <w:bCs w:val="0"/>
          <w:sz w:val="24"/>
          <w:szCs w:val="24"/>
          <w:highlight w:val="none"/>
        </w:rPr>
      </w:pPr>
      <w:r>
        <w:rPr>
          <w:rFonts w:ascii="XO Thames" w:hAnsi="XO Thames" w:eastAsia="XO Thames" w:cs="XO Thames"/>
          <w:b w:val="0"/>
          <w:bCs w:val="0"/>
          <w:sz w:val="24"/>
          <w:szCs w:val="24"/>
          <w:highlight w:val="none"/>
          <w:lang w:eastAsia="ru-RU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XO Thames" w:hAnsi="XO Thames" w:cs="XO Thames"/>
          <w:b w:val="0"/>
          <w:bCs w:val="0"/>
          <w:sz w:val="24"/>
          <w:szCs w:val="24"/>
          <w:highlight w:val="none"/>
        </w:rPr>
      </w:pPr>
      <w:r>
        <w:rPr>
          <w:rFonts w:ascii="XO Thames" w:hAnsi="XO Thames" w:eastAsia="XO Thames" w:cs="XO Thames"/>
          <w:b w:val="0"/>
          <w:bCs w:val="0"/>
          <w:sz w:val="24"/>
          <w:szCs w:val="24"/>
          <w:highlight w:val="none"/>
          <w:lang w:eastAsia="ru-RU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Требования к качеству поставляемого Товара: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Весь поставляемый Товар должен соответствовать государственным стандартам, санитарно-гигиеническим и пожарным нормам, должен быть разрешенным  для  применения .. 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Поставляемый 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свойства)., а также к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ачество Товара должно соответствовать требованиям завода-изготовителя ,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 иным требованиям ГОСТов для данного вида товара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 и подтверждаться при осуществлении поставки документами качества, необходимыми согласно действующему законодательству: 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- копиями регистрационных удостоверений 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(при наличии).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;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- копиями деклараций соответствия или сертификатов соответствия, предлагаемыми к поставке на каждую партию поставляемого Товара (при наличии).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Вся сопроводительная информация о поставляемом Товаре должна иметь информацию на русском языке, перевод на русский язык. Товар должен иметь маркиров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очные ярлыки (или этикетки) с указанием полной информации, предусмотренной законами и иными нормативно-правовыми актами Российской Федерации, подтверждающей качество поставляемого Товара и его соответствие требованиям законодательства Российской Федерации.</w:t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Качественные характеристики и функциональные характеристики (потребительские свойства) Товара должны полностью соответствовать описанию объекта закупки.</w:t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При возникновении сомнений в качестве, эффективности и безопасности товара, Заказчик 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может провести его дополнительную (внешнюю) экспертизу. При получении заключения экспертизы о несоответствии товара качеству эффективности и безопасности принятому для данного вида товара, расходы, связанные с её проведением возмещаются Поставщиком в бессп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орном порядке в полном объеме. </w:t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При поставке некачественного Товара срок его замены на Товар надлежащего качества осуществляется Поставщиком за его счет и в срок, согласованные Заказчиком и Поставщиком н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е более 20 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рабочих дней с момента поступления претензии от Заказчика, переданной посредством факсимильного или электронного сообщения .</w:t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XO Thames" w:hAnsi="XO Thames" w:cs="XO Thames"/>
          <w:b w:val="0"/>
          <w:bCs w:val="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333333"/>
          <w:sz w:val="24"/>
          <w:szCs w:val="24"/>
        </w:rPr>
        <w:t xml:space="preserve">В случае в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ыявления недостатков качества Товара в процессе его непосредственной эксплуатации, установлен особый порядок предъявления претензи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й по качеству, а именно:</w:t>
      </w:r>
      <w:r>
        <w:rPr>
          <w:rFonts w:ascii="XO Thames" w:hAnsi="XO Thames" w:cs="XO Thames"/>
          <w:b w:val="0"/>
          <w:bCs w:val="0"/>
          <w:sz w:val="24"/>
          <w:szCs w:val="24"/>
        </w:rPr>
      </w:r>
      <w:r>
        <w:rPr>
          <w:rFonts w:ascii="XO Thames" w:hAnsi="XO Thames" w:cs="XO Thames"/>
          <w:b w:val="0"/>
          <w:bCs w:val="0"/>
          <w:sz w:val="24"/>
          <w:szCs w:val="24"/>
        </w:rPr>
      </w:r>
    </w:p>
    <w:p>
      <w:pPr>
        <w:pStyle w:val="943"/>
        <w:numPr>
          <w:ilvl w:val="0"/>
          <w:numId w:val="40"/>
        </w:numPr>
        <w:ind w:left="0" w:right="0" w:firstLine="0"/>
        <w:spacing w:before="0" w:after="0"/>
        <w:shd w:val="clear" w:color="ffffff" w:fill="ffffff"/>
        <w:rPr>
          <w:rFonts w:ascii="XO Thames" w:hAnsi="XO Thames" w:cs="XO Thames"/>
          <w:b w:val="0"/>
          <w:bCs w:val="0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заказчик вправе предъявить требование о замене товара в случае обнаружения недостатков, в т. ч. по истечении сроков, предусмотренных 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разделом  контракта (гарантийные обязательства и т. д.).</w:t>
      </w:r>
      <w:r>
        <w:rPr>
          <w:rFonts w:ascii="XO Thames" w:hAnsi="XO Thames" w:cs="XO Thames"/>
          <w:b w:val="0"/>
          <w:bCs w:val="0"/>
          <w:color w:val="000000" w:themeColor="text1"/>
          <w:sz w:val="24"/>
          <w:szCs w:val="24"/>
        </w:rPr>
      </w:r>
      <w:r>
        <w:rPr>
          <w:rFonts w:ascii="XO Thames" w:hAnsi="XO Thames" w:cs="XO Thames"/>
          <w:b w:val="0"/>
          <w:bCs w:val="0"/>
          <w:color w:val="000000" w:themeColor="text1"/>
          <w:sz w:val="24"/>
          <w:szCs w:val="24"/>
        </w:rPr>
      </w:r>
    </w:p>
    <w:p>
      <w:pPr>
        <w:pStyle w:val="943"/>
        <w:numPr>
          <w:ilvl w:val="0"/>
          <w:numId w:val="39"/>
        </w:numPr>
        <w:ind w:left="0" w:right="0" w:firstLine="0"/>
        <w:spacing w:before="0" w:after="0"/>
        <w:shd w:val="clear" w:color="ffffff" w:fill="ffffff"/>
        <w:rPr>
          <w:rFonts w:ascii="XO Thames" w:hAnsi="XO Thames" w:cs="XO Thames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для инициирования процедуры замены Заказчик направляет Поставщику письменное требование на электронный адрес, указанный в карточке, с подробным описанием выявленных недостатков и, при наличии, приложением подтверждающих материалов (фото-,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 видеофиксация, акты и т. п.).</w:t>
      </w:r>
      <w:r>
        <w:rPr>
          <w:rFonts w:ascii="XO Thames" w:hAnsi="XO Thames" w:cs="XO Thames"/>
          <w:color w:val="000000" w:themeColor="text1"/>
          <w:sz w:val="24"/>
          <w:szCs w:val="24"/>
        </w:rPr>
      </w:r>
      <w:r>
        <w:rPr>
          <w:rFonts w:ascii="XO Thames" w:hAnsi="XO Thames" w:cs="XO Thames"/>
          <w:color w:val="000000" w:themeColor="text1"/>
          <w:sz w:val="24"/>
          <w:szCs w:val="24"/>
        </w:rPr>
      </w:r>
    </w:p>
    <w:p>
      <w:pPr>
        <w:pStyle w:val="943"/>
        <w:numPr>
          <w:ilvl w:val="0"/>
          <w:numId w:val="39"/>
        </w:numPr>
        <w:ind w:left="0" w:right="0" w:firstLine="0"/>
        <w:spacing w:before="0" w:after="0"/>
        <w:shd w:val="clear" w:color="ffffff" w:fill="ffffff"/>
        <w:rPr>
          <w:rFonts w:ascii="XO Thames" w:hAnsi="XO Thames" w:cs="XO Thames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поставщик обязуется осуществить замену некачественного товара в течение 40 (сорока) календарных дней с даты получения                    указанного           требования.</w:t>
      </w:r>
      <w:r>
        <w:rPr>
          <w:rFonts w:ascii="XO Thames" w:hAnsi="XO Thames" w:cs="XO Thames"/>
          <w:color w:val="000000" w:themeColor="text1"/>
          <w:sz w:val="24"/>
          <w:szCs w:val="24"/>
        </w:rPr>
      </w:r>
      <w:r>
        <w:rPr>
          <w:rFonts w:ascii="XO Thames" w:hAnsi="XO Thames" w:cs="XO Thames"/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 Требования к сроку годности: 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eastAsia="XO Thames" w:cs="XO Thames"/>
          <w:b/>
          <w:bCs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bCs/>
          <w:color w:val="000000"/>
          <w:sz w:val="24"/>
          <w:szCs w:val="24"/>
        </w:rPr>
        <w:t xml:space="preserve">Остаточный срок годности поставляемого товара на дату поставки составляет не менее 80%  от общего срока годности товара.</w:t>
      </w:r>
      <w:r>
        <w:rPr>
          <w:rFonts w:ascii="XO Thames" w:hAnsi="XO Thames" w:eastAsia="XO Thames" w:cs="XO Thames"/>
          <w:b/>
          <w:bCs/>
          <w:sz w:val="24"/>
          <w:szCs w:val="24"/>
          <w:highlight w:val="none"/>
        </w:rPr>
      </w:r>
      <w:r>
        <w:rPr>
          <w:rFonts w:ascii="XO Thames" w:hAnsi="XO Thames" w:eastAsia="XO Thames" w:cs="XO Thames"/>
          <w:b/>
          <w:bCs/>
          <w:sz w:val="24"/>
          <w:szCs w:val="24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Гарантийный срок Поставщика должен составлять не менее 12 месяцев</w:t>
      </w:r>
      <w:r>
        <w:rPr>
          <w:rFonts w:ascii="Times New Roman" w:hAnsi="Times New Roman"/>
          <w:sz w:val="24"/>
          <w:szCs w:val="24"/>
          <w:lang w:eastAsia="ru-RU"/>
        </w:rPr>
        <w:t xml:space="preserve"> с момента поставки Товара Заказчику. Гарантия распространяется на сохранение стерильности, целостности упаковки и соответствие техническим характеристикам, указанным в технической документации производителя. Поста</w:t>
      </w:r>
      <w:r>
        <w:rPr>
          <w:rFonts w:ascii="Times New Roman" w:hAnsi="Times New Roman"/>
          <w:sz w:val="24"/>
          <w:szCs w:val="24"/>
          <w:lang w:eastAsia="ru-RU"/>
        </w:rPr>
        <w:t xml:space="preserve">вщик обязуется бесплатно заменить товар или устранить дефекты, возникшие по вине производителя, в течение гарантийного срока при условии соблюдения заказчиком правил хранения, транспортировки и использования, предусмотренных эксплуатационной документацией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bCs/>
          <w:sz w:val="24"/>
          <w:szCs w:val="24"/>
          <w:highlight w:val="none"/>
        </w:rPr>
      </w:r>
      <w:r>
        <w:rPr>
          <w:rFonts w:ascii="XO Thames" w:hAnsi="XO Thames" w:cs="XO Thames"/>
          <w:b/>
          <w:bCs/>
        </w:rPr>
      </w:r>
      <w:r>
        <w:rPr>
          <w:rFonts w:ascii="XO Thames" w:hAnsi="XO Thames" w:cs="XO Thames"/>
          <w:b/>
          <w:bCs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 Требования к транспортировке, таре, упаковке и маркировке Товара: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Доставка товара, разгрузочно-погрузочные работы осуществляются транспортом Поставщика и за его счет.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Товар должен быть доставлен по адресу Заказчика транспортом, обеспечивающим сохранность товара от загряз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нения, пропитывания товара посторонними запахами, сохранность от влияния низких и высоких температур, обеспечивающих его дальнейшее качественное и безопасное применение, при несоблюдении данных условий весь товар разгрузке по адресу Заказчика не подлежит. 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Товар должен поставляться в таре, упаковке, обеспечивающей сохранность и качество товара при перевозке и хранении. 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Тара, упаковка и маркировка Товара должны соответствовать требованиям, установленным законодательством Российской Федерации, а тара, упаковка и маркировка импортного Товара – международным стандартам и обеспечивать возможность количественного учета поставл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енного Товара.</w:t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XO Thames" w:hAnsi="XO Thames" w:cs="XO Thames"/>
          <w:b w:val="0"/>
          <w:bCs/>
          <w:i/>
          <w:color w:val="auto"/>
          <w:sz w:val="22"/>
          <w:szCs w:val="22"/>
        </w:rPr>
      </w:pP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none"/>
          <w:lang w:eastAsia="zh-CN"/>
        </w:rPr>
        <w:t xml:space="preserve">В случае  многокомпонентного товара типа набора  каждая упаковка должна содержать  маркировку позволяющую 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идентифици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р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о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в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а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т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ь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none"/>
          <w:lang w:eastAsia="zh-CN"/>
        </w:rPr>
        <w:t xml:space="preserve">  набор в комплекте</w:t>
      </w:r>
      <w:r>
        <w:rPr>
          <w:rFonts w:ascii="XO Thames" w:hAnsi="XO Thames" w:cs="XO Thames"/>
          <w:b w:val="0"/>
          <w:bCs/>
          <w:i/>
          <w:color w:val="auto"/>
          <w:sz w:val="22"/>
          <w:szCs w:val="22"/>
        </w:rPr>
      </w:r>
      <w:r>
        <w:rPr>
          <w:rFonts w:ascii="XO Thames" w:hAnsi="XO Thames" w:cs="XO Thames"/>
          <w:b w:val="0"/>
          <w:bCs/>
          <w:i/>
          <w:color w:val="auto"/>
          <w:sz w:val="22"/>
          <w:szCs w:val="22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Поставщик должен обеспечить упаковку Товара, способную предотвратить их повреждение или порчу во время перевозки к конечным пунктам назначения. Упаковка должна выдерживать воздействие экстремальных температур и осадков во время перевозки.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 w:line="240" w:lineRule="auto"/>
        <w:rPr>
          <w:rFonts w:ascii="XO Thames" w:hAnsi="XO Thames" w:cs="XO Thames"/>
          <w:color w:val="000000" w:themeColor="text1"/>
          <w:sz w:val="22"/>
          <w:szCs w:val="22"/>
          <w:highlight w:val="none"/>
        </w:rPr>
      </w:pPr>
      <w:r>
        <w:rPr>
          <w:rFonts w:ascii="XO Thames" w:hAnsi="XO Thames" w:cs="XO Thames"/>
          <w:color w:val="000000" w:themeColor="text1"/>
          <w:sz w:val="22"/>
          <w:szCs w:val="22"/>
          <w:highlight w:val="none"/>
        </w:rPr>
      </w:r>
      <w:r>
        <w:rPr>
          <w:rFonts w:ascii="XO Thames" w:hAnsi="XO Thames" w:cs="XO Thames"/>
          <w:color w:val="000000" w:themeColor="text1"/>
          <w:sz w:val="22"/>
          <w:szCs w:val="22"/>
          <w:highlight w:val="none"/>
        </w:rPr>
      </w:r>
      <w:r>
        <w:rPr>
          <w:rFonts w:ascii="XO Thames" w:hAnsi="XO Thames" w:cs="XO Thames"/>
          <w:color w:val="000000" w:themeColor="text1"/>
          <w:sz w:val="22"/>
          <w:szCs w:val="22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sectPr>
      <w:headerReference w:type="default" r:id="rId9"/>
      <w:headerReference w:type="first" r:id="rId10"/>
      <w:footnotePr/>
      <w:endnotePr/>
      <w:type w:val="nextPage"/>
      <w:pgSz w:w="15840" w:h="12240" w:orient="landscape"/>
      <w:pgMar w:top="1134" w:right="567" w:bottom="567" w:left="567" w:header="397" w:footer="397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SimSun">
    <w:panose1 w:val="02000604000000000000"/>
  </w:font>
  <w:font w:name="Wingdings">
    <w:panose1 w:val="05010000000000000000"/>
  </w:font>
  <w:font w:name="Symbol">
    <w:panose1 w:val="05050102000706020507"/>
  </w:font>
  <w:font w:name="Calibri">
    <w:panose1 w:val="020F0502020204030204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885397428"/>
      <w:docPartObj>
        <w:docPartGallery w:val="Page Numbers (Top of Page)"/>
        <w:docPartUnique w:val="true"/>
      </w:docPartObj>
      <w:rPr/>
    </w:sdtPr>
    <w:sdtContent>
      <w:p>
        <w:pPr>
          <w:pStyle w:val="94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5</w:t>
        </w:r>
        <w:r>
          <w:fldChar w:fldCharType="end"/>
        </w:r>
        <w:r/>
      </w:p>
    </w:sdtContent>
  </w:sdt>
  <w:p>
    <w:pPr>
      <w:pStyle w:val="94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3"/>
      <w:numFmt w:val="decimal"/>
      <w:isLgl/>
      <w:suff w:val="tab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37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hint="default" w:ascii="Times New Roman" w:hAnsi="Times New Roman" w:cs="Times New Roman"/>
        <w:b w:val="0"/>
        <w:i w:val="0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8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0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2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4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6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8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0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23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3"/>
  </w:num>
  <w:num w:numId="5">
    <w:abstractNumId w:val="12"/>
  </w:num>
  <w:num w:numId="6">
    <w:abstractNumId w:val="14"/>
  </w:num>
  <w:num w:numId="7">
    <w:abstractNumId w:val="20"/>
  </w:num>
  <w:num w:numId="8">
    <w:abstractNumId w:val="3"/>
  </w:num>
  <w:num w:numId="9">
    <w:abstractNumId w:val="5"/>
  </w:num>
  <w:num w:numId="10">
    <w:abstractNumId w:val="15"/>
  </w:num>
  <w:num w:numId="11">
    <w:abstractNumId w:val="10"/>
  </w:num>
  <w:num w:numId="12">
    <w:abstractNumId w:val="8"/>
  </w:num>
  <w:num w:numId="13">
    <w:abstractNumId w:val="4"/>
  </w:num>
  <w:num w:numId="14">
    <w:abstractNumId w:val="11"/>
  </w:num>
  <w:num w:numId="15">
    <w:abstractNumId w:val="18"/>
  </w:num>
  <w:num w:numId="16">
    <w:abstractNumId w:val="7"/>
  </w:num>
  <w:num w:numId="17">
    <w:abstractNumId w:val="21"/>
  </w:num>
  <w:num w:numId="18">
    <w:abstractNumId w:val="1"/>
  </w:num>
  <w:num w:numId="19">
    <w:abstractNumId w:val="19"/>
  </w:num>
  <w:num w:numId="20">
    <w:abstractNumId w:val="17"/>
  </w:num>
  <w:num w:numId="21">
    <w:abstractNumId w:val="16"/>
  </w:num>
  <w:num w:numId="22">
    <w:abstractNumId w:val="2"/>
  </w:num>
  <w:num w:numId="23">
    <w:abstractNumId w:val="22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8">
    <w:name w:val="Heading 1"/>
    <w:basedOn w:val="939"/>
    <w:next w:val="939"/>
    <w:link w:val="7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9">
    <w:name w:val="Heading 1 Char"/>
    <w:basedOn w:val="940"/>
    <w:link w:val="768"/>
    <w:uiPriority w:val="9"/>
    <w:rPr>
      <w:rFonts w:ascii="Arial" w:hAnsi="Arial" w:eastAsia="Arial" w:cs="Arial"/>
      <w:sz w:val="40"/>
      <w:szCs w:val="40"/>
    </w:rPr>
  </w:style>
  <w:style w:type="paragraph" w:styleId="770">
    <w:name w:val="Heading 2"/>
    <w:basedOn w:val="939"/>
    <w:next w:val="939"/>
    <w:link w:val="7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1">
    <w:name w:val="Heading 2 Char"/>
    <w:basedOn w:val="940"/>
    <w:link w:val="770"/>
    <w:uiPriority w:val="9"/>
    <w:rPr>
      <w:rFonts w:ascii="Arial" w:hAnsi="Arial" w:eastAsia="Arial" w:cs="Arial"/>
      <w:sz w:val="34"/>
    </w:rPr>
  </w:style>
  <w:style w:type="paragraph" w:styleId="772">
    <w:name w:val="Heading 3"/>
    <w:basedOn w:val="939"/>
    <w:next w:val="939"/>
    <w:link w:val="7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3">
    <w:name w:val="Heading 3 Char"/>
    <w:basedOn w:val="940"/>
    <w:link w:val="772"/>
    <w:uiPriority w:val="9"/>
    <w:rPr>
      <w:rFonts w:ascii="Arial" w:hAnsi="Arial" w:eastAsia="Arial" w:cs="Arial"/>
      <w:sz w:val="30"/>
      <w:szCs w:val="30"/>
    </w:rPr>
  </w:style>
  <w:style w:type="paragraph" w:styleId="774">
    <w:name w:val="Heading 4"/>
    <w:basedOn w:val="939"/>
    <w:next w:val="939"/>
    <w:link w:val="7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5">
    <w:name w:val="Heading 4 Char"/>
    <w:basedOn w:val="940"/>
    <w:link w:val="774"/>
    <w:uiPriority w:val="9"/>
    <w:rPr>
      <w:rFonts w:ascii="Arial" w:hAnsi="Arial" w:eastAsia="Arial" w:cs="Arial"/>
      <w:b/>
      <w:bCs/>
      <w:sz w:val="26"/>
      <w:szCs w:val="26"/>
    </w:rPr>
  </w:style>
  <w:style w:type="paragraph" w:styleId="776">
    <w:name w:val="Heading 5"/>
    <w:basedOn w:val="939"/>
    <w:next w:val="939"/>
    <w:link w:val="7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7">
    <w:name w:val="Heading 5 Char"/>
    <w:basedOn w:val="940"/>
    <w:link w:val="776"/>
    <w:uiPriority w:val="9"/>
    <w:rPr>
      <w:rFonts w:ascii="Arial" w:hAnsi="Arial" w:eastAsia="Arial" w:cs="Arial"/>
      <w:b/>
      <w:bCs/>
      <w:sz w:val="24"/>
      <w:szCs w:val="24"/>
    </w:rPr>
  </w:style>
  <w:style w:type="paragraph" w:styleId="778">
    <w:name w:val="Heading 6"/>
    <w:basedOn w:val="939"/>
    <w:next w:val="939"/>
    <w:link w:val="7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9">
    <w:name w:val="Heading 6 Char"/>
    <w:basedOn w:val="940"/>
    <w:link w:val="778"/>
    <w:uiPriority w:val="9"/>
    <w:rPr>
      <w:rFonts w:ascii="Arial" w:hAnsi="Arial" w:eastAsia="Arial" w:cs="Arial"/>
      <w:b/>
      <w:bCs/>
      <w:sz w:val="22"/>
      <w:szCs w:val="22"/>
    </w:rPr>
  </w:style>
  <w:style w:type="paragraph" w:styleId="780">
    <w:name w:val="Heading 7"/>
    <w:basedOn w:val="939"/>
    <w:next w:val="939"/>
    <w:link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1">
    <w:name w:val="Heading 7 Char"/>
    <w:basedOn w:val="940"/>
    <w:link w:val="7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2">
    <w:name w:val="Heading 8"/>
    <w:basedOn w:val="939"/>
    <w:next w:val="939"/>
    <w:link w:val="7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3">
    <w:name w:val="Heading 8 Char"/>
    <w:basedOn w:val="940"/>
    <w:link w:val="782"/>
    <w:uiPriority w:val="9"/>
    <w:rPr>
      <w:rFonts w:ascii="Arial" w:hAnsi="Arial" w:eastAsia="Arial" w:cs="Arial"/>
      <w:i/>
      <w:iCs/>
      <w:sz w:val="22"/>
      <w:szCs w:val="22"/>
    </w:rPr>
  </w:style>
  <w:style w:type="paragraph" w:styleId="784">
    <w:name w:val="Heading 9"/>
    <w:basedOn w:val="939"/>
    <w:next w:val="939"/>
    <w:link w:val="7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5">
    <w:name w:val="Heading 9 Char"/>
    <w:basedOn w:val="940"/>
    <w:link w:val="784"/>
    <w:uiPriority w:val="9"/>
    <w:rPr>
      <w:rFonts w:ascii="Arial" w:hAnsi="Arial" w:eastAsia="Arial" w:cs="Arial"/>
      <w:i/>
      <w:iCs/>
      <w:sz w:val="21"/>
      <w:szCs w:val="21"/>
    </w:rPr>
  </w:style>
  <w:style w:type="paragraph" w:styleId="786">
    <w:name w:val="No Spacing"/>
    <w:uiPriority w:val="1"/>
    <w:qFormat/>
    <w:pPr>
      <w:spacing w:before="0" w:after="0" w:line="240" w:lineRule="auto"/>
    </w:pPr>
  </w:style>
  <w:style w:type="paragraph" w:styleId="787">
    <w:name w:val="Title"/>
    <w:basedOn w:val="939"/>
    <w:next w:val="939"/>
    <w:link w:val="7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8">
    <w:name w:val="Title Char"/>
    <w:basedOn w:val="940"/>
    <w:link w:val="787"/>
    <w:uiPriority w:val="10"/>
    <w:rPr>
      <w:sz w:val="48"/>
      <w:szCs w:val="48"/>
    </w:rPr>
  </w:style>
  <w:style w:type="paragraph" w:styleId="789">
    <w:name w:val="Subtitle"/>
    <w:basedOn w:val="939"/>
    <w:next w:val="939"/>
    <w:link w:val="790"/>
    <w:uiPriority w:val="11"/>
    <w:qFormat/>
    <w:pPr>
      <w:spacing w:before="200" w:after="200"/>
    </w:pPr>
    <w:rPr>
      <w:sz w:val="24"/>
      <w:szCs w:val="24"/>
    </w:rPr>
  </w:style>
  <w:style w:type="character" w:styleId="790">
    <w:name w:val="Subtitle Char"/>
    <w:basedOn w:val="940"/>
    <w:link w:val="789"/>
    <w:uiPriority w:val="11"/>
    <w:rPr>
      <w:sz w:val="24"/>
      <w:szCs w:val="24"/>
    </w:rPr>
  </w:style>
  <w:style w:type="paragraph" w:styleId="791">
    <w:name w:val="Quote"/>
    <w:basedOn w:val="939"/>
    <w:next w:val="939"/>
    <w:link w:val="792"/>
    <w:uiPriority w:val="29"/>
    <w:qFormat/>
    <w:pPr>
      <w:ind w:left="720" w:right="720"/>
    </w:pPr>
    <w:rPr>
      <w:i/>
    </w:rPr>
  </w:style>
  <w:style w:type="character" w:styleId="792">
    <w:name w:val="Quote Char"/>
    <w:link w:val="791"/>
    <w:uiPriority w:val="29"/>
    <w:rPr>
      <w:i/>
    </w:rPr>
  </w:style>
  <w:style w:type="paragraph" w:styleId="793">
    <w:name w:val="Intense Quote"/>
    <w:basedOn w:val="939"/>
    <w:next w:val="939"/>
    <w:link w:val="7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>
    <w:name w:val="Intense Quote Char"/>
    <w:link w:val="793"/>
    <w:uiPriority w:val="30"/>
    <w:rPr>
      <w:i/>
    </w:rPr>
  </w:style>
  <w:style w:type="character" w:styleId="795">
    <w:name w:val="Header Char"/>
    <w:basedOn w:val="940"/>
    <w:link w:val="944"/>
    <w:uiPriority w:val="99"/>
  </w:style>
  <w:style w:type="character" w:styleId="796">
    <w:name w:val="Footer Char"/>
    <w:basedOn w:val="940"/>
    <w:link w:val="946"/>
    <w:uiPriority w:val="99"/>
  </w:style>
  <w:style w:type="paragraph" w:styleId="797">
    <w:name w:val="Caption"/>
    <w:basedOn w:val="939"/>
    <w:next w:val="939"/>
    <w:link w:val="7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8">
    <w:name w:val="Caption Char"/>
    <w:basedOn w:val="940"/>
    <w:link w:val="797"/>
    <w:uiPriority w:val="35"/>
    <w:rPr>
      <w:b/>
      <w:bCs/>
      <w:color w:val="4f81bd" w:themeColor="accent1"/>
      <w:sz w:val="18"/>
      <w:szCs w:val="18"/>
    </w:rPr>
  </w:style>
  <w:style w:type="table" w:styleId="799">
    <w:name w:val="Table Grid Light"/>
    <w:basedOn w:val="9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0">
    <w:name w:val="Plain Table 1"/>
    <w:basedOn w:val="9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1">
    <w:name w:val="Plain Table 2"/>
    <w:basedOn w:val="9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3">
    <w:name w:val="Plain Table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Plain Table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5">
    <w:name w:val="Grid Table 1 Light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4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7">
    <w:name w:val="Grid Table 4 - Accent 1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8">
    <w:name w:val="Grid Table 4 - Accent 2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9">
    <w:name w:val="Grid Table 4 - Accent 3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0">
    <w:name w:val="Grid Table 4 - Accent 4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1">
    <w:name w:val="Grid Table 4 - Accent 5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2">
    <w:name w:val="Grid Table 4 - Accent 6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3">
    <w:name w:val="Grid Table 5 Dark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4">
    <w:name w:val="Grid Table 5 Dark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5">
    <w:name w:val="Grid Table 5 Dark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37">
    <w:name w:val="Grid Table 5 Dark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0">
    <w:name w:val="Grid Table 6 Colorful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1">
    <w:name w:val="Grid Table 6 Colorful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2">
    <w:name w:val="Grid Table 6 Colorful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3">
    <w:name w:val="Grid Table 6 Colorful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4">
    <w:name w:val="Grid Table 6 Colorful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5">
    <w:name w:val="Grid Table 6 Colorful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6">
    <w:name w:val="Grid Table 6 Colorful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7">
    <w:name w:val="Grid Table 7 Colorful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2">
    <w:name w:val="List Table 2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3">
    <w:name w:val="List Table 2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4">
    <w:name w:val="List Table 2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5">
    <w:name w:val="List Table 2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6">
    <w:name w:val="List Table 2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7">
    <w:name w:val="List Table 2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8">
    <w:name w:val="List Table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5 Dark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5 Dark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6 Colorful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0">
    <w:name w:val="List Table 6 Colorful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1">
    <w:name w:val="List Table 6 Colorful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2">
    <w:name w:val="List Table 6 Colorful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3">
    <w:name w:val="List Table 6 Colorful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4">
    <w:name w:val="List Table 6 Colorful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5">
    <w:name w:val="List Table 6 Colorful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6">
    <w:name w:val="List Table 7 Colorful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7">
    <w:name w:val="List Table 7 Colorful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98">
    <w:name w:val="List Table 7 Colorful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99">
    <w:name w:val="List Table 7 Colorful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0">
    <w:name w:val="List Table 7 Colorful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1">
    <w:name w:val="List Table 7 Colorful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902">
    <w:name w:val="List Table 7 Colorful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03">
    <w:name w:val="Lined - Accent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4">
    <w:name w:val="Lined - Accent 1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05">
    <w:name w:val="Lined - Accent 2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6">
    <w:name w:val="Lined - Accent 3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7">
    <w:name w:val="Lined - Accent 4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8">
    <w:name w:val="Lined - Accent 5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09">
    <w:name w:val="Lined - Accent 6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0">
    <w:name w:val="Bordered &amp; Lined - Accent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1">
    <w:name w:val="Bordered &amp; Lined - Accent 1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12">
    <w:name w:val="Bordered &amp; Lined - Accent 2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3">
    <w:name w:val="Bordered &amp; Lined - Accent 3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4">
    <w:name w:val="Bordered &amp; Lined - Accent 4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5">
    <w:name w:val="Bordered &amp; Lined - Accent 5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16">
    <w:name w:val="Bordered &amp; Lined - Accent 6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7">
    <w:name w:val="Bordered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8">
    <w:name w:val="Bordered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9">
    <w:name w:val="Bordered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0">
    <w:name w:val="Bordered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1">
    <w:name w:val="Bordered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2">
    <w:name w:val="Bordered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3">
    <w:name w:val="Bordered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4">
    <w:name w:val="Footnote Text Char"/>
    <w:link w:val="952"/>
    <w:uiPriority w:val="99"/>
    <w:rPr>
      <w:sz w:val="18"/>
    </w:rPr>
  </w:style>
  <w:style w:type="paragraph" w:styleId="925">
    <w:name w:val="endnote text"/>
    <w:basedOn w:val="939"/>
    <w:link w:val="926"/>
    <w:uiPriority w:val="99"/>
    <w:semiHidden/>
    <w:unhideWhenUsed/>
    <w:pPr>
      <w:spacing w:after="0" w:line="240" w:lineRule="auto"/>
    </w:pPr>
    <w:rPr>
      <w:sz w:val="20"/>
    </w:rPr>
  </w:style>
  <w:style w:type="character" w:styleId="926">
    <w:name w:val="Endnote Text Char"/>
    <w:link w:val="925"/>
    <w:uiPriority w:val="99"/>
    <w:rPr>
      <w:sz w:val="20"/>
    </w:rPr>
  </w:style>
  <w:style w:type="character" w:styleId="927">
    <w:name w:val="endnote reference"/>
    <w:basedOn w:val="940"/>
    <w:uiPriority w:val="99"/>
    <w:semiHidden/>
    <w:unhideWhenUsed/>
    <w:rPr>
      <w:vertAlign w:val="superscript"/>
    </w:rPr>
  </w:style>
  <w:style w:type="paragraph" w:styleId="928">
    <w:name w:val="toc 1"/>
    <w:basedOn w:val="939"/>
    <w:next w:val="939"/>
    <w:uiPriority w:val="39"/>
    <w:unhideWhenUsed/>
    <w:pPr>
      <w:ind w:left="0" w:right="0" w:firstLine="0"/>
      <w:spacing w:after="57"/>
    </w:pPr>
  </w:style>
  <w:style w:type="paragraph" w:styleId="929">
    <w:name w:val="toc 2"/>
    <w:basedOn w:val="939"/>
    <w:next w:val="939"/>
    <w:uiPriority w:val="39"/>
    <w:unhideWhenUsed/>
    <w:pPr>
      <w:ind w:left="283" w:right="0" w:firstLine="0"/>
      <w:spacing w:after="57"/>
    </w:pPr>
  </w:style>
  <w:style w:type="paragraph" w:styleId="930">
    <w:name w:val="toc 3"/>
    <w:basedOn w:val="939"/>
    <w:next w:val="939"/>
    <w:uiPriority w:val="39"/>
    <w:unhideWhenUsed/>
    <w:pPr>
      <w:ind w:left="567" w:right="0" w:firstLine="0"/>
      <w:spacing w:after="57"/>
    </w:pPr>
  </w:style>
  <w:style w:type="paragraph" w:styleId="931">
    <w:name w:val="toc 4"/>
    <w:basedOn w:val="939"/>
    <w:next w:val="939"/>
    <w:uiPriority w:val="39"/>
    <w:unhideWhenUsed/>
    <w:pPr>
      <w:ind w:left="850" w:right="0" w:firstLine="0"/>
      <w:spacing w:after="57"/>
    </w:pPr>
  </w:style>
  <w:style w:type="paragraph" w:styleId="932">
    <w:name w:val="toc 5"/>
    <w:basedOn w:val="939"/>
    <w:next w:val="939"/>
    <w:uiPriority w:val="39"/>
    <w:unhideWhenUsed/>
    <w:pPr>
      <w:ind w:left="1134" w:right="0" w:firstLine="0"/>
      <w:spacing w:after="57"/>
    </w:pPr>
  </w:style>
  <w:style w:type="paragraph" w:styleId="933">
    <w:name w:val="toc 6"/>
    <w:basedOn w:val="939"/>
    <w:next w:val="939"/>
    <w:uiPriority w:val="39"/>
    <w:unhideWhenUsed/>
    <w:pPr>
      <w:ind w:left="1417" w:right="0" w:firstLine="0"/>
      <w:spacing w:after="57"/>
    </w:pPr>
  </w:style>
  <w:style w:type="paragraph" w:styleId="934">
    <w:name w:val="toc 7"/>
    <w:basedOn w:val="939"/>
    <w:next w:val="939"/>
    <w:uiPriority w:val="39"/>
    <w:unhideWhenUsed/>
    <w:pPr>
      <w:ind w:left="1701" w:right="0" w:firstLine="0"/>
      <w:spacing w:after="57"/>
    </w:pPr>
  </w:style>
  <w:style w:type="paragraph" w:styleId="935">
    <w:name w:val="toc 8"/>
    <w:basedOn w:val="939"/>
    <w:next w:val="939"/>
    <w:uiPriority w:val="39"/>
    <w:unhideWhenUsed/>
    <w:pPr>
      <w:ind w:left="1984" w:right="0" w:firstLine="0"/>
      <w:spacing w:after="57"/>
    </w:pPr>
  </w:style>
  <w:style w:type="paragraph" w:styleId="936">
    <w:name w:val="toc 9"/>
    <w:basedOn w:val="939"/>
    <w:next w:val="939"/>
    <w:uiPriority w:val="39"/>
    <w:unhideWhenUsed/>
    <w:pPr>
      <w:ind w:left="2268" w:right="0" w:firstLine="0"/>
      <w:spacing w:after="57"/>
    </w:pPr>
  </w:style>
  <w:style w:type="paragraph" w:styleId="937">
    <w:name w:val="TOC Heading"/>
    <w:uiPriority w:val="39"/>
    <w:unhideWhenUsed/>
  </w:style>
  <w:style w:type="paragraph" w:styleId="938">
    <w:name w:val="table of figures"/>
    <w:basedOn w:val="939"/>
    <w:next w:val="939"/>
    <w:uiPriority w:val="99"/>
    <w:unhideWhenUsed/>
    <w:pPr>
      <w:spacing w:after="0" w:afterAutospacing="0"/>
    </w:pPr>
  </w:style>
  <w:style w:type="paragraph" w:styleId="939" w:default="1">
    <w:name w:val="Normal"/>
    <w:qFormat/>
  </w:style>
  <w:style w:type="character" w:styleId="940" w:default="1">
    <w:name w:val="Default Paragraph Font"/>
    <w:uiPriority w:val="1"/>
    <w:semiHidden/>
    <w:unhideWhenUsed/>
  </w:style>
  <w:style w:type="table" w:styleId="9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2" w:default="1">
    <w:name w:val="No List"/>
    <w:uiPriority w:val="99"/>
    <w:semiHidden/>
    <w:unhideWhenUsed/>
  </w:style>
  <w:style w:type="paragraph" w:styleId="943">
    <w:name w:val="List Paragraph"/>
    <w:basedOn w:val="939"/>
    <w:uiPriority w:val="34"/>
    <w:qFormat/>
    <w:pPr>
      <w:contextualSpacing/>
      <w:ind w:left="720"/>
    </w:pPr>
  </w:style>
  <w:style w:type="paragraph" w:styleId="944">
    <w:name w:val="Header"/>
    <w:basedOn w:val="939"/>
    <w:link w:val="94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5" w:customStyle="1">
    <w:name w:val="Верхний колонтитул Знак"/>
    <w:basedOn w:val="940"/>
    <w:link w:val="944"/>
    <w:uiPriority w:val="99"/>
  </w:style>
  <w:style w:type="paragraph" w:styleId="946">
    <w:name w:val="Footer"/>
    <w:basedOn w:val="939"/>
    <w:link w:val="94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7" w:customStyle="1">
    <w:name w:val="Нижний колонтитул Знак"/>
    <w:basedOn w:val="940"/>
    <w:link w:val="946"/>
    <w:uiPriority w:val="99"/>
  </w:style>
  <w:style w:type="character" w:styleId="948" w:customStyle="1">
    <w:name w:val="product-details-list__container_block_description"/>
    <w:basedOn w:val="940"/>
  </w:style>
  <w:style w:type="character" w:styleId="949">
    <w:name w:val="Hyperlink"/>
    <w:basedOn w:val="940"/>
    <w:uiPriority w:val="99"/>
    <w:unhideWhenUsed/>
    <w:rPr>
      <w:color w:val="0563c1" w:themeColor="hyperlink"/>
      <w:u w:val="single"/>
    </w:rPr>
  </w:style>
  <w:style w:type="character" w:styleId="950" w:customStyle="1">
    <w:name w:val="Неразрешенное упоминание1"/>
    <w:basedOn w:val="940"/>
    <w:uiPriority w:val="99"/>
    <w:semiHidden/>
    <w:unhideWhenUsed/>
    <w:rPr>
      <w:color w:val="605e5c"/>
      <w:shd w:val="clear" w:color="auto" w:fill="e1dfdd"/>
    </w:rPr>
  </w:style>
  <w:style w:type="table" w:styleId="951">
    <w:name w:val="Table Grid"/>
    <w:basedOn w:val="94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2">
    <w:name w:val="footnote text"/>
    <w:basedOn w:val="939"/>
    <w:link w:val="95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53" w:customStyle="1">
    <w:name w:val="Текст сноски Знак"/>
    <w:basedOn w:val="940"/>
    <w:link w:val="952"/>
    <w:uiPriority w:val="99"/>
    <w:semiHidden/>
    <w:rPr>
      <w:sz w:val="20"/>
      <w:szCs w:val="20"/>
    </w:rPr>
  </w:style>
  <w:style w:type="character" w:styleId="954">
    <w:name w:val="footnote reference"/>
    <w:basedOn w:val="940"/>
    <w:uiPriority w:val="99"/>
    <w:semiHidden/>
    <w:unhideWhenUsed/>
    <w:rPr>
      <w:vertAlign w:val="superscript"/>
    </w:rPr>
  </w:style>
  <w:style w:type="paragraph" w:styleId="955" w:customStyle="1">
    <w:name w:val="Table Paragraph"/>
    <w:basedOn w:val="939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numbering" w:styleId="956" w:customStyle="1">
    <w:name w:val="Нет списка1"/>
    <w:next w:val="942"/>
    <w:uiPriority w:val="99"/>
    <w:semiHidden/>
    <w:unhideWhenUsed/>
  </w:style>
  <w:style w:type="table" w:styleId="957" w:customStyle="1">
    <w:name w:val="Сетка таблицы1"/>
    <w:basedOn w:val="941"/>
    <w:next w:val="9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58">
    <w:name w:val="FollowedHyperlink"/>
    <w:basedOn w:val="940"/>
    <w:uiPriority w:val="99"/>
    <w:semiHidden/>
    <w:unhideWhenUsed/>
    <w:rPr>
      <w:color w:val="954f72"/>
      <w:u w:val="single"/>
    </w:rPr>
  </w:style>
  <w:style w:type="paragraph" w:styleId="959" w:customStyle="1">
    <w:name w:val="msonormal"/>
    <w:basedOn w:val="93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0" w:customStyle="1">
    <w:name w:val="xl63"/>
    <w:basedOn w:val="939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1" w:customStyle="1">
    <w:name w:val="xl64"/>
    <w:basedOn w:val="93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2" w:customStyle="1">
    <w:name w:val="xl65"/>
    <w:basedOn w:val="93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3" w:customStyle="1">
    <w:name w:val="xl66"/>
    <w:basedOn w:val="939"/>
    <w:pPr>
      <w:jc w:val="center"/>
      <w:spacing w:before="100" w:beforeAutospacing="1" w:after="100" w:afterAutospacing="1" w:line="240" w:lineRule="auto"/>
      <w:shd w:val="clear" w:color="000000" w:fill="d9d9d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964">
    <w:name w:val="annotation reference"/>
    <w:basedOn w:val="940"/>
    <w:uiPriority w:val="99"/>
    <w:semiHidden/>
    <w:unhideWhenUsed/>
    <w:rPr>
      <w:sz w:val="16"/>
      <w:szCs w:val="16"/>
    </w:rPr>
  </w:style>
  <w:style w:type="paragraph" w:styleId="965">
    <w:name w:val="annotation text"/>
    <w:basedOn w:val="939"/>
    <w:link w:val="966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66" w:customStyle="1">
    <w:name w:val="Текст примечания Знак"/>
    <w:basedOn w:val="940"/>
    <w:link w:val="965"/>
    <w:uiPriority w:val="99"/>
    <w:semiHidden/>
    <w:rPr>
      <w:sz w:val="20"/>
      <w:szCs w:val="20"/>
    </w:rPr>
  </w:style>
  <w:style w:type="paragraph" w:styleId="967">
    <w:name w:val="annotation subject"/>
    <w:basedOn w:val="965"/>
    <w:next w:val="965"/>
    <w:link w:val="968"/>
    <w:uiPriority w:val="99"/>
    <w:semiHidden/>
    <w:unhideWhenUsed/>
    <w:rPr>
      <w:b/>
      <w:bCs/>
    </w:rPr>
  </w:style>
  <w:style w:type="character" w:styleId="968" w:customStyle="1">
    <w:name w:val="Тема примечания Знак"/>
    <w:basedOn w:val="966"/>
    <w:link w:val="967"/>
    <w:uiPriority w:val="99"/>
    <w:semiHidden/>
    <w:rPr>
      <w:b/>
      <w:bCs/>
      <w:sz w:val="20"/>
      <w:szCs w:val="20"/>
    </w:rPr>
  </w:style>
  <w:style w:type="paragraph" w:styleId="969">
    <w:name w:val="Balloon Text"/>
    <w:basedOn w:val="939"/>
    <w:link w:val="97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70" w:customStyle="1">
    <w:name w:val="Текст выноски Знак"/>
    <w:basedOn w:val="940"/>
    <w:link w:val="969"/>
    <w:uiPriority w:val="99"/>
    <w:semiHidden/>
    <w:rPr>
      <w:rFonts w:ascii="Segoe UI" w:hAnsi="Segoe UI" w:cs="Segoe UI"/>
      <w:sz w:val="18"/>
      <w:szCs w:val="18"/>
    </w:rPr>
  </w:style>
  <w:style w:type="paragraph" w:styleId="971" w:customStyle="1">
    <w:name w:val="Normal (Web)"/>
    <w:basedOn w:val="892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72" w:customStyle="1">
    <w:name w:val="HTML Preformatted"/>
    <w:basedOn w:val="892"/>
    <w:link w:val="920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73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F7F81-E19F-4393-8718-F0DBB7BF3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Янушкевич</dc:creator>
  <cp:lastModifiedBy>oksana.bratchenko</cp:lastModifiedBy>
  <cp:revision>51</cp:revision>
  <dcterms:created xsi:type="dcterms:W3CDTF">2025-04-10T07:59:00Z</dcterms:created>
  <dcterms:modified xsi:type="dcterms:W3CDTF">2026-08-20T13:25:06Z</dcterms:modified>
</cp:coreProperties>
</file>