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</w:rPr>
      </w:pPr>
      <w:r>
        <w:rPr>
          <w:sz w:val="28"/>
        </w:rPr>
        <w:t xml:space="preserve">ФЕДЕРАЛЬНАЯ ТАМОЖЕННАЯ СЛУЖБА</w:t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  <w:t xml:space="preserve">ПРИВОЛЖСКОЕ ТАМОЖЕННОЕ УПРАВЛЕНИЕ</w:t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  <w:t xml:space="preserve">ПЕРМСКАЯ ТАМОЖНЯ</w:t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left="6096"/>
        <w:rPr>
          <w:bCs/>
        </w:rPr>
      </w:pPr>
      <w:r>
        <w:rPr>
          <w:bCs/>
        </w:rPr>
      </w:r>
      <w:r>
        <w:rPr>
          <w:bCs/>
        </w:rPr>
      </w:r>
    </w:p>
    <w:p>
      <w:pPr>
        <w:ind w:left="6096"/>
        <w:rPr>
          <w:bCs/>
        </w:rPr>
      </w:pPr>
      <w:r>
        <w:rPr>
          <w:bCs/>
        </w:rPr>
      </w:r>
      <w:r>
        <w:rPr>
          <w:bCs/>
        </w:rPr>
      </w:r>
    </w:p>
    <w:p>
      <w:pPr>
        <w:ind w:left="6096"/>
        <w:rPr>
          <w:bCs/>
        </w:rPr>
      </w:pPr>
      <w:r>
        <w:rPr>
          <w:bCs/>
        </w:rPr>
        <w:t xml:space="preserve">   </w:t>
      </w:r>
      <w:r>
        <w:rPr>
          <w:bCs/>
        </w:rPr>
      </w:r>
    </w:p>
    <w:p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Информация к закупочной сессии на ЕАТ </w:t>
      </w:r>
      <w:r>
        <w:rPr>
          <w:b/>
          <w:sz w:val="40"/>
          <w:szCs w:val="40"/>
        </w:rPr>
      </w:r>
    </w:p>
    <w:p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на </w:t>
      </w:r>
      <w:r>
        <w:rPr>
          <w:b/>
          <w:sz w:val="40"/>
          <w:szCs w:val="40"/>
        </w:rPr>
        <w:t xml:space="preserve">оказание медицинских услуг по проведению военно-врачебной экспертизы гражданам, поступающим на службу по контракту в Пермскую таможню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br/>
      </w:r>
      <w:r>
        <w:rPr>
          <w:b/>
          <w:sz w:val="40"/>
          <w:szCs w:val="40"/>
        </w:rPr>
      </w:r>
    </w:p>
    <w:p>
      <w:r/>
      <w:r/>
    </w:p>
    <w:p>
      <w:r/>
      <w:r/>
    </w:p>
    <w:p>
      <w:r/>
      <w:r/>
    </w:p>
    <w:p>
      <w:r/>
      <w:r/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495"/>
        <w:gridCol w:w="1843"/>
        <w:gridCol w:w="2693"/>
      </w:tblGrid>
      <w:tr>
        <w:tblPrEx/>
        <w:trPr>
          <w:trHeight w:val="322"/>
        </w:trPr>
        <w:tc>
          <w:tcPr>
            <w:tcW w:w="5495" w:type="dxa"/>
            <w:vAlign w:val="bottom"/>
            <w:textDirection w:val="lrTb"/>
            <w:noWrap w:val="false"/>
          </w:tcPr>
          <w:p>
            <w:pPr>
              <w:ind w:right="-7048"/>
              <w:spacing w:line="276" w:lineRule="auto"/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Отдел</w:t>
            </w:r>
            <w:r>
              <w:rPr>
                <w:sz w:val="28"/>
                <w:szCs w:val="28"/>
                <w:lang w:eastAsia="en-US"/>
              </w:rPr>
              <w:t xml:space="preserve"> тылового обеспечения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_____________</w:t>
            </w:r>
            <w:r>
              <w:rPr>
                <w:lang w:eastAsia="en-US"/>
              </w:rPr>
            </w:r>
          </w:p>
        </w:tc>
        <w:tc>
          <w:tcPr>
            <w:tcW w:w="2693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Cs/>
                <w:spacing w:val="-1"/>
                <w:sz w:val="28"/>
                <w:szCs w:val="28"/>
                <w:lang w:eastAsia="en-US"/>
              </w:rPr>
            </w:pPr>
            <w:r>
              <w:rPr>
                <w:bCs/>
                <w:spacing w:val="-1"/>
                <w:sz w:val="28"/>
                <w:szCs w:val="28"/>
                <w:lang w:eastAsia="en-US"/>
              </w:rPr>
              <w:t xml:space="preserve">А.</w:t>
            </w:r>
            <w:r>
              <w:rPr>
                <w:bCs/>
                <w:spacing w:val="-1"/>
                <w:sz w:val="28"/>
                <w:szCs w:val="28"/>
                <w:lang w:eastAsia="en-US"/>
              </w:rPr>
              <w:t xml:space="preserve">В. Копылова</w:t>
            </w:r>
            <w:r>
              <w:rPr>
                <w:bCs/>
                <w:spacing w:val="-1"/>
                <w:sz w:val="28"/>
                <w:szCs w:val="28"/>
                <w:lang w:eastAsia="en-US"/>
              </w:rPr>
            </w:r>
          </w:p>
        </w:tc>
      </w:tr>
    </w:tbl>
    <w:p>
      <w:r/>
      <w:r/>
    </w:p>
    <w:p>
      <w:r/>
      <w:r/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1843"/>
        <w:gridCol w:w="2693"/>
      </w:tblGrid>
      <w:tr>
        <w:tblPrEx/>
        <w:trPr>
          <w:trHeight w:val="322"/>
        </w:trPr>
        <w:tc>
          <w:tcPr>
            <w:tcW w:w="5495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СОГЛАСОВАНО:</w:t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both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both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Руководитель контрактной службы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693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А.</w:t>
            </w:r>
            <w:r>
              <w:rPr>
                <w:sz w:val="28"/>
                <w:szCs w:val="28"/>
                <w:lang w:eastAsia="en-US"/>
              </w:rPr>
              <w:t xml:space="preserve">В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 xml:space="preserve">Оборин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322"/>
        </w:trPr>
        <w:tc>
          <w:tcPr>
            <w:tcW w:w="5495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Правовой отдел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693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Т.В. Лузянина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839"/>
        </w:trPr>
        <w:tc>
          <w:tcPr>
            <w:tcW w:w="5495" w:type="dxa"/>
            <w:vAlign w:val="bottom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both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</w:t>
            </w:r>
            <w:r>
              <w:rPr>
                <w:sz w:val="28"/>
                <w:szCs w:val="28"/>
                <w:lang w:eastAsia="en-US"/>
              </w:rPr>
              <w:t xml:space="preserve">тдел бухгалтерского учета </w:t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both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 финансового мониторинга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843" w:type="dxa"/>
            <w:vAlign w:val="bottom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693" w:type="dxa"/>
            <w:vAlign w:val="bottom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И.В. Винс</w:t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Пермь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</w:r>
    </w:p>
    <w:tbl>
      <w:tblPr>
        <w:tblW w:w="5175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62"/>
        <w:gridCol w:w="8061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ind w:firstLine="20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Условия закупки: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ИКЗ: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26159022901775904010010020</w:t>
            </w:r>
            <w:r>
              <w:rPr>
                <w:spacing w:val="-2"/>
                <w:sz w:val="24"/>
                <w:szCs w:val="24"/>
              </w:rPr>
              <w:t xml:space="preserve">0000000244</w:t>
            </w:r>
            <w:r>
              <w:rPr>
                <w:spacing w:val="-2"/>
                <w:sz w:val="24"/>
                <w:szCs w:val="24"/>
              </w:rPr>
              <w:t xml:space="preserve">, КБК </w:t>
            </w:r>
            <w:r>
              <w:rPr>
                <w:spacing w:val="-2"/>
                <w:sz w:val="24"/>
                <w:szCs w:val="24"/>
              </w:rPr>
              <w:t xml:space="preserve">15301063941590049244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Предмет закупки</w:t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медицинских услуг по проведению военно-врачебной экспертизы гражданам, поступающим на службу по контракту в Пермскую таможню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 xml:space="preserve">НМЦК</w:t>
            </w:r>
            <w:r>
              <w:rPr>
                <w:rFonts w:cs="Courier New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jc w:val="both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32 300</w:t>
            </w:r>
            <w:r>
              <w:rPr>
                <w:sz w:val="24"/>
                <w:szCs w:val="24"/>
              </w:rPr>
              <w:t xml:space="preserve">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Размер аванса (при наличии)</w:t>
            </w:r>
            <w:r>
              <w:rPr>
                <w:rFonts w:cs="Courier Ne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ind w:firstLine="1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Способ закупки</w:t>
            </w:r>
            <w:r>
              <w:rPr>
                <w:rFonts w:cs="Courier Ne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ind w:firstLine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до 600 000 руб. (п.4 ч.1 ст.93 Закона 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44-ФЗ)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Вид оплаты </w:t>
            </w:r>
            <w:r>
              <w:rPr>
                <w:rFonts w:cs="Courier Ne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ind w:firstLine="129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по счету </w:t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Условия оплаты </w:t>
            </w:r>
            <w:r>
              <w:rPr>
                <w:rFonts w:cs="Courier Ne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ind w:firstLine="129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установленный срок </w:t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3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Порядок и срок оплаты товара (услуги, работы)</w:t>
            </w:r>
            <w:r>
              <w:rPr>
                <w:rFonts w:cs="Courier Ne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ind w:firstLine="354"/>
              <w:jc w:val="both"/>
              <w:tabs>
                <w:tab w:val="left" w:pos="-439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финансирования: Федеральный бюджет.</w:t>
            </w:r>
            <w:r>
              <w:rPr>
                <w:sz w:val="24"/>
                <w:szCs w:val="24"/>
              </w:rPr>
            </w:r>
          </w:p>
          <w:p>
            <w:pPr>
              <w:ind w:right="66" w:firstLine="3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оплачиваются Заказчиком в пределах лимитов бюджетных обязательств, исходя из объема фактич</w:t>
            </w:r>
            <w:r>
              <w:rPr>
                <w:sz w:val="24"/>
                <w:szCs w:val="24"/>
              </w:rPr>
              <w:t xml:space="preserve">ески оказанных услуг, по ценам</w:t>
            </w:r>
            <w:r>
              <w:rPr>
                <w:sz w:val="24"/>
                <w:szCs w:val="24"/>
              </w:rPr>
              <w:t xml:space="preserve">, указанным в Спецификации.</w:t>
            </w:r>
            <w:r>
              <w:rPr>
                <w:sz w:val="24"/>
                <w:szCs w:val="24"/>
              </w:rPr>
            </w:r>
          </w:p>
          <w:p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оказанных услуг осуществляется Заказчиком путем перечисления денежных средств на расчетный счет Исполнителя за фактически оказанные услуги, на основании счета и подписанного Сторонами акта об оказании услуг, а также сведений</w:t>
            </w:r>
            <w:r>
              <w:rPr>
                <w:sz w:val="24"/>
                <w:szCs w:val="24"/>
              </w:rPr>
              <w:t xml:space="preserve"> (реестр) об объеме оказ</w:t>
            </w:r>
            <w:r>
              <w:rPr>
                <w:sz w:val="24"/>
                <w:szCs w:val="24"/>
              </w:rPr>
              <w:t xml:space="preserve">анных услуг и их стоимости.</w:t>
            </w:r>
            <w:bookmarkStart w:id="0" w:name="_GoBack"/>
            <w:r/>
            <w:bookmarkEnd w:id="0"/>
            <w:r/>
            <w:r>
              <w:rPr>
                <w:sz w:val="24"/>
                <w:szCs w:val="24"/>
              </w:rPr>
            </w:r>
          </w:p>
          <w:p>
            <w:pPr>
              <w:ind w:firstLine="354"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Перечисление денежных средств осуществляется в течение 10 (десяти) рабочих дней со дня подписания Заказчиком акта об оказании услуг. </w:t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Продолжительность закупочной сессии, час </w:t>
            </w:r>
            <w:r>
              <w:rPr>
                <w:rFonts w:cs="Courier Ne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ind w:firstLine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Информация о случаях одностороннего расторжения сделки в соответствии с действующим законодательством Российской Федерации</w:t>
            </w:r>
            <w:r>
              <w:rPr>
                <w:rFonts w:cs="Courier Ne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Стороны вправе принять решение об одностороннем отказе от исполнения контракта в соответствии с гражданским законодательством.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При подаче предложения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исполнителю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необходимо предоставить дополнительную информацию</w:t>
            </w:r>
            <w:r>
              <w:rPr>
                <w:rFonts w:cs="Courier Ne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ind w:firstLine="2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соответствии с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т. 12 Федерального закона от 04.05.2011 № 99-ФЗ «О лицензировании отдельных видов деятельности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Участник закупки</w:t>
            </w:r>
            <w:r>
              <w:rPr>
                <w:sz w:val="24"/>
                <w:szCs w:val="24"/>
              </w:rPr>
              <w:t xml:space="preserve"> предоставляет документ, содержащий сведения, обеспечивающие возможность подтверждения наличия у Участника закупки</w:t>
            </w:r>
            <w:r>
              <w:rPr>
                <w:sz w:val="24"/>
                <w:szCs w:val="24"/>
              </w:rPr>
              <w:t xml:space="preserve"> специального разрешения на право осуществления данной деятельности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в том числе выполнение работ (услуг) по военно-врачебной экспертизе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color w:val="ff0000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 xml:space="preserve">Дополнительные условия</w:t>
            </w:r>
            <w:r>
              <w:rPr>
                <w:rFonts w:cs="Courier New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ind w:firstLine="209"/>
              <w:jc w:val="both"/>
              <w:tabs>
                <w:tab w:val="left" w:pos="709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Заказчиком к участнику закупки установлены единые требования в соответствии с ч.1 ст.31 Закона 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44-ФЗ. </w:t>
            </w:r>
            <w:r>
              <w:rPr>
                <w:sz w:val="24"/>
                <w:szCs w:val="24"/>
              </w:rPr>
            </w:r>
          </w:p>
          <w:p>
            <w:pPr>
              <w:ind w:firstLine="209"/>
              <w:jc w:val="both"/>
              <w:tabs>
                <w:tab w:val="left" w:pos="709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Контракта формируется с учетом всех расходов Исполнителя, связанных с исполнением Контракта, в том числе расходов на страхование, уплату налогов, сборов и других обязательных платежей, включаемых в цену услуг.</w:t>
            </w:r>
            <w:r>
              <w:rPr>
                <w:sz w:val="24"/>
                <w:szCs w:val="24"/>
              </w:rPr>
            </w:r>
          </w:p>
          <w:p>
            <w:pPr>
              <w:ind w:firstLine="209"/>
              <w:jc w:val="both"/>
              <w:tabs>
                <w:tab w:val="left" w:pos="709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контракта является твердой и определяется на весь срок его исполнения, за исключением случаев, предусмотренных законодательством Российской Федерации.</w:t>
            </w:r>
            <w:r>
              <w:rPr>
                <w:sz w:val="24"/>
                <w:szCs w:val="24"/>
              </w:rPr>
            </w:r>
          </w:p>
          <w:p>
            <w:pPr>
              <w:ind w:firstLine="209"/>
              <w:jc w:val="both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случае, если Контракт заключается с юридическим лицом или физическим лицом, в том числе зарегистрированным в качестве индивидуального предпринимателя, подлежащая уплате Заказчиком сумма уменьшается на размер налогов, сборов и иных обязательных платежей в </w:t>
            </w:r>
            <w:r>
              <w:rPr>
                <w:sz w:val="24"/>
                <w:szCs w:val="24"/>
              </w:rPr>
              <w:t xml:space="preserve">бюджеты бюджетной системы Р</w:t>
            </w:r>
            <w:r>
              <w:rPr>
                <w:sz w:val="24"/>
                <w:szCs w:val="24"/>
              </w:rPr>
      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      </w:r>
            <w:r>
              <w:rPr>
                <w:sz w:val="24"/>
                <w:szCs w:val="24"/>
              </w:rPr>
            </w:r>
          </w:p>
          <w:p>
            <w:pPr>
              <w:ind w:firstLine="209"/>
              <w:jc w:val="both"/>
              <w:widowControl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Указом Президента РФ от 03.05.2022 № 252 "О применении ответных специ</w:t>
            </w:r>
            <w:r>
              <w:rPr>
                <w:sz w:val="24"/>
                <w:szCs w:val="24"/>
              </w:rPr>
              <w:t xml:space="preserve">альных экономических мер в связи с недружественными действиями некоторых иностранных государств и международных организаций", постановлением Правительства РФ от 11.05.2022 № 851 "О мерах по реализации Указа Президента Российской Федерации от 3 мая 2022 г. </w:t>
            </w: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t xml:space="preserve"> 252" (вместе с "Перечнем юридических лиц, в отношении которых применяются специальные экономические меры") участниками закупки</w:t>
            </w:r>
            <w:r>
              <w:rPr>
                <w:sz w:val="24"/>
                <w:szCs w:val="24"/>
              </w:rPr>
              <w:t xml:space="preserve"> не могут являться юридические лица, физические лица и находящиеся под их контролем организации, в отношении которых применяются специальные экономические меры; документы, подтверждающие соответствие участника закупки таким требованиям не требуются. За нар</w:t>
            </w:r>
            <w:r>
              <w:rPr>
                <w:sz w:val="24"/>
                <w:szCs w:val="24"/>
              </w:rPr>
              <w:t xml:space="preserve">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административная и уголовная ответственность.</w:t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 xml:space="preserve">Участником закупочной сессии не может быть лицо, информация о котором включена в Реестр недобросовестных поставщиков 44-ФЗ</w:t>
            </w:r>
            <w:r>
              <w:rPr>
                <w:rFonts w:cs="Courier Ne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Условия оказания услуг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4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Максимальный срок оказания услуг</w:t>
            </w:r>
            <w:r>
              <w:rPr>
                <w:rFonts w:cs="Courier Ne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.11</w:t>
            </w:r>
            <w:r>
              <w:rPr>
                <w:sz w:val="24"/>
                <w:szCs w:val="24"/>
              </w:rPr>
              <w:t xml:space="preserve">.202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Доставка товаров, выполнение работ, оказание услуг </w:t>
            </w:r>
            <w:r>
              <w:rPr>
                <w:rFonts w:cs="Courier Ne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месту нахождения Исполнителя,</w:t>
            </w:r>
            <w:r>
              <w:rPr>
                <w:sz w:val="24"/>
                <w:szCs w:val="24"/>
              </w:rPr>
              <w:t xml:space="preserve"> на территории</w:t>
            </w:r>
            <w:r>
              <w:rPr>
                <w:sz w:val="24"/>
                <w:szCs w:val="24"/>
              </w:rPr>
              <w:t xml:space="preserve"> г. Пермь в организациях государственной или муници</w:t>
            </w:r>
            <w:r>
              <w:rPr>
                <w:sz w:val="24"/>
                <w:szCs w:val="24"/>
              </w:rPr>
              <w:t xml:space="preserve">пальной системы здравоохранения.</w:t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Адрес доставки</w:t>
            </w:r>
            <w:r>
              <w:rPr>
                <w:rFonts w:cs="Courier Ne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Дополнительная информация о доставке</w:t>
            </w:r>
            <w:r>
              <w:rPr>
                <w:rFonts w:cs="Courier Ne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jc w:val="both"/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График оказания услуг</w:t>
            </w:r>
            <w:r>
              <w:rPr>
                <w:rFonts w:cs="Courier Ne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ind w:firstLine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заявке Заказчика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Порядок и срок приемки товаров (работ, услуг) Заказчиком</w:t>
            </w:r>
            <w:r>
              <w:rPr>
                <w:rFonts w:cs="Courier New"/>
                <w:color w:val="000000"/>
                <w:sz w:val="24"/>
                <w:szCs w:val="24"/>
              </w:rPr>
            </w:r>
          </w:p>
          <w:p>
            <w:pPr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</w:r>
            <w:r>
              <w:rPr>
                <w:rFonts w:cs="Courier Ne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ind w:firstLine="210"/>
              <w:jc w:val="both"/>
              <w:widowControl/>
              <w:rPr>
                <w:color w:val="000000"/>
                <w:sz w:val="24"/>
                <w:szCs w:val="24"/>
                <w:lang w:eastAsia="en-US"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  <w:lang w:eastAsia="en-US" w:bidi="en-US"/>
              </w:rPr>
              <w:t xml:space="preserve">Исполнитель:</w:t>
            </w:r>
            <w:r>
              <w:rPr>
                <w:color w:val="000000"/>
                <w:sz w:val="24"/>
                <w:szCs w:val="24"/>
                <w:lang w:eastAsia="en-US" w:bidi="en-US"/>
              </w:rPr>
            </w:r>
          </w:p>
          <w:p>
            <w:pPr>
              <w:ind w:firstLine="210"/>
              <w:jc w:val="both"/>
              <w:widowControl/>
              <w:rPr>
                <w:color w:val="000000"/>
                <w:sz w:val="24"/>
                <w:szCs w:val="24"/>
                <w:lang w:eastAsia="en-US"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  <w:lang w:eastAsia="en-US" w:bidi="en-US"/>
              </w:rPr>
              <w:t xml:space="preserve">Сдача результатов услуг Исполнителем </w:t>
            </w:r>
            <w:r>
              <w:rPr>
                <w:color w:val="000000"/>
                <w:sz w:val="24"/>
                <w:szCs w:val="24"/>
                <w:lang w:eastAsia="en-US" w:bidi="en-US"/>
              </w:rPr>
              <w:t xml:space="preserve">и приемка оказанных услуг Заказчиком производится в соответствии с гражданским законодательством и оформляется актом об оказании услуг, подписываемым Заказчиком и Исполнителем. </w:t>
            </w:r>
            <w:r>
              <w:rPr>
                <w:color w:val="000000"/>
                <w:sz w:val="24"/>
                <w:szCs w:val="24"/>
                <w:lang w:eastAsia="en-US" w:bidi="en-US"/>
              </w:rPr>
            </w:r>
          </w:p>
          <w:p>
            <w:pPr>
              <w:ind w:firstLine="210"/>
              <w:jc w:val="both"/>
              <w:widowControl/>
              <w:rPr>
                <w:color w:val="000000"/>
                <w:sz w:val="24"/>
                <w:szCs w:val="24"/>
                <w:lang w:eastAsia="en-US"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  <w:lang w:eastAsia="en-US" w:bidi="en-US"/>
              </w:rPr>
              <w:t xml:space="preserve">Акт об оказании услуг оформляется Исполнителем и направляется Заказчику в двух подлинных экземплярах, не позднее 15 числа месяца, следующего за отчетным</w:t>
            </w:r>
            <w:r>
              <w:rPr>
                <w:color w:val="000000"/>
                <w:sz w:val="24"/>
                <w:szCs w:val="24"/>
                <w:lang w:eastAsia="en-US" w:bidi="en-US"/>
              </w:rPr>
              <w:t xml:space="preserve">.</w:t>
            </w:r>
            <w:r>
              <w:rPr>
                <w:color w:val="000000"/>
                <w:sz w:val="24"/>
                <w:szCs w:val="24"/>
                <w:lang w:eastAsia="en-US" w:bidi="en-US"/>
              </w:rPr>
              <w:t xml:space="preserve"> Одновременно с актом об оказании услуг Исполнитель направляет Заказчику счет, реестр.</w:t>
            </w:r>
            <w:r>
              <w:rPr>
                <w:color w:val="000000"/>
                <w:sz w:val="24"/>
                <w:szCs w:val="24"/>
                <w:lang w:eastAsia="en-US" w:bidi="en-US"/>
              </w:rPr>
            </w:r>
          </w:p>
          <w:p>
            <w:pPr>
              <w:ind w:firstLine="210"/>
              <w:jc w:val="both"/>
              <w:widowControl/>
              <w:rPr>
                <w:color w:val="000000"/>
                <w:sz w:val="24"/>
                <w:szCs w:val="24"/>
                <w:lang w:eastAsia="en-US"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  <w:lang w:eastAsia="en-US" w:bidi="en-US"/>
              </w:rPr>
              <w:t xml:space="preserve">Исполнитель обязан в сроки, указанные в акте устранения недостатков, за свой счет устранить выявленные недостатки.</w:t>
            </w:r>
            <w:r>
              <w:rPr>
                <w:color w:val="000000"/>
                <w:sz w:val="24"/>
                <w:szCs w:val="24"/>
                <w:lang w:eastAsia="en-US" w:bidi="en-US"/>
              </w:rPr>
            </w:r>
          </w:p>
          <w:p>
            <w:pPr>
              <w:ind w:firstLine="210"/>
              <w:jc w:val="both"/>
              <w:widowControl/>
              <w:rPr>
                <w:color w:val="000000"/>
                <w:sz w:val="24"/>
                <w:szCs w:val="24"/>
                <w:lang w:eastAsia="en-US"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  <w:lang w:eastAsia="en-US" w:bidi="en-US"/>
              </w:rPr>
              <w:t xml:space="preserve">Заказчик:</w:t>
            </w:r>
            <w:r>
              <w:rPr>
                <w:color w:val="000000"/>
                <w:sz w:val="24"/>
                <w:szCs w:val="24"/>
                <w:lang w:eastAsia="en-US" w:bidi="en-US"/>
              </w:rPr>
            </w:r>
          </w:p>
          <w:p>
            <w:pPr>
              <w:ind w:firstLine="210"/>
              <w:jc w:val="both"/>
              <w:widowControl/>
              <w:rPr>
                <w:color w:val="000000"/>
                <w:sz w:val="24"/>
                <w:szCs w:val="24"/>
                <w:lang w:eastAsia="en-US"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  <w:lang w:eastAsia="en-US" w:bidi="en-US"/>
              </w:rPr>
              <w:t xml:space="preserve">Заказчик в течение 5 (пяти) рабочих дней со дня получения акта об оказании услуг рассматривает его, осуществляет проверку предоставленных </w:t>
            </w:r>
            <w:r>
              <w:rPr>
                <w:color w:val="000000"/>
                <w:sz w:val="24"/>
                <w:szCs w:val="24"/>
                <w:lang w:eastAsia="en-US" w:bidi="en-US"/>
              </w:rPr>
              <w:t xml:space="preserve">Исполнителем счетов и реестров об оказанных гражданам медицинских услугах, при отсутствии мотивированных возражений Заказчик подписывает и направляет Исполнителю один экземпляр акта об оказании услуг.</w:t>
            </w:r>
            <w:r>
              <w:rPr>
                <w:color w:val="000000"/>
                <w:sz w:val="24"/>
                <w:szCs w:val="24"/>
                <w:lang w:eastAsia="en-US" w:bidi="en-US"/>
              </w:rPr>
            </w:r>
          </w:p>
          <w:p>
            <w:pPr>
              <w:ind w:firstLine="210"/>
              <w:jc w:val="both"/>
              <w:widowControl/>
              <w:rPr>
                <w:color w:val="000000"/>
                <w:sz w:val="24"/>
                <w:szCs w:val="24"/>
                <w:lang w:eastAsia="en-US"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  <w:lang w:eastAsia="en-US" w:bidi="en-US"/>
              </w:rPr>
              <w:t xml:space="preserve">В случае выявления несоответствия результа</w:t>
            </w:r>
            <w:r>
              <w:rPr>
                <w:color w:val="000000"/>
                <w:sz w:val="24"/>
                <w:szCs w:val="24"/>
                <w:lang w:eastAsia="en-US" w:bidi="en-US"/>
              </w:rPr>
              <w:t xml:space="preserve">тов оказанных услуг условиям</w:t>
            </w:r>
            <w:r>
              <w:rPr>
                <w:color w:val="000000"/>
                <w:sz w:val="24"/>
                <w:szCs w:val="24"/>
                <w:lang w:eastAsia="en-US" w:bidi="en-US"/>
              </w:rPr>
              <w:t xml:space="preserve"> Контракта, Заказчик незамедлительно уведомляет об этом Исполнителя, составляет акт устранения недостатков с указанием сроков их устранения и направляет его Исполнителю. </w:t>
            </w:r>
            <w:r>
              <w:rPr>
                <w:color w:val="000000"/>
                <w:sz w:val="24"/>
                <w:szCs w:val="24"/>
                <w:lang w:eastAsia="en-US" w:bidi="en-US"/>
              </w:rPr>
            </w:r>
          </w:p>
          <w:p>
            <w:pPr>
              <w:ind w:firstLine="210"/>
              <w:jc w:val="both"/>
              <w:widowControl/>
              <w:rPr>
                <w:color w:val="000000"/>
                <w:sz w:val="24"/>
                <w:szCs w:val="24"/>
                <w:lang w:eastAsia="en-US"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  <w:lang w:eastAsia="en-US" w:bidi="en-US"/>
              </w:rPr>
              <w:t xml:space="preserve">Датой оказания услуг считается дата подписания Заказчиком и Исполнителем акта об оказании услуг.</w:t>
            </w:r>
            <w:r>
              <w:rPr>
                <w:color w:val="000000"/>
                <w:sz w:val="24"/>
                <w:szCs w:val="24"/>
                <w:lang w:eastAsia="en-US" w:bidi="en-US"/>
              </w:rPr>
            </w:r>
          </w:p>
          <w:p>
            <w:pPr>
              <w:ind w:firstLine="210"/>
              <w:jc w:val="both"/>
              <w:widowControl/>
              <w:rPr>
                <w:color w:val="000000"/>
                <w:sz w:val="24"/>
                <w:szCs w:val="24"/>
                <w:lang w:eastAsia="en-US"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4"/>
                <w:szCs w:val="24"/>
                <w:lang w:eastAsia="en-US" w:bidi="en-US"/>
              </w:rPr>
              <w:t xml:space="preserve">При приемке оказанных услуг Заказчик проводит экс</w:t>
            </w:r>
            <w:r>
              <w:rPr>
                <w:color w:val="000000"/>
                <w:sz w:val="24"/>
                <w:szCs w:val="24"/>
                <w:lang w:eastAsia="en-US" w:bidi="en-US"/>
              </w:rPr>
              <w:t xml:space="preserve">пертизу для проверки предоставленных Исполнителем результатов, предусмотренных Контрактом, в части их соответствия условиям Контракта своими силами или к ее проведению могут привлекаться эксперты, экспертные организации на основании заключенных Контрактов.</w:t>
            </w:r>
            <w:r>
              <w:rPr>
                <w:color w:val="000000"/>
                <w:sz w:val="24"/>
                <w:szCs w:val="24"/>
                <w:lang w:eastAsia="en-US" w:bidi="en-US"/>
              </w:rPr>
            </w:r>
          </w:p>
          <w:p>
            <w:pPr>
              <w:ind w:firstLine="210"/>
              <w:jc w:val="both"/>
              <w:widowControl/>
              <w:rPr>
                <w:bCs/>
                <w:color w:val="000000"/>
                <w:sz w:val="24"/>
                <w:szCs w:val="24"/>
                <w:lang w:eastAsia="en-US" w:bidi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Cs/>
                <w:color w:val="000000"/>
                <w:sz w:val="24"/>
                <w:szCs w:val="24"/>
                <w:lang w:eastAsia="en-US" w:bidi="en-US"/>
              </w:rPr>
              <w:t xml:space="preserve">В целях оформления приемки оказанных услуг, п</w:t>
            </w:r>
            <w:r>
              <w:rPr>
                <w:bCs/>
                <w:color w:val="000000"/>
                <w:sz w:val="24"/>
                <w:szCs w:val="24"/>
                <w:lang w:eastAsia="en-US" w:bidi="en-US"/>
              </w:rPr>
              <w:t xml:space="preserve">редусмотренных Контрактом, информация о котором не размещается в реестре контрактов на единой информационной системе в сфере закупок, а также указанным Контрактом предусмотрено осуществление приемки оказанных услуг, включая актирование расхождений, выявлен</w:t>
            </w:r>
            <w:r>
              <w:rPr>
                <w:bCs/>
                <w:color w:val="000000"/>
                <w:sz w:val="24"/>
                <w:szCs w:val="24"/>
                <w:lang w:eastAsia="en-US" w:bidi="en-US"/>
              </w:rPr>
              <w:t xml:space="preserve">ных в результате приемки, на основании данных документов, подтверждающих выполнение (сдачу) услуг Заказчиком формируется акт приемки товаров, работ, услуг по форме акта ОКУД 0510452 и подписывается с двух Сторон (приказ Минфина России от 15.04.2021 № 61н).</w:t>
            </w:r>
            <w:r>
              <w:rPr>
                <w:bCs/>
                <w:color w:val="000000"/>
                <w:sz w:val="24"/>
                <w:szCs w:val="24"/>
                <w:lang w:eastAsia="en-US" w:bidi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Ответственность сторон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pStyle w:val="7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Поставщика (исполнителя, подрядчика)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7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ind w:firstLine="210"/>
              <w:jc w:val="both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 случае просрочки исполнения поставщиком (подрядчиком, исполнителем) обязательств (в том числе гарантийного обязательства), предусмотренных контракт</w:t>
            </w:r>
            <w:r>
              <w:rPr>
                <w:sz w:val="24"/>
                <w:szCs w:val="24"/>
              </w:rPr>
              <w:t xml:space="preserve">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 </w:t>
            </w:r>
            <w:r>
              <w:rPr>
                <w:sz w:val="24"/>
                <w:szCs w:val="24"/>
              </w:rPr>
            </w:r>
          </w:p>
          <w:p>
            <w:pPr>
              <w:ind w:firstLine="210"/>
              <w:jc w:val="both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Пеня начисляется за каждый день просрочки исполнения поставщиком (подрядчиком, исполнителем) обязательства, предусмотренного контрактом, нач</w:t>
            </w:r>
            <w:r>
              <w:rPr>
                <w:sz w:val="24"/>
                <w:szCs w:val="24"/>
              </w:rPr>
              <w:t xml:space="preserve">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</w:t>
            </w:r>
            <w:r>
              <w:rPr>
                <w:sz w:val="24"/>
                <w:szCs w:val="24"/>
              </w:rPr>
              <w:t xml:space="preserve"> пропорциональную объему обязательств, предусмотренных государственным контрактом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      </w:r>
            <w:r>
              <w:rPr>
                <w:sz w:val="24"/>
                <w:szCs w:val="24"/>
              </w:rPr>
            </w:r>
          </w:p>
          <w:p>
            <w:pPr>
              <w:ind w:firstLine="210"/>
              <w:jc w:val="both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За каждый факт неисполнения или ненадлежащего исполнения поставщиком (подрядчиком, исполнителем) обязател</w:t>
            </w:r>
            <w:r>
              <w:rPr>
                <w:sz w:val="24"/>
                <w:szCs w:val="24"/>
              </w:rPr>
              <w:t xml:space="preserve">ьств, предусмотренных контрактом,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контрактом, поставщик (подрядчик, исполнитель) выплачивает Заказчику штраф.</w:t>
            </w:r>
            <w:r>
              <w:rPr>
                <w:sz w:val="24"/>
                <w:szCs w:val="24"/>
              </w:rPr>
            </w:r>
          </w:p>
          <w:p>
            <w:pPr>
              <w:ind w:firstLine="210"/>
              <w:jc w:val="both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</w:t>
            </w:r>
            <w:r>
              <w:rPr>
                <w:sz w:val="24"/>
                <w:szCs w:val="24"/>
              </w:rPr>
              <w:t xml:space="preserve">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№ 1042, и составляет 10 % цены контракта.</w:t>
            </w:r>
            <w:r>
              <w:rPr>
                <w:sz w:val="24"/>
                <w:szCs w:val="24"/>
              </w:rPr>
            </w:r>
          </w:p>
          <w:p>
            <w:pPr>
              <w:ind w:firstLine="210"/>
              <w:jc w:val="both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За каждый факт неисполнения или ненадлежащего исп</w:t>
            </w:r>
            <w:r>
              <w:rPr>
                <w:sz w:val="24"/>
                <w:szCs w:val="24"/>
              </w:rPr>
              <w:t xml:space="preserve">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1 000 (одной тысячи) рублей 00 копеек.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pStyle w:val="7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Заказчика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7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ind w:firstLine="1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 случае</w:t>
            </w:r>
            <w:r>
              <w:rPr>
                <w:sz w:val="24"/>
                <w:szCs w:val="24"/>
              </w:rPr>
              <w:t xml:space="preserve">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      </w:r>
            <w:r>
              <w:rPr>
                <w:sz w:val="24"/>
                <w:szCs w:val="24"/>
              </w:rPr>
            </w:r>
          </w:p>
          <w:p>
            <w:pPr>
              <w:ind w:firstLine="1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Пеня начисляется за каждый день просрочки исполнения Заказчиком обязательств, предусмотренных контрак</w:t>
            </w:r>
            <w:r>
              <w:rPr>
                <w:sz w:val="24"/>
                <w:szCs w:val="24"/>
              </w:rPr>
              <w:t xml:space="preserve">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      </w:r>
            <w:r>
              <w:rPr>
                <w:sz w:val="24"/>
                <w:szCs w:val="24"/>
              </w:rPr>
            </w:r>
          </w:p>
          <w:p>
            <w:pPr>
              <w:ind w:firstLine="1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1 000 (одной тысячи) рублей 00 копеек.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pStyle w:val="7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Дополнительная информация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Контракт вступает в силу с даты его подписания Сторонами и действует по 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1.12</w:t>
            </w:r>
            <w:r>
              <w:rPr>
                <w:sz w:val="24"/>
                <w:szCs w:val="24"/>
              </w:rPr>
              <w:t xml:space="preserve">.202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, включительно, а в части финансовых обязательств Сторон – до полного их исполнения. 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Конфиденциальность</w:t>
            </w:r>
            <w:r>
              <w:rPr>
                <w:rFonts w:cs="Courier Ne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ind w:firstLine="272"/>
              <w:jc w:val="both"/>
              <w:tabs>
                <w:tab w:val="left" w:pos="5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Стороны обязуются соблюдать режим конфиденциальности относительно информации об обращениях по поводу заболеваний и заболеваниях граждан, полученной в ходе реализации Контракта. </w:t>
            </w:r>
            <w:r>
              <w:rPr>
                <w:sz w:val="24"/>
                <w:szCs w:val="24"/>
              </w:rPr>
            </w:r>
          </w:p>
          <w:p>
            <w:pPr>
              <w:ind w:firstLine="272"/>
              <w:jc w:val="both"/>
              <w:tabs>
                <w:tab w:val="left" w:pos="5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 и Исполнитель обязуются не передавать указанную информацию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без письменного согласия граждан каким-либо третьим лицам.</w:t>
            </w:r>
            <w:r>
              <w:rPr>
                <w:sz w:val="24"/>
                <w:szCs w:val="24"/>
              </w:rPr>
            </w:r>
          </w:p>
          <w:p>
            <w:pPr>
              <w:ind w:firstLine="272"/>
              <w:jc w:val="both"/>
              <w:tabs>
                <w:tab w:val="left" w:pos="540" w:leader="none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Исполнитель обязуется обеспечить конфиденциальность и безопасность передачи информации, относящейся к персональным данным в соответствии с Федеральным законом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27.07.2006 № 152–ФЗ «О персональных данных».</w:t>
            </w:r>
            <w:r>
              <w:rPr>
                <w:sz w:val="24"/>
                <w:szCs w:val="24"/>
                <w:lang w:eastAsia="ar-SA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contextualSpacing/>
              <w:jc w:val="center"/>
              <w:widowControl/>
              <w:tabs>
                <w:tab w:val="left" w:pos="412" w:leader="none"/>
              </w:tabs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Антикоррупционная оговорка</w:t>
            </w:r>
            <w:r>
              <w:rPr>
                <w:sz w:val="24"/>
                <w:szCs w:val="24"/>
                <w:lang w:eastAsia="ar-SA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b/>
                <w:i/>
                <w:color w:val="000000"/>
                <w:sz w:val="24"/>
                <w:szCs w:val="24"/>
              </w:rPr>
            </w:pPr>
            <w:r>
              <w:rPr>
                <w:rFonts w:cs="Courier New"/>
                <w:b/>
                <w:i/>
                <w:color w:val="000000"/>
                <w:sz w:val="24"/>
                <w:szCs w:val="24"/>
              </w:rPr>
            </w:r>
            <w:r>
              <w:rPr>
                <w:rFonts w:cs="Courier New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При исполнении своих обязательств по Контракту Стороны, их аффилированные лица, работники или посредники не выплачивают, не предлагают выпла</w:t>
            </w:r>
            <w:r>
              <w:rPr>
                <w:sz w:val="24"/>
                <w:szCs w:val="24"/>
              </w:rPr>
              <w:t xml:space="preserve">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При исполнении своих обязательств по Контракту Стороны, их аффилированные лица, работники или посредники не осущ</w:t>
            </w:r>
            <w:r>
              <w:rPr>
                <w:sz w:val="24"/>
                <w:szCs w:val="24"/>
              </w:rPr>
              <w:t xml:space="preserve">ествляют действия, квалифицируемые применимым для целей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В случае возникновения у Стороны </w:t>
            </w:r>
            <w:r>
              <w:rPr>
                <w:sz w:val="24"/>
                <w:szCs w:val="24"/>
              </w:rPr>
              <w:t xml:space="preserve">подозрений, что произошло или может произойти нарушение каких-либо положений п.п. 1 и 2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</w:t>
            </w:r>
            <w:r>
              <w:rPr>
                <w:sz w:val="24"/>
                <w:szCs w:val="24"/>
              </w:rPr>
              <w:t xml:space="preserve">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п.п. 1 и 2 настоящего раздела другой Стороной, ее аффилированными лицами, работниками или посредниками.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Сто</w:t>
            </w:r>
            <w:r>
              <w:rPr>
                <w:sz w:val="24"/>
                <w:szCs w:val="24"/>
              </w:rPr>
              <w:t xml:space="preserve">рона, получившая уведомление о нарушении каких-либо положений п.п. 1 и 2 настоящего раздела, обязана рассмотреть уведомление и сообщить другой Стороне об итогах его рассмотрения в течение 30 (тридцать) рабочих дней с даты получения письменного уведомления.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Стороны гарантируют осуществление надлежащего разбирательства по фактам нарушения положений п.п. 1 и 2 настоящего раздела с соблюдением принципов конфиденциально</w:t>
            </w:r>
            <w:r>
              <w:rPr>
                <w:sz w:val="24"/>
                <w:szCs w:val="24"/>
              </w:rPr>
              <w:t xml:space="preserve">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6. В случае подтверждения факта нарушения одной Стороной положений п.п. 1 и 2 настоящего раздела и/или неполучения другой Стороной информации об итогах рассмотрения уведомления о нарушении в соответствии с п. 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 настоящего раздела, другая Сторона имеет право расторгнуть Контракт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Контракта.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Спецификация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Закупка с неопределенным объемом</w:t>
            </w:r>
            <w:r>
              <w:rPr>
                <w:rFonts w:cs="Courier Ne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Обязательное указание страны происхождения ТРУ</w:t>
            </w:r>
            <w:r>
              <w:rPr>
                <w:rFonts w:cs="Courier Ne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pct"/>
            <w:textDirection w:val="lrTb"/>
            <w:noWrap w:val="false"/>
          </w:tcPr>
          <w:p>
            <w:pPr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Перечень документов, являющихся неотъемлемой частью закупки</w:t>
            </w:r>
            <w:r>
              <w:rPr>
                <w:rFonts w:cs="Courier New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7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1 – Описание объекта закупки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2 – Определение </w:t>
            </w:r>
            <w:r>
              <w:rPr>
                <w:sz w:val="24"/>
                <w:szCs w:val="24"/>
              </w:rPr>
              <w:t xml:space="preserve">цены </w:t>
            </w:r>
            <w:r>
              <w:rPr>
                <w:sz w:val="24"/>
                <w:szCs w:val="24"/>
              </w:rPr>
              <w:t xml:space="preserve">контракта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tabs>
          <w:tab w:val="left" w:pos="567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</w:t>
      </w:r>
      <w:r>
        <w:rPr>
          <w:b/>
          <w:sz w:val="24"/>
          <w:szCs w:val="24"/>
        </w:rPr>
      </w:r>
    </w:p>
    <w:p>
      <w:pPr>
        <w:tabs>
          <w:tab w:val="left" w:pos="5670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Код ОКПД2 - 86.10.15.000, КТРУ – отсутствует</w:t>
      </w:r>
      <w:r>
        <w:rPr>
          <w:sz w:val="24"/>
          <w:szCs w:val="24"/>
          <w:highlight w:val="none"/>
        </w:rPr>
      </w:r>
    </w:p>
    <w:p>
      <w:pPr>
        <w:tabs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47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0"/>
        <w:gridCol w:w="3561"/>
        <w:gridCol w:w="1397"/>
        <w:gridCol w:w="696"/>
        <w:gridCol w:w="1665"/>
        <w:gridCol w:w="1474"/>
      </w:tblGrid>
      <w:tr>
        <w:tblPrEx/>
        <w:trPr>
          <w:jc w:val="center"/>
        </w:trPr>
        <w:tc>
          <w:tcPr>
            <w:tcW w:w="474" w:type="pct"/>
            <w:textDirection w:val="lrTb"/>
            <w:noWrap w:val="false"/>
          </w:tcPr>
          <w:p>
            <w:pPr>
              <w:jc w:val="center"/>
              <w:tabs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</w:p>
        </w:tc>
        <w:tc>
          <w:tcPr>
            <w:tcW w:w="1833" w:type="pct"/>
            <w:textDirection w:val="lrTb"/>
            <w:noWrap w:val="false"/>
          </w:tcPr>
          <w:p>
            <w:pPr>
              <w:jc w:val="center"/>
              <w:tabs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</w:t>
            </w:r>
            <w:r>
              <w:rPr>
                <w:sz w:val="24"/>
                <w:szCs w:val="24"/>
              </w:rPr>
            </w:r>
          </w:p>
        </w:tc>
        <w:tc>
          <w:tcPr>
            <w:tcW w:w="719" w:type="pct"/>
            <w:textDirection w:val="lrTb"/>
            <w:noWrap w:val="false"/>
          </w:tcPr>
          <w:p>
            <w:pPr>
              <w:jc w:val="center"/>
              <w:tabs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tabs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измерения</w:t>
            </w:r>
            <w:r>
              <w:rPr>
                <w:sz w:val="24"/>
                <w:szCs w:val="24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jc w:val="center"/>
              <w:tabs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</w:t>
            </w:r>
            <w:r>
              <w:rPr>
                <w:sz w:val="24"/>
                <w:szCs w:val="24"/>
              </w:rPr>
            </w:r>
          </w:p>
        </w:tc>
        <w:tc>
          <w:tcPr>
            <w:tcW w:w="857" w:type="pct"/>
            <w:textDirection w:val="lrTb"/>
            <w:noWrap w:val="false"/>
          </w:tcPr>
          <w:p>
            <w:pPr>
              <w:jc w:val="center"/>
              <w:tabs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единицы, руб.</w:t>
            </w:r>
            <w:r>
              <w:rPr>
                <w:sz w:val="24"/>
                <w:szCs w:val="24"/>
              </w:rPr>
            </w:r>
          </w:p>
        </w:tc>
        <w:tc>
          <w:tcPr>
            <w:tcW w:w="759" w:type="pct"/>
            <w:textDirection w:val="lrTb"/>
            <w:noWrap w:val="false"/>
          </w:tcPr>
          <w:p>
            <w:pPr>
              <w:jc w:val="center"/>
              <w:tabs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цена, руб.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74" w:type="pct"/>
            <w:textDirection w:val="lrTb"/>
            <w:noWrap w:val="false"/>
          </w:tcPr>
          <w:p>
            <w:pPr>
              <w:jc w:val="center"/>
              <w:tabs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833" w:type="pc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Терапевт   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19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</w:p>
        </w:tc>
        <w:tc>
          <w:tcPr>
            <w:tcW w:w="85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250,00</w:t>
            </w:r>
            <w:r>
              <w:rPr>
                <w:sz w:val="24"/>
                <w:szCs w:val="24"/>
              </w:rPr>
            </w:r>
          </w:p>
        </w:tc>
        <w:tc>
          <w:tcPr>
            <w:tcW w:w="75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275</w:t>
            </w:r>
            <w:r>
              <w:rPr>
                <w:sz w:val="24"/>
                <w:szCs w:val="24"/>
              </w:rPr>
              <w:t xml:space="preserve">0,00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74" w:type="pct"/>
            <w:textDirection w:val="lrTb"/>
            <w:noWrap w:val="false"/>
          </w:tcPr>
          <w:p>
            <w:pPr>
              <w:jc w:val="center"/>
              <w:tabs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833" w:type="pc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Хирург  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19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</w:p>
        </w:tc>
        <w:tc>
          <w:tcPr>
            <w:tcW w:w="85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200,00</w:t>
            </w:r>
            <w:r>
              <w:rPr>
                <w:sz w:val="24"/>
                <w:szCs w:val="24"/>
              </w:rPr>
            </w:r>
          </w:p>
        </w:tc>
        <w:tc>
          <w:tcPr>
            <w:tcW w:w="75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  <w:t xml:space="preserve">00,00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74" w:type="pct"/>
            <w:textDirection w:val="lrTb"/>
            <w:noWrap w:val="false"/>
          </w:tcPr>
          <w:p>
            <w:pPr>
              <w:jc w:val="center"/>
              <w:tabs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833" w:type="pc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Невролог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19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</w:t>
            </w:r>
            <w:r/>
          </w:p>
        </w:tc>
        <w:tc>
          <w:tcPr>
            <w:tcW w:w="85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200,00</w:t>
            </w:r>
            <w:r>
              <w:rPr>
                <w:sz w:val="24"/>
                <w:szCs w:val="24"/>
              </w:rPr>
            </w:r>
          </w:p>
        </w:tc>
        <w:tc>
          <w:tcPr>
            <w:tcW w:w="75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  <w:t xml:space="preserve">00,00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74" w:type="pct"/>
            <w:textDirection w:val="lrTb"/>
            <w:noWrap w:val="false"/>
          </w:tcPr>
          <w:p>
            <w:pPr>
              <w:jc w:val="center"/>
              <w:tabs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833" w:type="pct"/>
            <w:textDirection w:val="lrTb"/>
            <w:noWrap w:val="false"/>
          </w:tcPr>
          <w:p>
            <w:pPr>
              <w:jc w:val="both"/>
              <w:spacing w:before="40" w:line="280" w:lineRule="exact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Гинеколог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                                              </w:t>
            </w:r>
            <w:r>
              <w:rPr>
                <w:color w:val="000000"/>
                <w:spacing w:val="-2"/>
                <w:sz w:val="24"/>
                <w:szCs w:val="24"/>
              </w:rPr>
            </w:r>
          </w:p>
        </w:tc>
        <w:tc>
          <w:tcPr>
            <w:tcW w:w="719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W w:w="85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  <w:t xml:space="preserve">0,00</w:t>
            </w:r>
            <w:r>
              <w:rPr>
                <w:sz w:val="24"/>
                <w:szCs w:val="24"/>
              </w:rPr>
            </w:r>
          </w:p>
        </w:tc>
        <w:tc>
          <w:tcPr>
            <w:tcW w:w="75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  <w:t xml:space="preserve">00,00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74" w:type="pct"/>
            <w:textDirection w:val="lrTb"/>
            <w:noWrap w:val="false"/>
          </w:tcPr>
          <w:p>
            <w:pPr>
              <w:jc w:val="center"/>
              <w:tabs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833" w:type="pct"/>
            <w:textDirection w:val="lrTb"/>
            <w:noWrap w:val="false"/>
          </w:tcPr>
          <w:p>
            <w:pPr>
              <w:jc w:val="both"/>
              <w:spacing w:before="40" w:line="28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Офтальмолог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19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</w:t>
            </w:r>
            <w:r/>
          </w:p>
        </w:tc>
        <w:tc>
          <w:tcPr>
            <w:tcW w:w="85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200,00</w:t>
            </w:r>
            <w:r>
              <w:rPr>
                <w:sz w:val="24"/>
                <w:szCs w:val="24"/>
              </w:rPr>
            </w:r>
          </w:p>
        </w:tc>
        <w:tc>
          <w:tcPr>
            <w:tcW w:w="75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  <w:t xml:space="preserve">00,00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74" w:type="pct"/>
            <w:textDirection w:val="lrTb"/>
            <w:noWrap w:val="false"/>
          </w:tcPr>
          <w:p>
            <w:pPr>
              <w:jc w:val="center"/>
              <w:tabs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833" w:type="pct"/>
            <w:textDirection w:val="lrTb"/>
            <w:noWrap w:val="false"/>
          </w:tcPr>
          <w:p>
            <w:pPr>
              <w:jc w:val="both"/>
              <w:spacing w:before="40" w:line="28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Оториноларинголог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19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</w:t>
            </w:r>
            <w:r/>
          </w:p>
        </w:tc>
        <w:tc>
          <w:tcPr>
            <w:tcW w:w="85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200,00</w:t>
            </w:r>
            <w:r>
              <w:rPr>
                <w:sz w:val="24"/>
                <w:szCs w:val="24"/>
              </w:rPr>
            </w:r>
          </w:p>
        </w:tc>
        <w:tc>
          <w:tcPr>
            <w:tcW w:w="75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  <w:t xml:space="preserve">00,00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74" w:type="pct"/>
            <w:textDirection w:val="lrTb"/>
            <w:noWrap w:val="false"/>
          </w:tcPr>
          <w:p>
            <w:pPr>
              <w:jc w:val="center"/>
              <w:tabs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833" w:type="pct"/>
            <w:textDirection w:val="lrTb"/>
            <w:noWrap w:val="false"/>
          </w:tcPr>
          <w:p>
            <w:pPr>
              <w:jc w:val="both"/>
              <w:spacing w:before="40" w:line="28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Дерматовенеролог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19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</w:t>
            </w:r>
            <w:r/>
          </w:p>
        </w:tc>
        <w:tc>
          <w:tcPr>
            <w:tcW w:w="85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0,00</w:t>
            </w:r>
            <w:r>
              <w:rPr>
                <w:sz w:val="24"/>
                <w:szCs w:val="24"/>
              </w:rPr>
            </w:r>
          </w:p>
        </w:tc>
        <w:tc>
          <w:tcPr>
            <w:tcW w:w="75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200,00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74" w:type="pct"/>
            <w:textDirection w:val="lrTb"/>
            <w:noWrap w:val="false"/>
          </w:tcPr>
          <w:p>
            <w:pPr>
              <w:jc w:val="center"/>
              <w:tabs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833" w:type="pct"/>
            <w:textDirection w:val="lrTb"/>
            <w:noWrap w:val="false"/>
          </w:tcPr>
          <w:p>
            <w:pPr>
              <w:jc w:val="both"/>
              <w:spacing w:before="40" w:line="28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Стоматолог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19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</w:t>
            </w:r>
            <w:r/>
          </w:p>
        </w:tc>
        <w:tc>
          <w:tcPr>
            <w:tcW w:w="85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  <w:t xml:space="preserve">0,00</w:t>
            </w:r>
            <w:r>
              <w:rPr>
                <w:sz w:val="24"/>
                <w:szCs w:val="24"/>
              </w:rPr>
            </w:r>
          </w:p>
        </w:tc>
        <w:tc>
          <w:tcPr>
            <w:tcW w:w="75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</w:t>
            </w:r>
            <w:r>
              <w:rPr>
                <w:sz w:val="24"/>
                <w:szCs w:val="24"/>
              </w:rPr>
              <w:t xml:space="preserve">0,00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74" w:type="pct"/>
            <w:textDirection w:val="lrTb"/>
            <w:noWrap w:val="false"/>
          </w:tcPr>
          <w:p>
            <w:pPr>
              <w:jc w:val="center"/>
              <w:tabs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833" w:type="pct"/>
            <w:textDirection w:val="lrTb"/>
            <w:noWrap w:val="false"/>
          </w:tcPr>
          <w:p>
            <w:pPr>
              <w:jc w:val="both"/>
              <w:spacing w:before="40" w:line="28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Психиатр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19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</w:p>
        </w:tc>
        <w:tc>
          <w:tcPr>
            <w:tcW w:w="85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0,00</w:t>
            </w:r>
            <w:r>
              <w:rPr>
                <w:sz w:val="24"/>
                <w:szCs w:val="24"/>
              </w:rPr>
            </w:r>
          </w:p>
        </w:tc>
        <w:tc>
          <w:tcPr>
            <w:tcW w:w="75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  <w:t xml:space="preserve">00,00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74" w:type="pct"/>
            <w:textDirection w:val="lrTb"/>
            <w:noWrap w:val="false"/>
          </w:tcPr>
          <w:p>
            <w:pPr>
              <w:jc w:val="center"/>
              <w:tabs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833" w:type="pct"/>
            <w:textDirection w:val="lrTb"/>
            <w:noWrap w:val="false"/>
          </w:tcPr>
          <w:p>
            <w:pPr>
              <w:jc w:val="both"/>
              <w:spacing w:before="40" w:line="28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Военно-врачебная экспертиза*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19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</w:p>
        </w:tc>
        <w:tc>
          <w:tcPr>
            <w:tcW w:w="85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1200,00</w:t>
            </w:r>
            <w:r>
              <w:rPr>
                <w:sz w:val="24"/>
                <w:szCs w:val="24"/>
              </w:rPr>
            </w:r>
          </w:p>
        </w:tc>
        <w:tc>
          <w:tcPr>
            <w:tcW w:w="75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132</w:t>
            </w:r>
            <w:r>
              <w:rPr>
                <w:sz w:val="24"/>
                <w:szCs w:val="24"/>
              </w:rPr>
              <w:t xml:space="preserve">00,00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tcW w:w="4241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</w:rPr>
            </w:r>
          </w:p>
        </w:tc>
        <w:tc>
          <w:tcPr>
            <w:tcW w:w="75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323</w:t>
            </w:r>
            <w:r>
              <w:rPr>
                <w:sz w:val="24"/>
                <w:szCs w:val="24"/>
              </w:rPr>
              <w:t xml:space="preserve">00,00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shd w:val="clear" w:color="auto" w:fill="ffffff"/>
        <w:tabs>
          <w:tab w:val="left" w:pos="5664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* - услуга включает в себя оформление и выдачу заключения комиссии без учета стоимости прохождения специалистов.</w:t>
      </w:r>
      <w:r>
        <w:rPr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567" w:left="1134" w:header="720" w:footer="443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25191436"/>
      <w:docPartObj>
        <w:docPartGallery w:val="Page Numbers (Top of Page)"/>
        <w:docPartUnique w:val="true"/>
      </w:docPartObj>
      <w:rPr/>
    </w:sdtPr>
    <w:sdtContent>
      <w:p>
        <w:pPr>
          <w:pStyle w:val="747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  \* MERGEFORMAT 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2</w:t>
        </w:r>
        <w:r>
          <w:rPr>
            <w:sz w:val="24"/>
          </w:rPr>
          <w:fldChar w:fldCharType="end"/>
        </w:r>
        <w:r>
          <w:rPr>
            <w:sz w:val="24"/>
          </w:rPr>
        </w:r>
      </w:p>
    </w:sdtContent>
  </w:sdt>
  <w:p>
    <w:pPr>
      <w:pStyle w:val="7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9"/>
      <w:numFmt w:val="decimal"/>
      <w:isLgl w:val="false"/>
      <w:suff w:val="tab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90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2" w:hanging="13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032" w:hanging="13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32" w:hanging="1332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32" w:hanging="1332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32" w:hanging="133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9" w:hanging="1200"/>
        <w:tabs>
          <w:tab w:val="num" w:pos="190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3.1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440" w:hanging="720"/>
      </w:pPr>
      <w:rPr>
        <w:rFonts w:hint="default"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  <w:tabs>
          <w:tab w:val="num" w:pos="180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  <w:tabs>
          <w:tab w:val="num" w:pos="252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  <w:tabs>
          <w:tab w:val="num" w:pos="288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  <w:tabs>
          <w:tab w:val="num" w:pos="360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  <w:tabs>
          <w:tab w:val="num" w:pos="432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  <w:tabs>
          <w:tab w:val="num" w:pos="468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  <w:tabs>
          <w:tab w:val="num" w:pos="5400" w:leader="none"/>
        </w:tabs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2" w:hanging="13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032" w:hanging="13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32" w:hanging="1332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32" w:hanging="1332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32" w:hanging="133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134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3">
    <w:abstractNumId w:val="14"/>
  </w:num>
  <w:num w:numId="4">
    <w:abstractNumId w:val="8"/>
  </w:num>
  <w:num w:numId="5">
    <w:abstractNumId w:val="22"/>
  </w:num>
  <w:num w:numId="6">
    <w:abstractNumId w:val="2"/>
  </w:num>
  <w:num w:numId="7">
    <w:abstractNumId w:val="6"/>
  </w:num>
  <w:num w:numId="8">
    <w:abstractNumId w:val="16"/>
  </w:num>
  <w:num w:numId="9">
    <w:abstractNumId w:val="18"/>
  </w:num>
  <w:num w:numId="10">
    <w:abstractNumId w:val="24"/>
  </w:num>
  <w:num w:numId="11">
    <w:abstractNumId w:val="11"/>
  </w:num>
  <w:num w:numId="12">
    <w:abstractNumId w:val="3"/>
  </w:num>
  <w:num w:numId="13">
    <w:abstractNumId w:val="21"/>
  </w:num>
  <w:num w:numId="14">
    <w:abstractNumId w:val="9"/>
  </w:num>
  <w:num w:numId="15">
    <w:abstractNumId w:val="20"/>
  </w:num>
  <w:num w:numId="16">
    <w:abstractNumId w:val="4"/>
  </w:num>
  <w:num w:numId="17">
    <w:abstractNumId w:val="5"/>
  </w:num>
  <w:num w:numId="18">
    <w:abstractNumId w:val="10"/>
  </w:num>
  <w:num w:numId="19">
    <w:abstractNumId w:val="12"/>
  </w:num>
  <w:num w:numId="20">
    <w:abstractNumId w:val="23"/>
  </w:num>
  <w:num w:numId="21">
    <w:abstractNumId w:val="17"/>
  </w:num>
  <w:num w:numId="22">
    <w:abstractNumId w:val="1"/>
  </w:num>
  <w:num w:numId="23">
    <w:abstractNumId w:val="15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34"/>
    <w:link w:val="72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34"/>
    <w:link w:val="730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34"/>
    <w:link w:val="73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34"/>
    <w:link w:val="73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28"/>
    <w:next w:val="72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34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28"/>
    <w:next w:val="72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34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28"/>
    <w:next w:val="72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34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34"/>
    <w:link w:val="73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28"/>
    <w:next w:val="72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34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34"/>
    <w:link w:val="758"/>
    <w:uiPriority w:val="10"/>
    <w:rPr>
      <w:sz w:val="48"/>
      <w:szCs w:val="48"/>
    </w:rPr>
  </w:style>
  <w:style w:type="paragraph" w:styleId="37">
    <w:name w:val="Subtitle"/>
    <w:basedOn w:val="728"/>
    <w:next w:val="72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34"/>
    <w:link w:val="37"/>
    <w:uiPriority w:val="11"/>
    <w:rPr>
      <w:sz w:val="24"/>
      <w:szCs w:val="24"/>
    </w:rPr>
  </w:style>
  <w:style w:type="paragraph" w:styleId="39">
    <w:name w:val="Quote"/>
    <w:basedOn w:val="728"/>
    <w:next w:val="72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28"/>
    <w:next w:val="72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34"/>
    <w:link w:val="747"/>
    <w:uiPriority w:val="99"/>
  </w:style>
  <w:style w:type="character" w:styleId="46">
    <w:name w:val="Footer Char"/>
    <w:basedOn w:val="734"/>
    <w:link w:val="767"/>
    <w:uiPriority w:val="99"/>
  </w:style>
  <w:style w:type="paragraph" w:styleId="47">
    <w:name w:val="Caption"/>
    <w:basedOn w:val="728"/>
    <w:next w:val="72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34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2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34"/>
    <w:uiPriority w:val="99"/>
    <w:unhideWhenUsed/>
    <w:rPr>
      <w:vertAlign w:val="superscript"/>
    </w:rPr>
  </w:style>
  <w:style w:type="paragraph" w:styleId="179">
    <w:name w:val="endnote text"/>
    <w:basedOn w:val="72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34"/>
    <w:uiPriority w:val="99"/>
    <w:semiHidden/>
    <w:unhideWhenUsed/>
    <w:rPr>
      <w:vertAlign w:val="superscript"/>
    </w:rPr>
  </w:style>
  <w:style w:type="paragraph" w:styleId="182">
    <w:name w:val="toc 1"/>
    <w:basedOn w:val="728"/>
    <w:next w:val="72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28"/>
    <w:next w:val="72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28"/>
    <w:next w:val="72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28"/>
    <w:next w:val="72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28"/>
    <w:next w:val="72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28"/>
    <w:next w:val="72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28"/>
    <w:next w:val="72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28"/>
    <w:next w:val="72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28"/>
    <w:next w:val="72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28"/>
    <w:next w:val="728"/>
    <w:uiPriority w:val="99"/>
    <w:unhideWhenUsed/>
    <w:pPr>
      <w:spacing w:after="0" w:afterAutospacing="0"/>
    </w:pPr>
  </w:style>
  <w:style w:type="paragraph" w:styleId="728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29">
    <w:name w:val="Heading 1"/>
    <w:basedOn w:val="728"/>
    <w:next w:val="728"/>
    <w:link w:val="7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30">
    <w:name w:val="Heading 2"/>
    <w:basedOn w:val="728"/>
    <w:next w:val="728"/>
    <w:link w:val="738"/>
    <w:qFormat/>
    <w:pPr>
      <w:keepNext/>
      <w:shd w:val="clear" w:color="auto" w:fill="ffffff"/>
      <w:outlineLvl w:val="1"/>
    </w:pPr>
    <w:rPr>
      <w:color w:val="000000"/>
      <w:sz w:val="28"/>
    </w:rPr>
  </w:style>
  <w:style w:type="paragraph" w:styleId="731">
    <w:name w:val="Heading 3"/>
    <w:basedOn w:val="728"/>
    <w:next w:val="728"/>
    <w:link w:val="739"/>
    <w:qFormat/>
    <w:pPr>
      <w:jc w:val="center"/>
      <w:keepNext/>
      <w:outlineLvl w:val="2"/>
    </w:pPr>
    <w:rPr>
      <w:b/>
      <w:bCs/>
      <w:sz w:val="28"/>
    </w:rPr>
  </w:style>
  <w:style w:type="paragraph" w:styleId="732">
    <w:name w:val="Heading 4"/>
    <w:basedOn w:val="728"/>
    <w:next w:val="728"/>
    <w:link w:val="7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33">
    <w:name w:val="Heading 8"/>
    <w:basedOn w:val="728"/>
    <w:next w:val="728"/>
    <w:link w:val="741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Заголовок 1 Знак"/>
    <w:basedOn w:val="734"/>
    <w:link w:val="729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738" w:customStyle="1">
    <w:name w:val="Заголовок 2 Знак"/>
    <w:basedOn w:val="734"/>
    <w:link w:val="730"/>
    <w:rPr>
      <w:rFonts w:ascii="Times New Roman" w:hAnsi="Times New Roman" w:eastAsia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styleId="739" w:customStyle="1">
    <w:name w:val="Заголовок 3 Знак"/>
    <w:basedOn w:val="734"/>
    <w:link w:val="731"/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740" w:customStyle="1">
    <w:name w:val="Заголовок 4 Знак"/>
    <w:basedOn w:val="734"/>
    <w:link w:val="732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741" w:customStyle="1">
    <w:name w:val="Заголовок 8 Знак"/>
    <w:basedOn w:val="734"/>
    <w:link w:val="733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742">
    <w:name w:val="Body Text Indent 2"/>
    <w:basedOn w:val="728"/>
    <w:link w:val="743"/>
    <w:pPr>
      <w:ind w:firstLine="720"/>
      <w:jc w:val="both"/>
    </w:pPr>
    <w:rPr>
      <w:sz w:val="28"/>
    </w:rPr>
  </w:style>
  <w:style w:type="character" w:styleId="743" w:customStyle="1">
    <w:name w:val="Основной текст с отступом 2 Знак"/>
    <w:basedOn w:val="734"/>
    <w:link w:val="74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4">
    <w:name w:val="Body Text 3"/>
    <w:basedOn w:val="728"/>
    <w:link w:val="745"/>
    <w:pPr>
      <w:jc w:val="center"/>
    </w:pPr>
    <w:rPr>
      <w:b/>
      <w:bCs/>
      <w:color w:val="000000"/>
      <w:sz w:val="28"/>
    </w:rPr>
  </w:style>
  <w:style w:type="character" w:styleId="745" w:customStyle="1">
    <w:name w:val="Основной текст 3 Знак"/>
    <w:basedOn w:val="734"/>
    <w:link w:val="744"/>
    <w:rPr>
      <w:rFonts w:ascii="Times New Roman" w:hAnsi="Times New Roman" w:eastAsia="Times New Roman" w:cs="Times New Roman"/>
      <w:b/>
      <w:bCs/>
      <w:color w:val="000000"/>
      <w:sz w:val="28"/>
      <w:szCs w:val="20"/>
      <w:lang w:eastAsia="ru-RU"/>
    </w:rPr>
  </w:style>
  <w:style w:type="paragraph" w:styleId="746">
    <w:name w:val="Block Text"/>
    <w:basedOn w:val="728"/>
    <w:pPr>
      <w:ind w:left="1757" w:right="1094" w:hanging="240"/>
      <w:spacing w:before="667" w:line="221" w:lineRule="exact"/>
      <w:shd w:val="clear" w:color="auto" w:fill="ffffff"/>
    </w:pPr>
    <w:rPr>
      <w:b/>
      <w:bCs/>
      <w:color w:val="000000"/>
      <w:spacing w:val="1"/>
    </w:rPr>
  </w:style>
  <w:style w:type="paragraph" w:styleId="747">
    <w:name w:val="Header"/>
    <w:basedOn w:val="728"/>
    <w:link w:val="748"/>
    <w:uiPriority w:val="99"/>
    <w:pPr>
      <w:tabs>
        <w:tab w:val="center" w:pos="4677" w:leader="none"/>
        <w:tab w:val="right" w:pos="9355" w:leader="none"/>
      </w:tabs>
    </w:pPr>
  </w:style>
  <w:style w:type="character" w:styleId="748" w:customStyle="1">
    <w:name w:val="Верхний колонтитул Знак"/>
    <w:basedOn w:val="734"/>
    <w:link w:val="74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9">
    <w:name w:val="page number"/>
    <w:basedOn w:val="734"/>
  </w:style>
  <w:style w:type="paragraph" w:styleId="750">
    <w:name w:val="Body Text"/>
    <w:basedOn w:val="728"/>
    <w:link w:val="751"/>
    <w:rPr>
      <w:sz w:val="28"/>
    </w:rPr>
  </w:style>
  <w:style w:type="character" w:styleId="751" w:customStyle="1">
    <w:name w:val="Основной текст Знак"/>
    <w:basedOn w:val="734"/>
    <w:link w:val="75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2">
    <w:name w:val="Body Text Indent"/>
    <w:basedOn w:val="728"/>
    <w:link w:val="753"/>
    <w:pPr>
      <w:ind w:left="283"/>
      <w:spacing w:after="120"/>
    </w:pPr>
  </w:style>
  <w:style w:type="character" w:styleId="753" w:customStyle="1">
    <w:name w:val="Основной текст с отступом Знак"/>
    <w:basedOn w:val="734"/>
    <w:link w:val="75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54">
    <w:name w:val="Body Text 2"/>
    <w:basedOn w:val="728"/>
    <w:link w:val="755"/>
    <w:pPr>
      <w:spacing w:after="120" w:line="480" w:lineRule="auto"/>
    </w:pPr>
  </w:style>
  <w:style w:type="character" w:styleId="755" w:customStyle="1">
    <w:name w:val="Основной текст 2 Знак"/>
    <w:basedOn w:val="734"/>
    <w:link w:val="75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6" w:customStyle="1">
    <w:name w:val="Цветовое выделение"/>
    <w:rPr>
      <w:b/>
      <w:bCs/>
      <w:color w:val="000080"/>
      <w:sz w:val="20"/>
      <w:szCs w:val="20"/>
    </w:rPr>
  </w:style>
  <w:style w:type="paragraph" w:styleId="757" w:customStyle="1">
    <w:name w:val="Комментарий"/>
    <w:basedOn w:val="728"/>
    <w:next w:val="728"/>
    <w:pPr>
      <w:ind w:left="170"/>
      <w:jc w:val="both"/>
    </w:pPr>
    <w:rPr>
      <w:rFonts w:ascii="Arial" w:hAnsi="Arial" w:cs="Arial"/>
      <w:i/>
      <w:iCs/>
      <w:color w:val="800080"/>
    </w:rPr>
  </w:style>
  <w:style w:type="paragraph" w:styleId="758">
    <w:name w:val="Title"/>
    <w:basedOn w:val="728"/>
    <w:link w:val="759"/>
    <w:qFormat/>
    <w:pPr>
      <w:jc w:val="center"/>
      <w:widowControl/>
    </w:pPr>
    <w:rPr>
      <w:b/>
      <w:sz w:val="28"/>
      <w:szCs w:val="24"/>
    </w:rPr>
  </w:style>
  <w:style w:type="character" w:styleId="759" w:customStyle="1">
    <w:name w:val="Название Знак"/>
    <w:basedOn w:val="734"/>
    <w:link w:val="758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paragraph" w:styleId="760" w:customStyle="1">
    <w:name w:val="ConsPlusNonformat"/>
    <w:link w:val="761"/>
    <w:pPr>
      <w:spacing w:after="0" w:line="240" w:lineRule="auto"/>
      <w:widowControl w:val="off"/>
    </w:pPr>
    <w:rPr>
      <w:rFonts w:ascii="Courier New" w:hAnsi="Courier New" w:eastAsia="Times New Roman" w:cs="Courier New"/>
      <w:sz w:val="16"/>
      <w:szCs w:val="16"/>
      <w:lang w:eastAsia="ru-RU"/>
    </w:rPr>
  </w:style>
  <w:style w:type="character" w:styleId="761" w:customStyle="1">
    <w:name w:val="ConsPlusNonformat Знак"/>
    <w:link w:val="760"/>
    <w:rPr>
      <w:rFonts w:ascii="Courier New" w:hAnsi="Courier New" w:eastAsia="Times New Roman" w:cs="Courier New"/>
      <w:sz w:val="16"/>
      <w:szCs w:val="16"/>
      <w:lang w:eastAsia="ru-RU"/>
    </w:rPr>
  </w:style>
  <w:style w:type="paragraph" w:styleId="762" w:customStyle="1">
    <w:name w:val="ConsPlusNormal"/>
    <w:link w:val="790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16"/>
      <w:szCs w:val="16"/>
      <w:lang w:eastAsia="ru-RU"/>
    </w:rPr>
  </w:style>
  <w:style w:type="paragraph" w:styleId="763" w:customStyle="1">
    <w:name w:val="Обычный1"/>
    <w:pPr>
      <w:ind w:firstLine="660"/>
      <w:jc w:val="both"/>
      <w:spacing w:after="0" w:line="28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64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4"/>
      <w:szCs w:val="14"/>
      <w:lang w:eastAsia="ru-RU"/>
    </w:rPr>
  </w:style>
  <w:style w:type="paragraph" w:styleId="765">
    <w:name w:val="Body Text Indent 3"/>
    <w:basedOn w:val="728"/>
    <w:link w:val="766"/>
    <w:pPr>
      <w:ind w:left="283" w:firstLine="720"/>
      <w:jc w:val="both"/>
      <w:spacing w:after="120"/>
    </w:pPr>
    <w:rPr>
      <w:rFonts w:ascii="Arial" w:hAnsi="Arial" w:cs="Arial"/>
      <w:sz w:val="16"/>
      <w:szCs w:val="16"/>
    </w:rPr>
  </w:style>
  <w:style w:type="character" w:styleId="766" w:customStyle="1">
    <w:name w:val="Основной текст с отступом 3 Знак"/>
    <w:basedOn w:val="734"/>
    <w:link w:val="765"/>
    <w:rPr>
      <w:rFonts w:ascii="Arial" w:hAnsi="Arial" w:eastAsia="Times New Roman" w:cs="Arial"/>
      <w:sz w:val="16"/>
      <w:szCs w:val="16"/>
      <w:lang w:eastAsia="ru-RU"/>
    </w:rPr>
  </w:style>
  <w:style w:type="paragraph" w:styleId="767">
    <w:name w:val="Footer"/>
    <w:basedOn w:val="728"/>
    <w:link w:val="768"/>
    <w:uiPriority w:val="99"/>
    <w:pPr>
      <w:tabs>
        <w:tab w:val="center" w:pos="4677" w:leader="none"/>
        <w:tab w:val="right" w:pos="9355" w:leader="none"/>
      </w:tabs>
    </w:pPr>
  </w:style>
  <w:style w:type="character" w:styleId="768" w:customStyle="1">
    <w:name w:val="Нижний колонтитул Знак"/>
    <w:basedOn w:val="734"/>
    <w:link w:val="76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69">
    <w:name w:val="Hyperlink"/>
    <w:rPr>
      <w:color w:val="0000ff"/>
      <w:u w:val="single"/>
    </w:rPr>
  </w:style>
  <w:style w:type="paragraph" w:styleId="770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771" w:customStyle="1">
    <w:name w:val="Знак2"/>
    <w:basedOn w:val="747"/>
    <w:pPr>
      <w:ind w:right="40" w:firstLine="720"/>
      <w:jc w:val="both"/>
      <w:widowControl/>
      <w:tabs>
        <w:tab w:val="clear" w:pos="4677" w:leader="none"/>
        <w:tab w:val="clear" w:pos="9355" w:leader="none"/>
      </w:tabs>
    </w:pPr>
    <w:rPr>
      <w:rFonts w:eastAsia="Symbol"/>
      <w:sz w:val="28"/>
    </w:rPr>
  </w:style>
  <w:style w:type="paragraph" w:styleId="772">
    <w:name w:val="HTML Preformatted"/>
    <w:basedOn w:val="728"/>
    <w:link w:val="773"/>
    <w:unhideWhenUsed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773" w:customStyle="1">
    <w:name w:val="Стандартный HTML Знак"/>
    <w:basedOn w:val="734"/>
    <w:link w:val="772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774" w:customStyle="1">
    <w:name w:val="PTU Обычный"/>
    <w:basedOn w:val="728"/>
    <w:link w:val="775"/>
    <w:pPr>
      <w:widowControl/>
    </w:pPr>
    <w:rPr>
      <w:sz w:val="28"/>
      <w:szCs w:val="24"/>
    </w:rPr>
  </w:style>
  <w:style w:type="character" w:styleId="775" w:customStyle="1">
    <w:name w:val="PTU Обычный Знак"/>
    <w:link w:val="774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776" w:customStyle="1">
    <w:name w:val="Гипертекстовая ссылка"/>
    <w:uiPriority w:val="99"/>
    <w:rPr>
      <w:b/>
      <w:bCs/>
      <w:color w:val="106bbe"/>
      <w:sz w:val="20"/>
      <w:szCs w:val="20"/>
    </w:rPr>
  </w:style>
  <w:style w:type="character" w:styleId="777" w:customStyle="1">
    <w:name w:val="Основной текст_"/>
    <w:link w:val="778"/>
    <w:rPr>
      <w:sz w:val="27"/>
      <w:szCs w:val="27"/>
      <w:shd w:val="clear" w:color="auto" w:fill="ffffff"/>
    </w:rPr>
  </w:style>
  <w:style w:type="paragraph" w:styleId="778" w:customStyle="1">
    <w:name w:val="Основной текст3"/>
    <w:basedOn w:val="728"/>
    <w:link w:val="777"/>
    <w:pPr>
      <w:jc w:val="both"/>
      <w:spacing w:before="660" w:line="322" w:lineRule="exact"/>
      <w:shd w:val="clear" w:color="auto" w:fill="ffffff"/>
      <w:widowControl/>
    </w:pPr>
    <w:rPr>
      <w:rFonts w:asciiTheme="minorHAnsi" w:hAnsiTheme="minorHAnsi" w:eastAsiaTheme="minorHAnsi" w:cstheme="minorBidi"/>
      <w:sz w:val="27"/>
      <w:szCs w:val="27"/>
      <w:lang w:eastAsia="en-US"/>
    </w:rPr>
  </w:style>
  <w:style w:type="paragraph" w:styleId="779">
    <w:name w:val="List Paragraph"/>
    <w:basedOn w:val="728"/>
    <w:uiPriority w:val="34"/>
    <w:qFormat/>
    <w:pPr>
      <w:contextualSpacing/>
      <w:ind w:left="720" w:firstLine="709"/>
      <w:jc w:val="both"/>
      <w:spacing w:line="360" w:lineRule="auto"/>
      <w:widowControl/>
    </w:pPr>
    <w:rPr>
      <w:sz w:val="24"/>
      <w:szCs w:val="24"/>
    </w:rPr>
  </w:style>
  <w:style w:type="character" w:styleId="780" w:customStyle="1">
    <w:name w:val="Основной текст + 7 pt;Полужирный"/>
    <w:basedOn w:val="77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  <w:lang w:val="en-US"/>
    </w:rPr>
  </w:style>
  <w:style w:type="paragraph" w:styleId="781" w:customStyle="1">
    <w:name w:val="Основной текст1"/>
    <w:basedOn w:val="728"/>
    <w:pPr>
      <w:ind w:hanging="240"/>
      <w:jc w:val="center"/>
      <w:spacing w:before="120" w:after="780" w:line="0" w:lineRule="atLeast"/>
      <w:shd w:val="clear" w:color="auto" w:fill="ffffff"/>
      <w:widowControl/>
    </w:pPr>
    <w:rPr>
      <w:color w:val="000000"/>
      <w:sz w:val="18"/>
      <w:szCs w:val="18"/>
    </w:rPr>
  </w:style>
  <w:style w:type="paragraph" w:styleId="782">
    <w:name w:val="Balloon Text"/>
    <w:basedOn w:val="728"/>
    <w:link w:val="783"/>
    <w:uiPriority w:val="99"/>
    <w:semiHidden/>
    <w:unhideWhenUsed/>
    <w:rPr>
      <w:rFonts w:ascii="Tahoma" w:hAnsi="Tahoma" w:cs="Tahoma"/>
      <w:sz w:val="16"/>
      <w:szCs w:val="16"/>
    </w:rPr>
  </w:style>
  <w:style w:type="character" w:styleId="783" w:customStyle="1">
    <w:name w:val="Текст выноски Знак"/>
    <w:basedOn w:val="734"/>
    <w:link w:val="78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784" w:customStyle="1">
    <w:name w:val="Основной текст (4)_"/>
    <w:link w:val="785"/>
    <w:rPr>
      <w:rFonts w:ascii="Times New Roman" w:hAnsi="Times New Roman" w:eastAsia="Times New Roman"/>
      <w:sz w:val="27"/>
      <w:szCs w:val="27"/>
      <w:shd w:val="clear" w:color="auto" w:fill="ffffff"/>
    </w:rPr>
  </w:style>
  <w:style w:type="paragraph" w:styleId="785" w:customStyle="1">
    <w:name w:val="Основной текст (4)"/>
    <w:basedOn w:val="728"/>
    <w:link w:val="784"/>
    <w:pPr>
      <w:spacing w:after="300" w:line="322" w:lineRule="exact"/>
      <w:shd w:val="clear" w:color="auto" w:fill="ffffff"/>
      <w:widowControl/>
    </w:pPr>
    <w:rPr>
      <w:rFonts w:cstheme="minorBidi"/>
      <w:sz w:val="27"/>
      <w:szCs w:val="27"/>
      <w:lang w:eastAsia="en-US"/>
    </w:rPr>
  </w:style>
  <w:style w:type="character" w:styleId="786" w:customStyle="1">
    <w:name w:val="Стандартный HTML Знак1"/>
    <w:rPr>
      <w:rFonts w:ascii="Courier New" w:hAnsi="Courier New"/>
    </w:rPr>
  </w:style>
  <w:style w:type="table" w:styleId="787">
    <w:name w:val="Table Grid"/>
    <w:basedOn w:val="73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88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89" w:customStyle="1">
    <w:name w:val="Основной текст 22"/>
    <w:basedOn w:val="728"/>
    <w:pPr>
      <w:ind w:right="-185"/>
      <w:widowControl/>
    </w:pPr>
    <w:rPr>
      <w:sz w:val="28"/>
      <w:szCs w:val="24"/>
      <w:lang w:eastAsia="ar-SA"/>
    </w:rPr>
  </w:style>
  <w:style w:type="character" w:styleId="790" w:customStyle="1">
    <w:name w:val="ConsPlusNormal Знак"/>
    <w:link w:val="762"/>
    <w:rPr>
      <w:rFonts w:ascii="Arial" w:hAnsi="Arial" w:eastAsia="Times New Roman" w:cs="Arial"/>
      <w:sz w:val="16"/>
      <w:szCs w:val="16"/>
      <w:lang w:eastAsia="ru-RU"/>
    </w:rPr>
  </w:style>
  <w:style w:type="paragraph" w:styleId="791">
    <w:name w:val="Normal (Web)"/>
    <w:basedOn w:val="728"/>
    <w:uiPriority w:val="99"/>
    <w:unhideWhenUsed/>
    <w:pPr>
      <w:spacing w:before="100" w:beforeAutospacing="1" w:after="100" w:afterAutospacing="1"/>
      <w:widowControl/>
    </w:pPr>
    <w:rPr>
      <w:sz w:val="24"/>
      <w:szCs w:val="24"/>
    </w:rPr>
  </w:style>
  <w:style w:type="character" w:styleId="792" w:customStyle="1">
    <w:name w:val="Основной текст (2) + 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793" w:customStyle="1">
    <w:name w:val="Основной текст (2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794" w:customStyle="1">
    <w:name w:val="ConsPlusCell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795" w:customStyle="1">
    <w:name w:val="Знак Знак Знак Знак Знак Знак"/>
    <w:basedOn w:val="728"/>
    <w:pPr>
      <w:jc w:val="both"/>
      <w:spacing w:after="160" w:line="240" w:lineRule="exact"/>
      <w:widowControl/>
    </w:pPr>
    <w:rPr>
      <w:rFonts w:ascii="Verdana" w:hAnsi="Verdana"/>
      <w:sz w:val="22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7A3C7-BF88-4F64-820F-708C7292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Пермская таможня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khudyakovans</dc:creator>
  <cp:lastModifiedBy>oto_Khokhlova</cp:lastModifiedBy>
  <cp:revision>107</cp:revision>
  <dcterms:created xsi:type="dcterms:W3CDTF">2022-11-02T11:01:00Z</dcterms:created>
  <dcterms:modified xsi:type="dcterms:W3CDTF">2026-06-23T09:13:59Z</dcterms:modified>
</cp:coreProperties>
</file>