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/>
          <w:b/>
          <w:sz w:val="18"/>
          <w:szCs w:val="18"/>
          <w:lang w:eastAsia="en-US"/>
        </w:rPr>
      </w:pPr>
      <w:r>
        <w:rPr>
          <w:rFonts w:ascii="PT Astra Serif" w:hAnsi="PT Astra Serif"/>
          <w:b/>
          <w:sz w:val="18"/>
          <w:szCs w:val="18"/>
          <w:lang w:eastAsia="en-US"/>
        </w:rPr>
        <w:t>Обоснование начальной (максимальной) цены контракта</w:t>
      </w:r>
    </w:p>
    <w:p>
      <w:pPr>
        <w:pStyle w:val="NoSpacing"/>
        <w:jc w:val="center"/>
        <w:rPr/>
      </w:pPr>
      <w:r>
        <w:rPr>
          <w:rStyle w:val="cardmaininfocontent2"/>
          <w:rFonts w:cs="Arial"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themeColor="text1" w:val="000000"/>
          <w:sz w:val="18"/>
          <w:szCs w:val="18"/>
          <w:u w:val="none"/>
          <w:em w:val="none"/>
        </w:rPr>
        <w:t xml:space="preserve">Холодильник фармацевтический </w:t>
      </w:r>
      <w:r>
        <w:rPr>
          <w:rStyle w:val="cardmaininfocontent2"/>
          <w:rFonts w:cs="Arial"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themeColor="text1" w:val="000000"/>
          <w:sz w:val="18"/>
          <w:szCs w:val="18"/>
          <w:u w:val="none"/>
          <w:em w:val="none"/>
        </w:rPr>
        <w:t xml:space="preserve">(Холодильник низкотемпературный для хранения медицинских изделий и образцов </w:t>
      </w:r>
      <w:r>
        <w:rPr>
          <w:rStyle w:val="cardmaininfocontent2"/>
          <w:rFonts w:cs="Arial"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themeColor="text1" w:val="000000"/>
          <w:sz w:val="18"/>
          <w:szCs w:val="18"/>
          <w:u w:val="none"/>
          <w:em w:val="none"/>
        </w:rPr>
        <w:t>биоматериала</w:t>
      </w:r>
      <w:r>
        <w:rPr>
          <w:rStyle w:val="cardmaininfocontent2"/>
          <w:rFonts w:cs="Arial" w:ascii="PT Astra Serif" w:hAnsi="PT Astra Serif"/>
          <w:b w:val="false"/>
          <w:i w:val="false"/>
          <w:strike w:val="false"/>
          <w:dstrike w:val="false"/>
          <w:outline w:val="false"/>
          <w:shadow w:val="false"/>
          <w:color w:themeColor="text1" w:val="000000"/>
          <w:sz w:val="18"/>
          <w:szCs w:val="18"/>
          <w:u w:val="none"/>
          <w:em w:val="none"/>
        </w:rPr>
        <w:t>)</w:t>
      </w:r>
    </w:p>
    <w:tbl>
      <w:tblPr>
        <w:tblpPr w:vertAnchor="text" w:horzAnchor="margin" w:leftFromText="180" w:rightFromText="180" w:tblpX="0" w:tblpY="38"/>
        <w:tblW w:w="1530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080"/>
        <w:gridCol w:w="3000"/>
        <w:gridCol w:w="11220"/>
      </w:tblGrid>
      <w:tr>
        <w:trPr>
          <w:trHeight w:val="116" w:hRule="atLeast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Описанием объекта закупки</w:t>
            </w:r>
          </w:p>
        </w:tc>
      </w:tr>
      <w:tr>
        <w:trPr>
          <w:trHeight w:val="638" w:hRule="atLeast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Используемый метод определения с обоснованием:</w:t>
            </w:r>
          </w:p>
        </w:tc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Иной метод: на основании  ч. 12, ч 22 ст.22 Федерального закона от 05.04.2013 №44-ФЗ, Приказа Минздрава России от 15.05.2020 №450н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      </w:r>
          </w:p>
        </w:tc>
      </w:tr>
      <w:tr>
        <w:trPr>
          <w:trHeight w:val="129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Расчет</w:t>
            </w:r>
          </w:p>
        </w:tc>
        <w:tc>
          <w:tcPr>
            <w:tcW w:w="1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12 Приказа Минздрава России от 15.05.2020 №450н 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068705" cy="224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224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НЦЕ – начальная цена единицы медицинского изделия, без учета НДС;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ЦЕМ – цена едицины медицинского изделия, без учета НДС;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количество значений информации о цене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номер информации о цене;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</w:t>
            </w:r>
            <w:r>
              <w:rPr>
                <w:rFonts w:ascii="PT Astra Serif" w:hAnsi="PT Astra Serif"/>
                <w:sz w:val="18"/>
                <w:szCs w:val="18"/>
                <w:vertAlign w:val="subscript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–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изделия, без учета НДС.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17 Приказа Минздрава России от 15.05.2020 №450н расчет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768475" cy="17653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>- количество позиций закупаемых медицинских изделий;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НЦЕ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начальная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-й позиции медицинского изделия, определяемая в соответствии с настоящим порядком (по применимости);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ДС – налог на добавленную стоимость;</w:t>
            </w:r>
          </w:p>
          <w:p>
            <w:pPr>
              <w:pStyle w:val="Normal"/>
              <w:spacing w:before="0" w:after="0"/>
              <w:ind w:left="57"/>
              <w:jc w:val="both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lang w:val="en-US"/>
              </w:rPr>
              <w:t>Vi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– количество (объем)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-й позиции закупаемого медицинского изделия.</w:t>
            </w:r>
          </w:p>
          <w:p>
            <w:pPr>
              <w:pStyle w:val="Normal"/>
              <w:spacing w:before="0" w:after="0"/>
              <w:ind w:left="57"/>
              <w:jc w:val="both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Для формирования НМЦК были получено 3 коммерческих предложений на поставку товара.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1) Поставщик № 1 - Коммерческое предложение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493 от 24.06.2026 (вход. № 589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24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.0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.2026 г. в ответ на запрос цен ЕИС № 03682000226260000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93 (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исход.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2085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/39-25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24.06.2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026 г.).;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2) Поставщик № 2 - Коммерческое предложение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1392-26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23.06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.2026 г. (вход.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572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23.06.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2026 г. в ответ на исх.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2022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/39-25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22.06.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2026 г.)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;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3) Поставщик № 3 -  Коммерческое предложение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№ 1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35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23.06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.2026 г. (вход. № 58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 от 24.06.2026 г. в ответ на запрос цен ЕИС № 0368200022626000093 (исход. № 20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59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/39-25 от 24.06.2026 г.).</w:t>
            </w:r>
          </w:p>
          <w:p>
            <w:pPr>
              <w:pStyle w:val="Normal"/>
              <w:spacing w:before="0" w:after="0"/>
              <w:ind w:left="57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Применение корректирующих коэффициентов не требуется.</w:t>
            </w:r>
          </w:p>
          <w:p>
            <w:pPr>
              <w:pStyle w:val="Normal"/>
              <w:spacing w:lineRule="auto" w:line="240" w:before="0" w:after="0"/>
              <w:ind w:left="57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Коэффициент вариации не превышает 33%.</w:t>
            </w:r>
          </w:p>
          <w:tbl>
            <w:tblPr>
              <w:tblW w:w="1396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60"/>
              <w:gridCol w:w="2130"/>
              <w:gridCol w:w="557"/>
              <w:gridCol w:w="585"/>
              <w:gridCol w:w="1310"/>
              <w:gridCol w:w="1379"/>
              <w:gridCol w:w="1519"/>
              <w:gridCol w:w="1053"/>
              <w:gridCol w:w="975"/>
              <w:gridCol w:w="617"/>
              <w:gridCol w:w="1725"/>
              <w:gridCol w:w="1756"/>
            </w:tblGrid>
            <w:tr>
              <w:trPr>
                <w:trHeight w:val="493" w:hRule="atLeast"/>
              </w:trPr>
              <w:tc>
                <w:tcPr>
                  <w:tcW w:w="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5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Ед. </w:t>
                    <w:br/>
                    <w:t>изм</w:t>
                  </w:r>
                </w:p>
              </w:tc>
              <w:tc>
                <w:tcPr>
                  <w:tcW w:w="5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Кол-</w:t>
                    <w:br/>
                    <w:t>во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№1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№2</w:t>
                  </w:r>
                </w:p>
              </w:tc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№3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Средняя цена за ед., руб.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Коэф.</w:t>
                  </w:r>
                </w:p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вариации</w:t>
                  </w:r>
                </w:p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цены, %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НДС, %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НЦЕ сниж.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руб.</w:t>
                  </w:r>
                </w:p>
              </w:tc>
              <w:tc>
                <w:tcPr>
                  <w:tcW w:w="17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НМЦК 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руб.</w:t>
                  </w:r>
                </w:p>
              </w:tc>
            </w:tr>
            <w:tr>
              <w:trPr>
                <w:trHeight w:val="292" w:hRule="atLeast"/>
              </w:trPr>
              <w:tc>
                <w:tcPr>
                  <w:tcW w:w="36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213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5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8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05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9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61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72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75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21" w:hRule="atLeast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/>
                  </w:pPr>
                  <w:r>
                    <w:rPr>
                      <w:rStyle w:val="cardmaininfocontent2"/>
                      <w:rFonts w:cs="Arial" w:ascii="PT Astra Serif" w:hAnsi="PT Astra Serif"/>
                      <w:color w:themeColor="text1" w:val="000000"/>
                      <w:sz w:val="18"/>
                      <w:szCs w:val="18"/>
                    </w:rPr>
                    <w:t xml:space="preserve">Холодильник фармацевтический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eastAsia="BatangChe"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lang w:val="en-US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lang w:val="en-US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  <w:t>30 660,00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34 020,00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40 530,00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35 070,00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</w:rPr>
                    <w:t>14,31</w:t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30 660,00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61 320,00</w:t>
                  </w:r>
                </w:p>
              </w:tc>
            </w:tr>
            <w:tr>
              <w:trPr>
                <w:trHeight w:val="279" w:hRule="atLeast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lang w:val="ru-RU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  <w:lang w:val="ru-RU"/>
                    </w:rPr>
                    <w:t>61 320,00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68 040,00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81 060,00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  <w:highlight w:val="yellow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61 320,00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left="57"/>
              <w:rPr/>
            </w:pPr>
            <w:r>
              <w:rPr>
                <w:rFonts w:eastAsia="BatangChe" w:ascii="PT Astra Serif" w:hAnsi="PT Astra Serif"/>
                <w:sz w:val="18"/>
                <w:szCs w:val="18"/>
              </w:rPr>
              <w:t>В соответствии с п. 18</w:t>
            </w:r>
            <w:r>
              <w:rPr>
                <w:rFonts w:eastAsia="BatangChe"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Приказа Минздрава России от 15.05.2020 №450н и</w:t>
            </w:r>
            <w:r>
              <w:rPr>
                <w:rFonts w:cs="Arial" w:ascii="PT Astra Serif" w:hAnsi="PT Astra Serif"/>
                <w:bCs/>
                <w:color w:val="000000"/>
                <w:sz w:val="18"/>
                <w:szCs w:val="18"/>
                <w:shd w:fill="FFFFFF" w:val="clear"/>
              </w:rPr>
              <w:t xml:space="preserve"> С</w:t>
            </w:r>
            <w:r>
              <w:rPr>
                <w:rStyle w:val="hl"/>
                <w:rFonts w:cs="Arial" w:ascii="PT Astra Serif" w:hAnsi="PT Astra Serif"/>
                <w:bCs/>
                <w:color w:val="000000"/>
                <w:sz w:val="18"/>
                <w:szCs w:val="18"/>
                <w:shd w:fill="FFFFFF" w:val="clear"/>
              </w:rPr>
              <w:t>татьей 34 БК РФ (Принцип эффективности использования бюджетных средств)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НМЦК снижена заказчиком по сравнению с НМЦК, определенной в соответствии с настоящим порядком, с пропорциональным снижением начальных цен единиц закупаемых медицинских изделий, и определена в размере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61 320,00</w:t>
            </w: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</w:t>
            </w:r>
            <w:r>
              <w:rPr>
                <w:rFonts w:ascii="PT Astra Serif" w:hAnsi="PT Astra Serif"/>
                <w:sz w:val="18"/>
                <w:szCs w:val="18"/>
              </w:rPr>
              <w:t>б.</w:t>
            </w:r>
          </w:p>
        </w:tc>
      </w:tr>
      <w:tr>
        <w:trPr>
          <w:trHeight w:val="248" w:hRule="atLeast"/>
        </w:trPr>
        <w:tc>
          <w:tcPr>
            <w:tcW w:w="1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Дата подготовки обоснования: 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val="ru-RU"/>
              </w:rPr>
              <w:t xml:space="preserve">25.06.2026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г.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bCs/>
          <w:sz w:val="18"/>
          <w:szCs w:val="18"/>
        </w:rPr>
        <w:t>Руководитель контрактной службы:</w:t>
      </w:r>
    </w:p>
    <w:tbl>
      <w:tblPr>
        <w:tblW w:w="1499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4996"/>
      </w:tblGrid>
      <w:tr>
        <w:trPr>
          <w:trHeight w:val="292" w:hRule="atLeast"/>
        </w:trPr>
        <w:tc>
          <w:tcPr>
            <w:tcW w:w="14996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Заместитель главного врача по экономическим вопросам                                                                                                                                                 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Е.Н.Стратонова</w:t>
            </w:r>
          </w:p>
        </w:tc>
      </w:tr>
      <w:tr>
        <w:trPr>
          <w:trHeight w:val="83" w:hRule="atLeast"/>
        </w:trPr>
        <w:tc>
          <w:tcPr>
            <w:tcW w:w="14996" w:type="dxa"/>
            <w:tcBorders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 xml:space="preserve">                         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 xml:space="preserve">(должность)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PT Astra Serif" w:hAnsi="PT Astra Serif"/>
                <w:i/>
                <w:sz w:val="18"/>
                <w:szCs w:val="18"/>
              </w:rPr>
              <w:t xml:space="preserve">                                                                             (подпись/расшифровка подписи)</w:t>
            </w:r>
          </w:p>
        </w:tc>
      </w:tr>
      <w:tr>
        <w:trPr>
          <w:trHeight w:val="90" w:hRule="atLeast"/>
        </w:trPr>
        <w:tc>
          <w:tcPr>
            <w:tcW w:w="14996" w:type="dxa"/>
            <w:tcBorders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bCs/>
          <w:sz w:val="18"/>
          <w:szCs w:val="18"/>
          <w:lang w:eastAsia="ar-SA"/>
        </w:rPr>
      </w:pPr>
      <w:r>
        <w:rPr>
          <w:rFonts w:ascii="PT Astra Serif" w:hAnsi="PT Astra Serif"/>
          <w:i/>
          <w:sz w:val="18"/>
          <w:szCs w:val="18"/>
        </w:rPr>
        <w:t xml:space="preserve">Исполнителя/контактный телефон </w:t>
      </w:r>
      <w:r>
        <w:rPr>
          <w:rFonts w:ascii="PT Astra Serif" w:hAnsi="PT Astra Serif"/>
          <w:b/>
          <w:bCs/>
          <w:sz w:val="18"/>
          <w:szCs w:val="18"/>
          <w:lang w:eastAsia="ar-SA"/>
        </w:rPr>
        <w:t xml:space="preserve"> </w:t>
      </w:r>
      <w:r>
        <w:rPr>
          <w:rFonts w:ascii="PT Astra Serif" w:hAnsi="PT Astra Serif"/>
          <w:i/>
          <w:sz w:val="18"/>
          <w:szCs w:val="18"/>
        </w:rPr>
        <w:t>Сидорова Екатерина.             /44-23-29</w:t>
      </w:r>
      <w:r>
        <w:rPr>
          <w:rFonts w:ascii="PT Astra Serif" w:hAnsi="PT Astra Serif"/>
          <w:b/>
          <w:bCs/>
          <w:sz w:val="18"/>
          <w:szCs w:val="18"/>
          <w:lang w:eastAsia="ar-SA"/>
        </w:rPr>
        <w:t xml:space="preserve">              </w:t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510" w:footer="11" w:bottom="101"/>
      <w:pgNumType w:start="7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PT Astra 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1137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31762"/>
    <w:rPr>
      <w:rFonts w:ascii="Tahoma" w:hAnsi="Tahoma" w:cs="Times New Roman"/>
      <w:sz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locked/>
    <w:rsid w:val="002022a6"/>
    <w:rPr>
      <w:rFonts w:cs="Times New Roman"/>
      <w:sz w:val="22"/>
      <w:szCs w:val="2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2022a6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1b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821"/>
    <w:rPr>
      <w:color w:val="954F72"/>
      <w:u w:val="single"/>
    </w:rPr>
  </w:style>
  <w:style w:type="character" w:styleId="Style17" w:customStyle="1">
    <w:name w:val="Основной текст Знак"/>
    <w:basedOn w:val="DefaultParagraphFont"/>
    <w:qFormat/>
    <w:rsid w:val="00e616e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hl" w:customStyle="1">
    <w:name w:val="hl"/>
    <w:basedOn w:val="DefaultParagraphFont"/>
    <w:qFormat/>
    <w:rsid w:val="00446ffe"/>
    <w:rPr/>
  </w:style>
  <w:style w:type="character" w:styleId="cardmaininfopurchaselink2" w:customStyle="1">
    <w:name w:val="cardmaininfo__purchaselink2"/>
    <w:basedOn w:val="DefaultParagraphFont"/>
    <w:qFormat/>
    <w:rsid w:val="00d33309"/>
    <w:rPr>
      <w:color w:val="0065DD"/>
    </w:rPr>
  </w:style>
  <w:style w:type="character" w:styleId="Style18" w:customStyle="1">
    <w:name w:val="Без интервала Знак"/>
    <w:link w:val="NoSpacing"/>
    <w:uiPriority w:val="1"/>
    <w:qFormat/>
    <w:rsid w:val="00c90517"/>
    <w:rPr>
      <w:sz w:val="22"/>
      <w:szCs w:val="22"/>
    </w:rPr>
  </w:style>
  <w:style w:type="character" w:styleId="sectioninfo2" w:customStyle="1">
    <w:name w:val="section__info2"/>
    <w:qFormat/>
    <w:rsid w:val="0057183e"/>
    <w:rPr>
      <w:vanish w:val="false"/>
      <w:sz w:val="24"/>
      <w:szCs w:val="24"/>
    </w:rPr>
  </w:style>
  <w:style w:type="character" w:styleId="cardmaininfocontent2" w:customStyle="1">
    <w:name w:val="cardmaininfo__content2"/>
    <w:qFormat/>
    <w:rsid w:val="00420d82"/>
    <w:rPr>
      <w:vanish w:val="fals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nhideWhenUsed/>
    <w:rsid w:val="00e616eb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xl66" w:customStyle="1">
    <w:name w:val="xl66"/>
    <w:basedOn w:val="Normal"/>
    <w:qFormat/>
    <w:rsid w:val="000c3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331762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rsid w:val="002022a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2022a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 w:customStyle="1">
    <w:name w:val="Знак Знак Знак Знак Знак Знак Знак Знак Знак"/>
    <w:basedOn w:val="Normal"/>
    <w:qFormat/>
    <w:rsid w:val="00af5c8e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xl64" w:customStyle="1">
    <w:name w:val="xl6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sz w:val="24"/>
      <w:szCs w:val="24"/>
    </w:rPr>
  </w:style>
  <w:style w:type="paragraph" w:styleId="xl65" w:customStyle="1">
    <w:name w:val="xl6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67" w:customStyle="1">
    <w:name w:val="xl6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sz w:val="24"/>
      <w:szCs w:val="24"/>
    </w:rPr>
  </w:style>
  <w:style w:type="paragraph" w:styleId="xl68" w:customStyle="1">
    <w:name w:val="xl68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961821"/>
    <w:pPr>
      <w:spacing w:lineRule="auto" w:line="240" w:beforeAutospacing="1" w:afterAutospacing="1"/>
    </w:pPr>
    <w:rPr>
      <w:color w:val="000000"/>
      <w:sz w:val="18"/>
      <w:szCs w:val="18"/>
    </w:rPr>
  </w:style>
  <w:style w:type="paragraph" w:styleId="xl70" w:customStyle="1">
    <w:name w:val="xl7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72" w:customStyle="1">
    <w:name w:val="xl72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74" w:customStyle="1">
    <w:name w:val="xl7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sz w:val="24"/>
      <w:szCs w:val="24"/>
    </w:rPr>
  </w:style>
  <w:style w:type="paragraph" w:styleId="xl75" w:customStyle="1">
    <w:name w:val="xl7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6" w:customStyle="1">
    <w:name w:val="xl76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7" w:customStyle="1">
    <w:name w:val="xl7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78" w:customStyle="1">
    <w:name w:val="xl78"/>
    <w:basedOn w:val="Normal"/>
    <w:qFormat/>
    <w:rsid w:val="00961821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79" w:customStyle="1">
    <w:name w:val="xl79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xl80" w:customStyle="1">
    <w:name w:val="xl8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94613"/>
    <w:pPr>
      <w:spacing w:before="0" w:after="200"/>
      <w:ind w:left="720"/>
      <w:contextualSpacing/>
    </w:pPr>
    <w:rPr/>
  </w:style>
  <w:style w:type="paragraph" w:styleId="NoSpacing">
    <w:name w:val="No Spacing"/>
    <w:link w:val="Style18"/>
    <w:uiPriority w:val="1"/>
    <w:qFormat/>
    <w:rsid w:val="00e616e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бычный1"/>
    <w:qFormat/>
    <w:rsid w:val="00d33309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user3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e307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2B64-C4E1-4685-8252-F0B969A3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LibreOffice/25.8.7.3$Windows_X86_64 LibreOffice_project/30742500f2d3eb4366ac312fa33d3dcabdb3eba5</Application>
  <AppVersion>15.0000</AppVersion>
  <Pages>1</Pages>
  <Words>500</Words>
  <Characters>3145</Characters>
  <CharactersWithSpaces>3953</CharactersWithSpaces>
  <Paragraphs>72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2023-08-22T09:05:00Z</dcterms:created>
  <dc:creator>Костюков А.А.</dc:creator>
  <dc:description/>
  <dc:language>ru-RU</dc:language>
  <cp:lastModifiedBy/>
  <cp:lastPrinted>2026-04-14T12:01:47Z</cp:lastPrinted>
  <dcterms:modified xsi:type="dcterms:W3CDTF">2026-06-25T11:39:28Z</dcterms:modified>
  <cp:revision>28</cp:revision>
  <dc:subject>автозапчасти</dc:subject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