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20"/>
        <w:jc w:val="center"/>
        <w:rPr>
          <w:sz w:val="22"/>
          <w:szCs w:val="22"/>
        </w:rPr>
      </w:pPr>
      <w:r>
        <w:rPr>
          <w:bCs/>
          <w:sz w:val="22"/>
          <w:szCs w:val="22"/>
        </w:rPr>
        <w:t xml:space="preserve">ГОСУДАРСТВЕННЫЙ КОНТРАКТ </w:t>
      </w:r>
      <w:r>
        <w:rPr>
          <w:rFonts w:eastAsia="Calibri"/>
          <w:sz w:val="22"/>
          <w:szCs w:val="22"/>
          <w:lang w:eastAsia="en-US"/>
        </w:rPr>
        <w:t xml:space="preserve">№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оказание услуг по страхованию ответственности владельца беспилотного воздушного судна перед третьими лицами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jc w:val="center"/>
        <w:widowControl w:val="off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г.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Ни</w:t>
      </w:r>
      <w:r>
        <w:rPr>
          <w:rFonts w:eastAsia="Calibri"/>
          <w:sz w:val="22"/>
          <w:szCs w:val="22"/>
          <w:highlight w:val="none"/>
          <w:lang w:eastAsia="en-US"/>
        </w:rPr>
        <w:t xml:space="preserve">жний Новгород</w:t>
      </w: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 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  «</w:t>
      </w:r>
      <w:r>
        <w:rPr>
          <w:rFonts w:eastAsia="Calibri"/>
          <w:sz w:val="22"/>
          <w:szCs w:val="22"/>
          <w:lang w:eastAsia="en-US"/>
        </w:rPr>
        <w:t xml:space="preserve">____» ___________</w:t>
      </w:r>
      <w:r>
        <w:rPr>
          <w:rFonts w:eastAsia="Calibri"/>
          <w:sz w:val="22"/>
          <w:szCs w:val="22"/>
          <w:lang w:eastAsia="en-US"/>
        </w:rPr>
        <w:t xml:space="preserve">2025г.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</w:r>
      <w:r>
        <w:rPr>
          <w:sz w:val="21"/>
          <w:szCs w:val="21"/>
        </w:rPr>
        <w:t xml:space="preserve">Межрегиональное управление Федеральной службы по надзору в сфере природопользования по Нижегородской области и Республике Мордови</w:t>
      </w:r>
      <w:r>
        <w:rPr>
          <w:sz w:val="22"/>
          <w:szCs w:val="22"/>
        </w:rPr>
        <w:t xml:space="preserve">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eastAsia="en-US"/>
        </w:rPr>
        <w:t xml:space="preserve">именуемое в дальнейшем «Страхователь», </w:t>
      </w:r>
      <w:r>
        <w:rPr>
          <w:sz w:val="22"/>
          <w:szCs w:val="22"/>
        </w:rPr>
        <w:t xml:space="preserve">в лице </w:t>
      </w:r>
      <w:r>
        <w:rPr>
          <w:sz w:val="22"/>
          <w:szCs w:val="22"/>
        </w:rPr>
        <w:t xml:space="preserve">З</w:t>
      </w:r>
      <w:r>
        <w:rPr>
          <w:sz w:val="21"/>
          <w:szCs w:val="21"/>
        </w:rPr>
        <w:t xml:space="preserve">руководителя Чиненкова Марка Андреевича</w:t>
      </w:r>
      <w:r>
        <w:rPr>
          <w:sz w:val="21"/>
          <w:szCs w:val="21"/>
        </w:rPr>
        <w:t xml:space="preserve">, действующего на основании Положения</w:t>
      </w:r>
      <w:r>
        <w:rPr>
          <w:sz w:val="22"/>
          <w:szCs w:val="22"/>
        </w:rPr>
        <w:t xml:space="preserve">, с одной стороны, </w:t>
      </w:r>
      <w:r>
        <w:rPr>
          <w:sz w:val="22"/>
          <w:szCs w:val="22"/>
          <w:lang w:eastAsia="en-US"/>
        </w:rPr>
        <w:t xml:space="preserve">и </w:t>
      </w:r>
      <w:r>
        <w:rPr>
          <w:sz w:val="22"/>
          <w:szCs w:val="22"/>
          <w:lang w:eastAsia="en-US"/>
        </w:rPr>
        <w:t xml:space="preserve">_________________________________________</w:t>
      </w:r>
      <w:r>
        <w:rPr>
          <w:sz w:val="22"/>
          <w:szCs w:val="22"/>
          <w:lang w:eastAsia="en-US"/>
        </w:rPr>
        <w:t xml:space="preserve">, именуемое в дальнейшем «Страховщик», в лице </w:t>
      </w:r>
      <w:r>
        <w:rPr>
          <w:sz w:val="22"/>
          <w:szCs w:val="22"/>
          <w:lang w:eastAsia="en-US"/>
        </w:rPr>
        <w:t xml:space="preserve">____________________________________</w:t>
      </w:r>
      <w:r>
        <w:rPr>
          <w:sz w:val="22"/>
          <w:szCs w:val="22"/>
          <w:lang w:eastAsia="en-US"/>
        </w:rPr>
        <w:t xml:space="preserve"> действующего на основании </w:t>
      </w:r>
      <w:r>
        <w:rPr>
          <w:sz w:val="22"/>
          <w:szCs w:val="22"/>
          <w:lang w:eastAsia="en-US"/>
        </w:rPr>
        <w:t xml:space="preserve">______________________________</w:t>
      </w:r>
      <w:r>
        <w:rPr>
          <w:sz w:val="22"/>
          <w:szCs w:val="22"/>
          <w:lang w:eastAsia="en-US"/>
        </w:rPr>
        <w:t xml:space="preserve">, с другой стороны</w:t>
      </w:r>
      <w:r>
        <w:rPr>
          <w:rFonts w:eastAsia="Calibri"/>
          <w:sz w:val="22"/>
          <w:szCs w:val="22"/>
          <w:lang w:eastAsia="en-US"/>
        </w:rPr>
        <w:t xml:space="preserve">, вместе именуемые в дальнейшем «Стороны», </w:t>
      </w:r>
      <w:r>
        <w:rPr>
          <w:sz w:val="22"/>
          <w:szCs w:val="22"/>
        </w:rPr>
        <w:t xml:space="preserve">в соответствии с пунктом 4 части 1 статьи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</w:t>
      </w:r>
      <w:r>
        <w:rPr>
          <w:sz w:val="22"/>
          <w:szCs w:val="22"/>
        </w:rPr>
        <w:t xml:space="preserve">е – Федеральный закон №44-ФЗ),</w:t>
      </w:r>
      <w:r>
        <w:rPr>
          <w:sz w:val="22"/>
          <w:szCs w:val="22"/>
        </w:rPr>
        <w:t xml:space="preserve">заключили настоящий Государственный контракт (далее - Контракт) о нижеследующем</w:t>
      </w:r>
      <w:r>
        <w:rPr>
          <w:rFonts w:eastAsia="Calibri"/>
          <w:sz w:val="22"/>
          <w:szCs w:val="22"/>
          <w:lang w:eastAsia="en-US"/>
        </w:rPr>
        <w:t xml:space="preserve">: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firstLine="709"/>
        <w:jc w:val="right"/>
        <w:spacing w:line="240" w:lineRule="exac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0"/>
          <w:numId w:val="1"/>
        </w:numPr>
        <w:rPr>
          <w:b/>
          <w:spacing w:val="-2"/>
          <w:sz w:val="22"/>
          <w:szCs w:val="22"/>
          <w:lang w:eastAsia="ar-SA"/>
        </w:rPr>
      </w:pPr>
      <w:r>
        <w:rPr>
          <w:b/>
          <w:spacing w:val="-2"/>
          <w:sz w:val="22"/>
          <w:szCs w:val="22"/>
          <w:lang w:eastAsia="ar-SA"/>
        </w:rPr>
        <w:t xml:space="preserve">Предмет Контракта</w:t>
      </w:r>
      <w:r>
        <w:rPr>
          <w:b/>
          <w:spacing w:val="-2"/>
          <w:sz w:val="22"/>
          <w:szCs w:val="22"/>
          <w:lang w:eastAsia="ar-SA"/>
        </w:rPr>
      </w:r>
      <w:r>
        <w:rPr>
          <w:b/>
          <w:spacing w:val="-2"/>
          <w:sz w:val="22"/>
          <w:szCs w:val="22"/>
          <w:lang w:eastAsia="ar-SA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Исполнитель (далее – Страховщик) обязуется оказать услуги по страхованию ответственности владельца беспилотного воздушного судна (далее – БВС) перед третьими лицами (далее – Услуги) в соответствии с Контрактом,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Результатом оказания Услуг является предоставление договора страхования (страхового полиса) гражданской ответственности владельцев и эксплуатантов БВС.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Настоящий контракт заключен в пользу третьих лиц (Выгодоприобретателей), жизни, здоровью (включая животных) и имуществу которых Страхователем может быть причинен вред в результате авиационного происшествия с участием БВС Страхователя.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Страхователь является собственником и </w:t>
      </w:r>
      <w:r>
        <w:rPr>
          <w:sz w:val="22"/>
          <w:szCs w:val="22"/>
        </w:rPr>
        <w:t xml:space="preserve">эксплуатантом</w:t>
      </w:r>
      <w:r>
        <w:rPr>
          <w:sz w:val="22"/>
          <w:szCs w:val="22"/>
        </w:rPr>
        <w:t xml:space="preserve"> БВС.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Оказание Услуг осуществляется Страховщиком в соо</w:t>
      </w:r>
      <w:r>
        <w:rPr>
          <w:sz w:val="22"/>
          <w:szCs w:val="22"/>
        </w:rPr>
        <w:t xml:space="preserve">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их качеству, в соответствии с условиями Контракта и Правилами страхования.</w:t>
      </w:r>
      <w:r>
        <w:rPr>
          <w:spacing w:val="-2"/>
          <w:sz w:val="22"/>
          <w:szCs w:val="22"/>
          <w:lang w:eastAsia="ar-SA"/>
        </w:rPr>
        <w:t xml:space="preserve"> Привлечение соисполнителя не допускается.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Страховщик оказывает Услуги на основании лицензии </w:t>
      </w:r>
      <w:r>
        <w:rPr>
          <w:sz w:val="22"/>
          <w:szCs w:val="22"/>
        </w:rPr>
        <w:t xml:space="preserve">______________________.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Страховщик обязуется предоставить страховой полис в течении пяти календарных дней с даты заключения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Место оказания услуг: страховой полис предоставляется Страховщиком по адрес</w:t>
      </w:r>
      <w:r>
        <w:rPr>
          <w:sz w:val="22"/>
          <w:szCs w:val="22"/>
          <w:highlight w:val="white"/>
        </w:rPr>
        <w:t xml:space="preserve">у Страхователя: г. Нижний Новгород, ул.Максима Горького, д.150, каб.810.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Период страховани</w:t>
      </w:r>
      <w:r>
        <w:rPr>
          <w:sz w:val="22"/>
          <w:szCs w:val="22"/>
          <w:highlight w:val="white"/>
        </w:rPr>
        <w:t xml:space="preserve">я: 12 месяцев (с 00 ч 00 мин «01» июня 2026 по 24 ч 00 мин  «31» мая </w:t>
      </w:r>
      <w:r>
        <w:rPr>
          <w:sz w:val="22"/>
          <w:szCs w:val="22"/>
          <w:highlight w:val="white"/>
        </w:rPr>
        <w:t xml:space="preserve"> 2027).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567"/>
        <w:jc w:val="both"/>
        <w:tabs>
          <w:tab w:val="left" w:pos="993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0"/>
          <w:numId w:val="1"/>
        </w:numPr>
        <w:tabs>
          <w:tab w:val="left" w:pos="3686" w:leader="none"/>
        </w:tabs>
        <w:rPr>
          <w:b/>
          <w:spacing w:val="-2"/>
          <w:sz w:val="22"/>
          <w:szCs w:val="22"/>
          <w:lang w:eastAsia="ar-SA"/>
        </w:rPr>
      </w:pPr>
      <w:r>
        <w:rPr>
          <w:b/>
          <w:spacing w:val="-2"/>
          <w:sz w:val="22"/>
          <w:szCs w:val="22"/>
          <w:lang w:eastAsia="ar-SA"/>
        </w:rPr>
        <w:t xml:space="preserve">Объект страхования</w:t>
      </w:r>
      <w:r>
        <w:rPr>
          <w:b/>
          <w:spacing w:val="-2"/>
          <w:sz w:val="22"/>
          <w:szCs w:val="22"/>
          <w:lang w:eastAsia="ar-SA"/>
        </w:rPr>
      </w:r>
      <w:r>
        <w:rPr>
          <w:b/>
          <w:spacing w:val="-2"/>
          <w:sz w:val="22"/>
          <w:szCs w:val="22"/>
          <w:lang w:eastAsia="ar-SA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pacing w:val="-2"/>
          <w:sz w:val="22"/>
          <w:szCs w:val="22"/>
          <w:lang w:eastAsia="ar-SA"/>
        </w:rPr>
      </w:pPr>
      <w:r>
        <w:rPr>
          <w:spacing w:val="-2"/>
          <w:sz w:val="22"/>
          <w:szCs w:val="22"/>
          <w:lang w:eastAsia="ar-SA"/>
        </w:rPr>
        <w:t xml:space="preserve">Объектом страхования являются имущественные интересы Страхователя, связанные с его обязанностью в порядке, предусмотренном зако</w:t>
      </w:r>
      <w:r>
        <w:rPr>
          <w:spacing w:val="-2"/>
          <w:sz w:val="22"/>
          <w:szCs w:val="22"/>
          <w:lang w:eastAsia="ar-SA"/>
        </w:rPr>
        <w:t xml:space="preserve">нодательством, возместить вред, причиненный жизни, здоровью и/или имуществу третьих лиц, вследствие осуществления им застрахованной деятельности, связанной с эксплуатацией (использованием) БВС, указанного в п. 2.2. Контракта, в период действия страхования.</w:t>
      </w:r>
      <w:r>
        <w:rPr>
          <w:spacing w:val="-2"/>
          <w:sz w:val="22"/>
          <w:szCs w:val="22"/>
          <w:lang w:eastAsia="ar-SA"/>
        </w:rPr>
      </w:r>
      <w:r>
        <w:rPr>
          <w:spacing w:val="-2"/>
          <w:sz w:val="22"/>
          <w:szCs w:val="22"/>
          <w:lang w:eastAsia="ar-SA"/>
        </w:rPr>
      </w:r>
    </w:p>
    <w:p>
      <w:pPr>
        <w:ind w:firstLine="567"/>
        <w:jc w:val="both"/>
        <w:rPr>
          <w:spacing w:val="-2"/>
          <w:sz w:val="22"/>
          <w:szCs w:val="22"/>
          <w:lang w:eastAsia="ar-SA"/>
        </w:rPr>
      </w:pPr>
      <w:r>
        <w:rPr>
          <w:spacing w:val="-2"/>
          <w:sz w:val="22"/>
          <w:szCs w:val="22"/>
          <w:lang w:eastAsia="ar-SA"/>
        </w:rPr>
        <w:t xml:space="preserve">2.2. БВС:</w:t>
      </w:r>
      <w:r>
        <w:rPr>
          <w:spacing w:val="-2"/>
          <w:sz w:val="22"/>
          <w:szCs w:val="22"/>
          <w:lang w:eastAsia="ar-SA"/>
        </w:rPr>
      </w:r>
      <w:r>
        <w:rPr>
          <w:spacing w:val="-2"/>
          <w:sz w:val="22"/>
          <w:szCs w:val="22"/>
          <w:lang w:eastAsia="ar-SA"/>
        </w:rPr>
      </w:r>
    </w:p>
    <w:tbl>
      <w:tblPr>
        <w:tblpPr w:horzAnchor="margin" w:tblpXSpec="left" w:vertAnchor="text" w:tblpY="64" w:leftFromText="180" w:topFromText="0" w:rightFromText="180" w:bottomFromText="0"/>
        <w:tblW w:w="100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967"/>
        <w:gridCol w:w="2310"/>
        <w:gridCol w:w="1140"/>
        <w:gridCol w:w="1568"/>
        <w:gridCol w:w="2538"/>
      </w:tblGrid>
      <w:tr>
        <w:tblPrEx/>
        <w:trPr>
          <w:cantSplit/>
          <w:trHeight w:val="7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jc w:val="center"/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п/п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7" w:type="dxa"/>
            <w:vAlign w:val="center"/>
            <w:textDirection w:val="lrTb"/>
            <w:noWrap w:val="false"/>
          </w:tcPr>
          <w:p>
            <w:pPr>
              <w:jc w:val="center"/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Наименование, тип БВС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0" w:type="dxa"/>
            <w:vAlign w:val="center"/>
            <w:textDirection w:val="lrTb"/>
            <w:noWrap w:val="false"/>
          </w:tcPr>
          <w:p>
            <w:pPr>
              <w:ind w:left="-107" w:right="-108"/>
              <w:jc w:val="center"/>
              <w:spacing w:after="200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Серийный (заводской) номер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200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Год выпуска 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8" w:type="dxa"/>
            <w:vAlign w:val="center"/>
            <w:textDirection w:val="lrTb"/>
            <w:noWrap w:val="false"/>
          </w:tcPr>
          <w:p>
            <w:pPr>
              <w:ind w:firstLine="33"/>
              <w:jc w:val="center"/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Учетный номер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8" w:type="dxa"/>
            <w:vAlign w:val="center"/>
            <w:textDirection w:val="lrTb"/>
            <w:noWrap w:val="false"/>
          </w:tcPr>
          <w:p>
            <w:pPr>
              <w:ind w:firstLine="33"/>
              <w:jc w:val="center"/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Максимальная взлетная масса, кг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1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jc w:val="center"/>
              <w:spacing w:after="20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7" w:type="dxa"/>
            <w:vAlign w:val="center"/>
            <w:textDirection w:val="lrTb"/>
            <w:noWrap w:val="false"/>
          </w:tcPr>
          <w:p>
            <w:pPr>
              <w:jc w:val="center"/>
              <w:spacing w:after="20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</w:r>
            <w:r>
              <w:rPr>
                <w:sz w:val="22"/>
                <w:szCs w:val="22"/>
                <w:highlight w:val="white"/>
                <w:lang w:eastAsia="en-US"/>
              </w:rPr>
              <w:t xml:space="preserve">БАС Геоскан 401 Лидар</w:t>
            </w:r>
            <w:r>
              <w:rPr>
                <w:sz w:val="22"/>
                <w:szCs w:val="22"/>
                <w:highlight w:val="whit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0" w:type="dxa"/>
            <w:vAlign w:val="center"/>
            <w:textDirection w:val="lrTb"/>
            <w:noWrap w:val="false"/>
          </w:tcPr>
          <w:p>
            <w:pPr>
              <w:jc w:val="center"/>
              <w:spacing w:after="20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white"/>
                <w:lang w:eastAsia="en-US"/>
              </w:rPr>
              <w:t xml:space="preserve">РАМ310100163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20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 xml:space="preserve">202</w:t>
            </w:r>
            <w:r>
              <w:rPr>
                <w:sz w:val="22"/>
                <w:szCs w:val="22"/>
                <w:highlight w:val="white"/>
              </w:rPr>
              <w:t xml:space="preserve">4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200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1003у69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8" w:type="dxa"/>
            <w:vAlign w:val="center"/>
            <w:textDirection w:val="lrTb"/>
            <w:noWrap w:val="false"/>
          </w:tcPr>
          <w:p>
            <w:pPr>
              <w:jc w:val="center"/>
              <w:spacing w:after="20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9,3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</w:tr>
    </w:tbl>
    <w:p>
      <w:pPr>
        <w:ind w:firstLine="567"/>
        <w:jc w:val="both"/>
        <w:rPr>
          <w:spacing w:val="-2"/>
          <w:sz w:val="22"/>
          <w:szCs w:val="22"/>
          <w:lang w:eastAsia="ar-SA"/>
        </w:rPr>
      </w:pPr>
      <w:r>
        <w:rPr>
          <w:spacing w:val="-2"/>
          <w:sz w:val="22"/>
          <w:szCs w:val="22"/>
          <w:lang w:eastAsia="ar-SA"/>
        </w:rPr>
        <w:t xml:space="preserve">2.3. Использование БВС (застрахованная деятельность): деятельность Страхователя, св</w:t>
      </w:r>
      <w:r>
        <w:rPr>
          <w:spacing w:val="-2"/>
          <w:sz w:val="22"/>
          <w:szCs w:val="22"/>
          <w:lang w:eastAsia="ar-SA"/>
        </w:rPr>
        <w:t xml:space="preserve">язанная с эксплуатацией БВС: аэрофототопографические работы по топографической съемке местности, определение координат точек границ и контуров объектов недвижимости при выполнении кадастровых работ в целях осуществления государственного земельного надзора.</w:t>
      </w:r>
      <w:r>
        <w:rPr>
          <w:spacing w:val="-2"/>
          <w:sz w:val="22"/>
          <w:szCs w:val="22"/>
          <w:lang w:eastAsia="ar-SA"/>
        </w:rPr>
      </w:r>
      <w:r>
        <w:rPr>
          <w:spacing w:val="-2"/>
          <w:sz w:val="22"/>
          <w:szCs w:val="22"/>
          <w:lang w:eastAsia="ar-SA"/>
        </w:rPr>
      </w:r>
    </w:p>
    <w:p>
      <w:pPr>
        <w:ind w:firstLine="567"/>
        <w:jc w:val="both"/>
        <w:rPr>
          <w:spacing w:val="-2"/>
          <w:sz w:val="22"/>
          <w:szCs w:val="22"/>
          <w:lang w:eastAsia="ar-SA"/>
        </w:rPr>
      </w:pPr>
      <w:r>
        <w:rPr>
          <w:spacing w:val="-2"/>
          <w:sz w:val="22"/>
          <w:szCs w:val="22"/>
          <w:lang w:eastAsia="ar-SA"/>
        </w:rPr>
        <w:t xml:space="preserve">2.4. Территория страхования - Российская Федерация, исключая полеты в запрещенных зонах и на территории суб</w:t>
      </w:r>
      <w:r>
        <w:rPr>
          <w:spacing w:val="-2"/>
          <w:sz w:val="22"/>
          <w:szCs w:val="22"/>
          <w:lang w:eastAsia="ar-SA"/>
        </w:rPr>
        <w:t xml:space="preserve">ъектов Российской Федерации, в которых ведется война, любые военные и боевые действия, военные мероприятия, вторжение/нападение, гражданская война, контртеррористические операции, в которых объявлено военное положение, ведутся военные операции любого рода.</w:t>
      </w:r>
      <w:r>
        <w:rPr>
          <w:spacing w:val="-2"/>
          <w:sz w:val="22"/>
          <w:szCs w:val="22"/>
          <w:lang w:eastAsia="ar-SA"/>
        </w:rPr>
      </w:r>
      <w:r>
        <w:rPr>
          <w:spacing w:val="-2"/>
          <w:sz w:val="22"/>
          <w:szCs w:val="22"/>
          <w:lang w:eastAsia="ar-SA"/>
        </w:rPr>
      </w:r>
    </w:p>
    <w:p>
      <w:pPr>
        <w:ind w:firstLine="567"/>
        <w:jc w:val="both"/>
        <w:rPr>
          <w:spacing w:val="-2"/>
          <w:sz w:val="22"/>
          <w:szCs w:val="22"/>
          <w:highlight w:val="white"/>
        </w:rPr>
      </w:pPr>
      <w:r>
        <w:rPr>
          <w:spacing w:val="-2"/>
          <w:sz w:val="22"/>
          <w:szCs w:val="22"/>
          <w:highlight w:val="white"/>
          <w:lang w:eastAsia="ar-SA"/>
        </w:rPr>
        <w:t xml:space="preserve">2.5. Срок оформления Страхового полиса - </w:t>
      </w:r>
      <w:r>
        <w:rPr>
          <w:spacing w:val="-2"/>
          <w:sz w:val="22"/>
          <w:szCs w:val="22"/>
          <w:highlight w:val="white"/>
          <w:lang w:eastAsia="ar-SA"/>
        </w:rPr>
        <w:t xml:space="preserve">в течение 5 (пяти) рабочих дней со дня заключения Контракта.</w:t>
      </w:r>
      <w:r>
        <w:rPr>
          <w:spacing w:val="-2"/>
          <w:sz w:val="22"/>
          <w:szCs w:val="22"/>
          <w:highlight w:val="white"/>
        </w:rPr>
      </w:r>
      <w:r>
        <w:rPr>
          <w:spacing w:val="-2"/>
          <w:sz w:val="22"/>
          <w:szCs w:val="22"/>
          <w:highlight w:val="white"/>
        </w:rPr>
      </w:r>
    </w:p>
    <w:p>
      <w:pPr>
        <w:ind w:firstLine="567"/>
        <w:jc w:val="both"/>
        <w:rPr>
          <w:highlight w:val="white"/>
        </w:rPr>
      </w:pPr>
      <w:r>
        <w:rPr>
          <w:spacing w:val="-2"/>
          <w:sz w:val="22"/>
          <w:szCs w:val="22"/>
          <w:highlight w:val="white"/>
          <w:lang w:eastAsia="ar-SA"/>
        </w:rPr>
        <w:t xml:space="preserve">2</w:t>
      </w:r>
      <w:r>
        <w:rPr>
          <w:spacing w:val="-2"/>
          <w:sz w:val="22"/>
          <w:szCs w:val="22"/>
          <w:highlight w:val="white"/>
          <w:lang w:eastAsia="ar-SA"/>
        </w:rPr>
        <w:t xml:space="preserve">.6. Передача Страхового полиса осуществляется по адресу: </w:t>
      </w:r>
      <w:r>
        <w:rPr>
          <w:spacing w:val="-2"/>
          <w:sz w:val="22"/>
          <w:szCs w:val="22"/>
          <w:highlight w:val="white"/>
          <w:lang w:eastAsia="ar-SA"/>
        </w:rPr>
        <w:t xml:space="preserve">603000</w:t>
      </w:r>
      <w:r>
        <w:rPr>
          <w:spacing w:val="-2"/>
          <w:sz w:val="22"/>
          <w:szCs w:val="22"/>
          <w:highlight w:val="white"/>
          <w:lang w:eastAsia="ar-SA"/>
        </w:rPr>
        <w:t xml:space="preserve">, г.Нижний Новгород</w:t>
      </w:r>
      <w:r>
        <w:rPr>
          <w:spacing w:val="-2"/>
          <w:sz w:val="22"/>
          <w:szCs w:val="22"/>
          <w:highlight w:val="white"/>
          <w:lang w:eastAsia="ar-SA"/>
        </w:rPr>
        <w:t xml:space="preserve">, </w:t>
      </w:r>
      <w:r>
        <w:rPr>
          <w:spacing w:val="-2"/>
          <w:sz w:val="22"/>
          <w:szCs w:val="22"/>
          <w:highlight w:val="white"/>
          <w:lang w:eastAsia="ar-SA"/>
        </w:rPr>
        <w:t xml:space="preserve"> ул.Максима Горького 150, каб. 810 </w:t>
      </w:r>
      <w:r>
        <w:rPr>
          <w:spacing w:val="-2"/>
          <w:sz w:val="22"/>
          <w:szCs w:val="22"/>
          <w:highlight w:val="white"/>
          <w:lang w:eastAsia="ar-SA"/>
        </w:rPr>
        <w:t xml:space="preserve">, в рабочее время Страхователя в поне</w:t>
      </w:r>
      <w:r>
        <w:rPr>
          <w:spacing w:val="-2"/>
          <w:sz w:val="22"/>
          <w:szCs w:val="22"/>
          <w:highlight w:val="white"/>
          <w:lang w:eastAsia="ar-SA"/>
        </w:rPr>
        <w:t xml:space="preserve">дельник-четверг с 08:30 до 17:30</w:t>
      </w:r>
      <w:r>
        <w:rPr>
          <w:spacing w:val="-2"/>
          <w:sz w:val="22"/>
          <w:szCs w:val="22"/>
          <w:highlight w:val="white"/>
          <w:lang w:eastAsia="ar-SA"/>
        </w:rPr>
        <w:t xml:space="preserve"> часов, обед с 13:00 до 13:48 </w:t>
      </w:r>
      <w:r>
        <w:rPr>
          <w:spacing w:val="-2"/>
          <w:sz w:val="22"/>
          <w:szCs w:val="22"/>
          <w:highlight w:val="white"/>
          <w:lang w:eastAsia="ar-SA"/>
        </w:rPr>
        <w:t xml:space="preserve">(время Московское), пятница с 08:30 до 16.30 </w:t>
      </w:r>
      <w:r>
        <w:rPr>
          <w:spacing w:val="-2"/>
          <w:sz w:val="22"/>
          <w:szCs w:val="22"/>
          <w:highlight w:val="white"/>
          <w:lang w:eastAsia="ar-SA"/>
        </w:rPr>
        <w:t xml:space="preserve"> часов, обед</w:t>
      </w:r>
      <w:r>
        <w:rPr>
          <w:spacing w:val="-2"/>
          <w:sz w:val="22"/>
          <w:szCs w:val="22"/>
          <w:highlight w:val="white"/>
          <w:lang w:eastAsia="ar-SA"/>
        </w:rPr>
        <w:t xml:space="preserve"> с 13:00 до 13:45 (время Московское</w:t>
      </w:r>
      <w:r>
        <w:rPr>
          <w:spacing w:val="-2"/>
          <w:sz w:val="22"/>
          <w:szCs w:val="22"/>
          <w:highlight w:val="white"/>
          <w:lang w:eastAsia="ar-SA"/>
        </w:rPr>
        <w:t xml:space="preserve">). Оформление и передача Страхового полиса дополнительно не оплачивается. 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rPr>
          <w:spacing w:val="-2"/>
          <w:sz w:val="22"/>
          <w:szCs w:val="22"/>
          <w:highlight w:val="white"/>
        </w:rPr>
      </w:pPr>
      <w:r>
        <w:rPr>
          <w:spacing w:val="-2"/>
          <w:sz w:val="22"/>
          <w:szCs w:val="22"/>
          <w:highlight w:val="white"/>
          <w:lang w:eastAsia="ar-SA"/>
        </w:rPr>
        <w:t xml:space="preserve">2.7. В случае утраты Страхователем Страхового полиса в период его действия на основании его письменного заявления Страховщик выдает дубликат полиса.</w:t>
      </w:r>
      <w:r>
        <w:rPr>
          <w:spacing w:val="-2"/>
          <w:sz w:val="22"/>
          <w:szCs w:val="22"/>
          <w:highlight w:val="white"/>
        </w:rPr>
      </w:r>
      <w:r>
        <w:rPr>
          <w:spacing w:val="-2"/>
          <w:sz w:val="22"/>
          <w:szCs w:val="22"/>
          <w:highlight w:val="white"/>
        </w:rPr>
      </w:r>
    </w:p>
    <w:p>
      <w:pPr>
        <w:jc w:val="both"/>
        <w:spacing w:line="240" w:lineRule="exact"/>
        <w:rPr>
          <w:spacing w:val="-2"/>
          <w:sz w:val="22"/>
          <w:szCs w:val="22"/>
          <w:highlight w:val="white"/>
        </w:rPr>
      </w:pPr>
      <w:r>
        <w:rPr>
          <w:spacing w:val="-2"/>
          <w:sz w:val="22"/>
          <w:szCs w:val="22"/>
          <w:highlight w:val="white"/>
          <w:lang w:eastAsia="ar-SA"/>
        </w:rPr>
      </w:r>
      <w:r>
        <w:rPr>
          <w:spacing w:val="-2"/>
          <w:sz w:val="22"/>
          <w:szCs w:val="22"/>
          <w:highlight w:val="white"/>
        </w:rPr>
      </w:r>
      <w:r>
        <w:rPr>
          <w:spacing w:val="-2"/>
          <w:sz w:val="22"/>
          <w:szCs w:val="22"/>
          <w:highlight w:val="white"/>
        </w:rPr>
      </w:r>
    </w:p>
    <w:p>
      <w:pPr>
        <w:numPr>
          <w:ilvl w:val="0"/>
          <w:numId w:val="1"/>
        </w:numPr>
        <w:ind w:left="0" w:firstLine="567"/>
        <w:jc w:val="center"/>
        <w:tabs>
          <w:tab w:val="left" w:pos="851" w:leader="none"/>
          <w:tab w:val="left" w:pos="3686" w:leader="none"/>
        </w:tabs>
        <w:rPr>
          <w:b/>
          <w:spacing w:val="-2"/>
          <w:sz w:val="22"/>
          <w:szCs w:val="22"/>
          <w:highlight w:val="white"/>
        </w:rPr>
      </w:pPr>
      <w:r>
        <w:rPr>
          <w:b/>
          <w:spacing w:val="-2"/>
          <w:sz w:val="22"/>
          <w:szCs w:val="22"/>
          <w:highlight w:val="white"/>
          <w:lang w:eastAsia="ar-SA"/>
        </w:rPr>
        <w:t xml:space="preserve">Страховой случай</w:t>
      </w:r>
      <w:r>
        <w:rPr>
          <w:b/>
          <w:spacing w:val="-2"/>
          <w:sz w:val="22"/>
          <w:szCs w:val="22"/>
          <w:highlight w:val="white"/>
        </w:rPr>
      </w:r>
      <w:r>
        <w:rPr>
          <w:b/>
          <w:spacing w:val="-2"/>
          <w:sz w:val="22"/>
          <w:szCs w:val="22"/>
          <w:highlight w:val="white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1134" w:leader="none"/>
        </w:tabs>
        <w:rPr>
          <w:spacing w:val="-2"/>
          <w:sz w:val="22"/>
          <w:szCs w:val="22"/>
          <w:highlight w:val="white"/>
        </w:rPr>
      </w:pPr>
      <w:r>
        <w:rPr>
          <w:spacing w:val="-2"/>
          <w:sz w:val="22"/>
          <w:szCs w:val="22"/>
          <w:highlight w:val="white"/>
          <w:lang w:eastAsia="ar-SA"/>
        </w:rPr>
        <w:t xml:space="preserve">Страховым случаем признается – факт наступлен</w:t>
      </w:r>
      <w:r>
        <w:rPr>
          <w:spacing w:val="-2"/>
          <w:sz w:val="22"/>
          <w:szCs w:val="22"/>
          <w:highlight w:val="white"/>
          <w:lang w:eastAsia="ar-SA"/>
        </w:rPr>
        <w:t xml:space="preserve">ия в соответствии с законодательством Российской Федерации гражданской ответственности Страхователя за причинение вреда жизни, здоровью и/или имуществу третьих лиц при осуществлении Страхователем застрахованной деятельности, указанной в п. 2.3. Контракта. </w:t>
      </w:r>
      <w:r>
        <w:rPr>
          <w:spacing w:val="-2"/>
          <w:sz w:val="22"/>
          <w:szCs w:val="22"/>
          <w:highlight w:val="white"/>
        </w:rPr>
      </w:r>
      <w:r>
        <w:rPr>
          <w:spacing w:val="-2"/>
          <w:sz w:val="22"/>
          <w:szCs w:val="22"/>
          <w:highlight w:val="white"/>
        </w:rPr>
      </w:r>
    </w:p>
    <w:p>
      <w:pPr>
        <w:numPr>
          <w:ilvl w:val="1"/>
          <w:numId w:val="1"/>
        </w:numPr>
        <w:ind w:left="0" w:firstLine="567"/>
        <w:jc w:val="both"/>
        <w:tabs>
          <w:tab w:val="left" w:pos="1134" w:leader="none"/>
        </w:tabs>
        <w:rPr>
          <w:spacing w:val="-2"/>
          <w:sz w:val="22"/>
          <w:szCs w:val="22"/>
          <w:highlight w:val="white"/>
        </w:rPr>
      </w:pPr>
      <w:r>
        <w:rPr>
          <w:spacing w:val="-2"/>
          <w:sz w:val="22"/>
          <w:szCs w:val="22"/>
          <w:highlight w:val="white"/>
          <w:lang w:eastAsia="ar-SA"/>
        </w:rPr>
        <w:t xml:space="preserve"> Отсутствуют доказательства того, что вред был причинен вследствие умысла Страхователя или третьих лиц, либо действия непреодолимой силы.</w:t>
      </w:r>
      <w:r>
        <w:rPr>
          <w:spacing w:val="-2"/>
          <w:sz w:val="22"/>
          <w:szCs w:val="22"/>
          <w:highlight w:val="white"/>
        </w:rPr>
      </w:r>
      <w:r>
        <w:rPr>
          <w:spacing w:val="-2"/>
          <w:sz w:val="22"/>
          <w:szCs w:val="22"/>
          <w:highlight w:val="white"/>
        </w:rPr>
      </w:r>
    </w:p>
    <w:p>
      <w:pPr>
        <w:spacing w:line="240" w:lineRule="exact"/>
        <w:rPr>
          <w:spacing w:val="-2"/>
          <w:sz w:val="22"/>
          <w:szCs w:val="22"/>
          <w:highlight w:val="white"/>
        </w:rPr>
      </w:pPr>
      <w:r>
        <w:rPr>
          <w:spacing w:val="-2"/>
          <w:sz w:val="22"/>
          <w:szCs w:val="22"/>
          <w:highlight w:val="white"/>
          <w:lang w:eastAsia="ar-SA"/>
        </w:rPr>
      </w:r>
      <w:r>
        <w:rPr>
          <w:spacing w:val="-2"/>
          <w:sz w:val="22"/>
          <w:szCs w:val="22"/>
          <w:highlight w:val="white"/>
        </w:rPr>
      </w:r>
      <w:r>
        <w:rPr>
          <w:spacing w:val="-2"/>
          <w:sz w:val="22"/>
          <w:szCs w:val="22"/>
          <w:highlight w:val="white"/>
        </w:rPr>
      </w:r>
    </w:p>
    <w:p>
      <w:pPr>
        <w:numPr>
          <w:ilvl w:val="0"/>
          <w:numId w:val="1"/>
        </w:numPr>
        <w:ind w:left="0" w:firstLine="0"/>
        <w:jc w:val="center"/>
        <w:tabs>
          <w:tab w:val="left" w:pos="284" w:leader="none"/>
        </w:tabs>
        <w:rPr>
          <w:b/>
          <w:spacing w:val="-2"/>
          <w:sz w:val="22"/>
          <w:szCs w:val="22"/>
          <w:highlight w:val="white"/>
        </w:rPr>
      </w:pPr>
      <w:r>
        <w:rPr>
          <w:b/>
          <w:spacing w:val="-2"/>
          <w:sz w:val="22"/>
          <w:szCs w:val="22"/>
          <w:highlight w:val="white"/>
          <w:lang w:eastAsia="ar-SA"/>
        </w:rPr>
        <w:t xml:space="preserve">Страховая сумма и франшиза</w:t>
      </w:r>
      <w:r>
        <w:rPr>
          <w:b/>
          <w:spacing w:val="-2"/>
          <w:sz w:val="22"/>
          <w:szCs w:val="22"/>
          <w:highlight w:val="white"/>
        </w:rPr>
      </w:r>
      <w:r>
        <w:rPr>
          <w:b/>
          <w:spacing w:val="-2"/>
          <w:sz w:val="22"/>
          <w:szCs w:val="22"/>
          <w:highlight w:val="white"/>
        </w:rPr>
      </w:r>
    </w:p>
    <w:p>
      <w:pPr>
        <w:ind w:firstLine="567"/>
        <w:jc w:val="both"/>
        <w:rPr>
          <w:spacing w:val="-2"/>
          <w:sz w:val="22"/>
          <w:szCs w:val="22"/>
          <w:highlight w:val="white"/>
        </w:rPr>
      </w:pPr>
      <w:r>
        <w:rPr>
          <w:spacing w:val="-2"/>
          <w:sz w:val="22"/>
          <w:szCs w:val="22"/>
          <w:highlight w:val="white"/>
          <w:lang w:eastAsia="ar-SA"/>
        </w:rPr>
        <w:t xml:space="preserve">4.1. Страховая сумма (сумма, в пределах которой Страховщик обязуется выплатить страховое возмещение по договору страхования) составляет</w:t>
      </w:r>
      <w:r>
        <w:rPr>
          <w:spacing w:val="-2"/>
          <w:sz w:val="22"/>
          <w:szCs w:val="22"/>
          <w:highlight w:val="white"/>
          <w:lang w:eastAsia="ar-SA"/>
        </w:rPr>
        <w:t xml:space="preserve"> 2 000 000,00 (два миллиона) рублей 00 копеек, НДС не предусмотрен.</w:t>
      </w:r>
      <w:r>
        <w:rPr>
          <w:spacing w:val="-2"/>
          <w:sz w:val="22"/>
          <w:szCs w:val="22"/>
          <w:highlight w:val="white"/>
        </w:rPr>
      </w:r>
      <w:r>
        <w:rPr>
          <w:spacing w:val="-2"/>
          <w:sz w:val="22"/>
          <w:szCs w:val="22"/>
          <w:highlight w:val="white"/>
        </w:rPr>
      </w:r>
    </w:p>
    <w:p>
      <w:pPr>
        <w:ind w:firstLine="567"/>
        <w:jc w:val="both"/>
        <w:rPr>
          <w:spacing w:val="-2"/>
          <w:sz w:val="22"/>
          <w:szCs w:val="22"/>
          <w:lang w:eastAsia="ar-SA"/>
        </w:rPr>
      </w:pPr>
      <w:r>
        <w:rPr>
          <w:spacing w:val="-2"/>
          <w:sz w:val="22"/>
          <w:szCs w:val="22"/>
          <w:highlight w:val="white"/>
          <w:lang w:eastAsia="ar-SA"/>
        </w:rPr>
        <w:t xml:space="preserve">4.2. Ст</w:t>
      </w:r>
      <w:r>
        <w:rPr>
          <w:spacing w:val="-2"/>
          <w:sz w:val="22"/>
          <w:szCs w:val="22"/>
          <w:lang w:eastAsia="ar-SA"/>
        </w:rPr>
        <w:t xml:space="preserve">раховая сумма (лимит ответственности), указанная в п. 4.1. Контракта является предельной суммой страховых выплат по всем страховым случаям, произошедшим в период страхования, указанный в п. 2.7. Контракта.</w:t>
      </w:r>
      <w:r>
        <w:rPr>
          <w:spacing w:val="-2"/>
          <w:sz w:val="22"/>
          <w:szCs w:val="22"/>
          <w:lang w:eastAsia="ar-SA"/>
        </w:rPr>
      </w:r>
      <w:r>
        <w:rPr>
          <w:spacing w:val="-2"/>
          <w:sz w:val="22"/>
          <w:szCs w:val="22"/>
          <w:lang w:eastAsia="ar-SA"/>
        </w:rPr>
      </w:r>
    </w:p>
    <w:p>
      <w:pPr>
        <w:ind w:firstLine="567"/>
        <w:jc w:val="both"/>
        <w:rPr>
          <w:spacing w:val="-2"/>
          <w:sz w:val="22"/>
          <w:szCs w:val="22"/>
          <w:lang w:eastAsia="ar-SA"/>
        </w:rPr>
      </w:pPr>
      <w:r>
        <w:rPr>
          <w:spacing w:val="-2"/>
          <w:sz w:val="22"/>
          <w:szCs w:val="22"/>
          <w:lang w:eastAsia="ar-SA"/>
        </w:rPr>
        <w:t xml:space="preserve">4.3. При наступлении страхового случая Страховщик обязуется выплатить страховое возмещение в порядке, предусмотренном Правилами страхования. </w:t>
      </w:r>
      <w:r>
        <w:rPr>
          <w:spacing w:val="-2"/>
          <w:sz w:val="22"/>
          <w:szCs w:val="22"/>
          <w:lang w:eastAsia="ar-SA"/>
        </w:rPr>
      </w:r>
      <w:r>
        <w:rPr>
          <w:spacing w:val="-2"/>
          <w:sz w:val="22"/>
          <w:szCs w:val="22"/>
          <w:lang w:eastAsia="ar-SA"/>
        </w:rPr>
      </w:r>
    </w:p>
    <w:p>
      <w:pPr>
        <w:ind w:firstLine="567"/>
        <w:jc w:val="both"/>
        <w:rPr>
          <w:spacing w:val="-2"/>
          <w:sz w:val="22"/>
          <w:szCs w:val="22"/>
          <w:lang w:eastAsia="ar-SA"/>
        </w:rPr>
      </w:pPr>
      <w:r>
        <w:rPr>
          <w:spacing w:val="-2"/>
          <w:sz w:val="22"/>
          <w:szCs w:val="22"/>
          <w:lang w:eastAsia="ar-SA"/>
        </w:rPr>
        <w:t xml:space="preserve">4.4. Франшиза не установлена.</w:t>
      </w:r>
      <w:r>
        <w:rPr>
          <w:spacing w:val="-2"/>
          <w:sz w:val="22"/>
          <w:szCs w:val="22"/>
          <w:lang w:eastAsia="ar-SA"/>
        </w:rPr>
      </w:r>
      <w:r>
        <w:rPr>
          <w:spacing w:val="-2"/>
          <w:sz w:val="22"/>
          <w:szCs w:val="22"/>
          <w:lang w:eastAsia="ar-SA"/>
        </w:rPr>
      </w:r>
    </w:p>
    <w:p>
      <w:pPr>
        <w:jc w:val="center"/>
        <w:spacing w:line="240" w:lineRule="exact"/>
        <w:rPr>
          <w:caps/>
          <w:spacing w:val="-2"/>
          <w:sz w:val="22"/>
          <w:szCs w:val="22"/>
          <w:lang w:eastAsia="ar-SA"/>
        </w:rPr>
      </w:pPr>
      <w:r>
        <w:rPr>
          <w:caps/>
          <w:spacing w:val="-2"/>
          <w:sz w:val="22"/>
          <w:szCs w:val="22"/>
          <w:lang w:eastAsia="ar-SA"/>
        </w:rPr>
      </w:r>
      <w:r>
        <w:rPr>
          <w:caps/>
          <w:spacing w:val="-2"/>
          <w:sz w:val="22"/>
          <w:szCs w:val="22"/>
          <w:lang w:eastAsia="ar-SA"/>
        </w:rPr>
      </w:r>
      <w:r>
        <w:rPr>
          <w:caps/>
          <w:spacing w:val="-2"/>
          <w:sz w:val="22"/>
          <w:szCs w:val="22"/>
          <w:lang w:eastAsia="ar-SA"/>
        </w:rPr>
      </w:r>
    </w:p>
    <w:p>
      <w:pPr>
        <w:pStyle w:val="974"/>
        <w:ind w:left="0"/>
        <w:jc w:val="center"/>
        <w:spacing w:after="0" w:line="240" w:lineRule="auto"/>
        <w:rPr>
          <w:rFonts w:ascii="Times New Roman" w:hAnsi="Times New Roman"/>
          <w:b/>
          <w:spacing w:val="-2"/>
          <w:lang w:eastAsia="ar-SA"/>
        </w:rPr>
      </w:pPr>
      <w:r>
        <w:rPr>
          <w:rFonts w:ascii="Times New Roman" w:hAnsi="Times New Roman"/>
          <w:b/>
          <w:spacing w:val="-2"/>
          <w:lang w:eastAsia="ar-SA"/>
        </w:rPr>
        <w:t xml:space="preserve">5. Порядок сдачи-приемки услуг</w:t>
      </w:r>
      <w:r>
        <w:rPr>
          <w:rFonts w:ascii="Times New Roman" w:hAnsi="Times New Roman"/>
          <w:b/>
          <w:spacing w:val="-2"/>
          <w:lang w:eastAsia="ar-SA"/>
        </w:rPr>
      </w:r>
      <w:r>
        <w:rPr>
          <w:rFonts w:ascii="Times New Roman" w:hAnsi="Times New Roman"/>
          <w:b/>
          <w:spacing w:val="-2"/>
          <w:lang w:eastAsia="ar-SA"/>
        </w:rPr>
      </w:r>
    </w:p>
    <w:p>
      <w:pPr>
        <w:pStyle w:val="974"/>
        <w:ind w:left="0" w:firstLine="567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5.1. Страховщик в течение </w:t>
      </w:r>
      <w:r>
        <w:rPr>
          <w:rFonts w:ascii="Times New Roman" w:hAnsi="Times New Roman"/>
          <w:highlight w:val="white"/>
        </w:rPr>
        <w:t xml:space="preserve">5</w:t>
      </w:r>
      <w:r>
        <w:rPr>
          <w:rFonts w:ascii="Times New Roman" w:hAnsi="Times New Roman"/>
          <w:highlight w:val="white"/>
        </w:rPr>
        <w:t xml:space="preserve"> (пяти)  </w:t>
      </w:r>
      <w:r>
        <w:rPr>
          <w:rFonts w:ascii="Times New Roman" w:hAnsi="Times New Roman"/>
          <w:highlight w:val="white"/>
        </w:rPr>
        <w:t xml:space="preserve">рабочих</w:t>
      </w:r>
      <w:r>
        <w:rPr>
          <w:rFonts w:ascii="Times New Roman" w:hAnsi="Times New Roman"/>
          <w:highlight w:val="white"/>
        </w:rPr>
        <w:t xml:space="preserve"> дней со дня заключения </w:t>
      </w:r>
      <w:r>
        <w:rPr>
          <w:rFonts w:ascii="Times New Roman" w:hAnsi="Times New Roman"/>
          <w:highlight w:val="white"/>
        </w:rPr>
        <w:t xml:space="preserve">Конт</w:t>
      </w:r>
      <w:r>
        <w:rPr>
          <w:rFonts w:ascii="Times New Roman" w:hAnsi="Times New Roman"/>
        </w:rPr>
        <w:t xml:space="preserve">ракта </w:t>
      </w:r>
      <w:r>
        <w:rPr>
          <w:rFonts w:ascii="Times New Roman" w:hAnsi="Times New Roman"/>
          <w:sz w:val="24"/>
          <w:szCs w:val="24"/>
        </w:rPr>
        <w:t xml:space="preserve">предоставляет</w:t>
      </w:r>
      <w:r>
        <w:rPr>
          <w:rFonts w:ascii="Times New Roman" w:hAnsi="Times New Roman"/>
        </w:rPr>
        <w:t xml:space="preserve"> Страхователю страховой полис, подписанный Акт (либо акт приема-передачи оказанных услуг) в 2 (двух) экземплярах, счет.</w:t>
      </w:r>
      <w:bookmarkStart w:id="0" w:name="_GoBack"/>
      <w:r/>
      <w:bookmarkEnd w:id="0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74"/>
        <w:ind w:left="0" w:firstLine="567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 xml:space="preserve">5.2. Страхователь в течение 1 (одного) рабочего дня с даты получения Акта, рассматривает результаты и осуществляет приемку оказанных Услуг требованиям Контракта, подписывает и направляет Страховщику подписанный Акт </w:t>
      </w:r>
      <w:r>
        <w:rPr>
          <w:rFonts w:ascii="Times New Roman" w:hAnsi="Times New Roman"/>
        </w:rPr>
        <w:t xml:space="preserve">(либо акт приема-передачи оказанных услуг), либо запрос о предоставлении разъяснений касательно результатов оказанных Услуг </w:t>
      </w:r>
      <w:r>
        <w:rPr>
          <w:rFonts w:ascii="Times New Roman" w:hAnsi="Times New Roman"/>
          <w:lang w:eastAsia="ar-SA"/>
        </w:rPr>
        <w:t xml:space="preserve">или мотивированный отказ</w:t>
      </w:r>
      <w:r>
        <w:rPr>
          <w:rFonts w:ascii="Times New Roman" w:hAnsi="Times New Roman"/>
        </w:rPr>
        <w:t xml:space="preserve"> от приемки результатов оказанных Услуг.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В случае надлежащего оказания Услуг Страховат</w:t>
      </w:r>
      <w:r>
        <w:rPr>
          <w:sz w:val="22"/>
          <w:szCs w:val="22"/>
        </w:rPr>
        <w:t xml:space="preserve">ель подписывает Акт (либо акт приема-передачи оказанных услуг). Датой приемки оказанных Услуг считается дата подписания Страхователем Акта (либо акт приема-передачи оказанных услуг) при условии исполнения Сторонами всех обязательств, указанных в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</w:t>
      </w:r>
      <w:r>
        <w:rPr>
          <w:sz w:val="22"/>
          <w:szCs w:val="22"/>
        </w:rPr>
        <w:t xml:space="preserve">. В случае выявления недостатков, при приемке результатов оказанных Услуг, Страхователь, в сроки, предусмотренные пунктом 5.2 Контр</w:t>
      </w:r>
      <w:r>
        <w:rPr>
          <w:sz w:val="22"/>
          <w:szCs w:val="22"/>
        </w:rPr>
        <w:t xml:space="preserve">акта, оформляет и направляет Страховщику мотивированный отказ от подписания Акта (либо акт приема-передачи оказанных услуг) с указанием выявленных недостатков и срока их устранения – не более 2 (двух) рабочих дней с даты получения такого акта Страховщиком.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</w:t>
      </w:r>
      <w:r>
        <w:rPr>
          <w:sz w:val="22"/>
          <w:szCs w:val="22"/>
        </w:rPr>
        <w:t xml:space="preserve">. При повторном выявлении недостатков, в случае нарушения сроков устранения н</w:t>
      </w:r>
      <w:r>
        <w:rPr>
          <w:sz w:val="22"/>
          <w:szCs w:val="22"/>
        </w:rPr>
        <w:t xml:space="preserve">едостатков, а также в случае если представленные результаты содержат существенные нарушения условий Контракта Страхователь вправе отказаться от приемки, выплаты Страховщику фактических понесенных им затрат и направить мотивированный отказ от приемки Услуг.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Под существенными нарушениями условий Контракта понимаются существенные нарушения, предусмотренные законодательством Российской Федерации, в том числе: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а) нарушение установленных сроков оказания Услуг;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б) обнаружение отступлений от условий Контракта, в том числе Приложений </w:t>
      </w:r>
      <w:r>
        <w:rPr>
          <w:sz w:val="22"/>
          <w:szCs w:val="22"/>
        </w:rPr>
        <w:br w:type="textWrapping" w:clear="all"/>
        <w:t xml:space="preserve">к Контракту при повторной приемке оказанных Услуг, либо нарушение сроков устранения недостатков;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tabs>
          <w:tab w:val="left" w:pos="1134" w:leader="none"/>
        </w:tabs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в) выявление фактов нарушений требований законодательства Российской Федерации.</w:t>
      </w: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ind w:firstLine="567"/>
        <w:jc w:val="both"/>
        <w:tabs>
          <w:tab w:val="left" w:pos="1134" w:leader="none"/>
        </w:tabs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5.6</w:t>
      </w:r>
      <w:r>
        <w:rPr>
          <w:spacing w:val="-4"/>
          <w:sz w:val="22"/>
          <w:szCs w:val="22"/>
        </w:rPr>
        <w:t xml:space="preserve">. Страхователь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Страховщиком.</w:t>
      </w: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spacing w:line="240" w:lineRule="exact"/>
        <w:rPr>
          <w:caps/>
          <w:spacing w:val="-2"/>
          <w:sz w:val="22"/>
          <w:szCs w:val="22"/>
          <w:lang w:eastAsia="ar-SA"/>
        </w:rPr>
      </w:pPr>
      <w:r>
        <w:rPr>
          <w:caps/>
          <w:spacing w:val="-2"/>
          <w:sz w:val="22"/>
          <w:szCs w:val="22"/>
          <w:lang w:eastAsia="ar-SA"/>
        </w:rPr>
      </w:r>
      <w:r>
        <w:rPr>
          <w:caps/>
          <w:spacing w:val="-2"/>
          <w:sz w:val="22"/>
          <w:szCs w:val="22"/>
          <w:lang w:eastAsia="ar-SA"/>
        </w:rPr>
      </w:r>
      <w:r>
        <w:rPr>
          <w:caps/>
          <w:spacing w:val="-2"/>
          <w:sz w:val="22"/>
          <w:szCs w:val="22"/>
          <w:lang w:eastAsia="ar-SA"/>
        </w:rPr>
      </w:r>
    </w:p>
    <w:p>
      <w:pPr>
        <w:jc w:val="center"/>
        <w:rPr>
          <w:b/>
          <w:spacing w:val="-2"/>
          <w:sz w:val="22"/>
          <w:szCs w:val="22"/>
          <w:lang w:eastAsia="ar-SA"/>
        </w:rPr>
      </w:pPr>
      <w:r>
        <w:rPr>
          <w:b/>
          <w:spacing w:val="-2"/>
          <w:sz w:val="22"/>
          <w:szCs w:val="22"/>
          <w:lang w:eastAsia="ar-SA"/>
        </w:rPr>
        <w:t xml:space="preserve">6. Цена Контракта (страховая премия) и порядок расчетов</w:t>
      </w:r>
      <w:r>
        <w:rPr>
          <w:b/>
          <w:spacing w:val="-2"/>
          <w:sz w:val="22"/>
          <w:szCs w:val="22"/>
          <w:lang w:eastAsia="ar-SA"/>
        </w:rPr>
      </w:r>
      <w:r>
        <w:rPr>
          <w:b/>
          <w:spacing w:val="-2"/>
          <w:sz w:val="22"/>
          <w:szCs w:val="22"/>
          <w:lang w:eastAsia="ar-SA"/>
        </w:rPr>
      </w:r>
    </w:p>
    <w:p>
      <w:pPr>
        <w:ind w:left="40" w:firstLine="527"/>
        <w:jc w:val="both"/>
        <w:tabs>
          <w:tab w:val="left" w:pos="1134" w:leader="none"/>
        </w:tabs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6.1.</w:t>
      </w:r>
      <w:r>
        <w:rPr>
          <w:sz w:val="22"/>
          <w:szCs w:val="22"/>
        </w:rPr>
        <w:tab/>
        <w:t xml:space="preserve">Цена настоящего Контракта (ст</w:t>
      </w:r>
      <w:r>
        <w:rPr>
          <w:sz w:val="22"/>
          <w:szCs w:val="22"/>
        </w:rPr>
        <w:t xml:space="preserve">раховая премия) составляе</w:t>
      </w:r>
      <w:r>
        <w:rPr>
          <w:sz w:val="22"/>
          <w:szCs w:val="22"/>
          <w:highlight w:val="white"/>
        </w:rPr>
        <w:t xml:space="preserve">т </w:t>
      </w:r>
      <w:r>
        <w:rPr>
          <w:sz w:val="22"/>
          <w:szCs w:val="22"/>
          <w:highlight w:val="white"/>
        </w:rPr>
        <w:t xml:space="preserve">_</w:t>
      </w:r>
      <w:r>
        <w:rPr>
          <w:sz w:val="22"/>
          <w:szCs w:val="22"/>
          <w:highlight w:val="white"/>
        </w:rPr>
        <w:t xml:space="preserve">___</w:t>
      </w:r>
      <w:r>
        <w:rPr>
          <w:sz w:val="22"/>
          <w:szCs w:val="22"/>
          <w:highlight w:val="none"/>
        </w:rPr>
        <w:t xml:space="preserve">___________________</w:t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p>
      <w:pPr>
        <w:ind w:left="40" w:firstLine="527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6.2. Цена Контракта </w:t>
      </w:r>
      <w:r>
        <w:rPr>
          <w:sz w:val="22"/>
          <w:szCs w:val="22"/>
        </w:rPr>
        <w:t xml:space="preserve">(страховая премия) </w:t>
      </w:r>
      <w:r>
        <w:rPr>
          <w:spacing w:val="-6"/>
          <w:sz w:val="22"/>
          <w:szCs w:val="22"/>
        </w:rPr>
        <w:t xml:space="preserve">включает все расходы, необходимые Страховщику для оказаний Услуги в полном объеме и надлежащего качества, включая расходы на уплату пошлин, налогов и иных платежей в соответствии с законодательством Российской Федерации, связанные с исполнением Контракта.</w:t>
      </w:r>
      <w:r>
        <w:rPr>
          <w:spacing w:val="-6"/>
          <w:sz w:val="22"/>
          <w:szCs w:val="22"/>
        </w:rPr>
      </w:r>
      <w:r>
        <w:rPr>
          <w:spacing w:val="-6"/>
          <w:sz w:val="22"/>
          <w:szCs w:val="22"/>
        </w:rPr>
      </w:r>
    </w:p>
    <w:p>
      <w:pPr>
        <w:ind w:firstLine="5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Цена Контракта (страховая премия) является твердой и определяется на весь срок исполнения Контракта, за исключением случаев, предусмотренных настоящим Контрактом и Федеральным законом №44-ФЗ.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Сумма, подлежащая уплате Страхователем Страховщику, уменьшается на размер налогов, сборов и иных обязательных платежей в бюджеты бюджетной системы Росс</w:t>
      </w:r>
      <w:r>
        <w:rPr>
          <w:sz w:val="22"/>
          <w:szCs w:val="22"/>
        </w:rPr>
        <w:t xml:space="preserve">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В случае ненадлежащего исполнения Страховщиком предусмотренных Контрактом</w:t>
      </w:r>
      <w:r>
        <w:rPr>
          <w:sz w:val="22"/>
          <w:szCs w:val="22"/>
        </w:rPr>
        <w:t xml:space="preserve"> обязательств, Страхователь вправе произвести оплату по Контракту только после перечисления Страховщиком соответствующего размера неустойки (штрафа, пени) или произвести оплату путем выплаты Страховщику суммы, уменьшенной на сумму неустойки (штрафа, пени).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40" w:firstLine="5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</w:t>
      </w:r>
      <w:r>
        <w:rPr>
          <w:sz w:val="22"/>
          <w:szCs w:val="22"/>
        </w:rPr>
        <w:tab/>
        <w:t xml:space="preserve">Оплата Услуг осуществляется Страхователем в российских рублях по безналичному расчету без авансового платежа путем перечисления денежных средств на расчетный счет Страховщика, указанный в Контракте, н</w:t>
      </w:r>
      <w:r>
        <w:rPr>
          <w:sz w:val="22"/>
          <w:szCs w:val="22"/>
        </w:rPr>
        <w:t xml:space="preserve">а основании счета, Акта (либо акт приема-передачи оказанных услуг) в течение 7 (семи) рабочих дней с даты подписания Акта (либо акт приема-передачи оказанных услуг) уполномоченными представителями Сторон, при предоставлении Страхователю Страхового полиса.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40" w:firstLine="5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 Расчеты за оказанные Услуги производятся между Страхователем и Страховщиком за надлежащим образом выполненные и принятые Страхователем Услуги в размере их фактической стоимости, но не более суммы, оговоренной в пункте 6.1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6.8.</w:t>
      </w:r>
      <w:r>
        <w:rPr>
          <w:sz w:val="22"/>
          <w:szCs w:val="22"/>
        </w:rPr>
        <w:tab/>
        <w:t xml:space="preserve">Источник финансирования - федеральный бюджет 2026 года.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40"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6.9.</w:t>
      </w:r>
      <w:r>
        <w:rPr>
          <w:sz w:val="22"/>
          <w:szCs w:val="22"/>
        </w:rPr>
        <w:tab/>
        <w:t xml:space="preserve">Датой оплаты считается дата списания денежных средств с лицевого счета Страхователя.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exact"/>
        <w:rPr>
          <w:b/>
          <w:spacing w:val="-2"/>
          <w:sz w:val="22"/>
          <w:szCs w:val="22"/>
          <w:lang w:eastAsia="ar-SA"/>
        </w:rPr>
      </w:pPr>
      <w:r>
        <w:rPr>
          <w:b/>
          <w:spacing w:val="-2"/>
          <w:sz w:val="22"/>
          <w:szCs w:val="22"/>
          <w:lang w:eastAsia="ar-SA"/>
        </w:rPr>
      </w:r>
      <w:r>
        <w:rPr>
          <w:b/>
          <w:spacing w:val="-2"/>
          <w:sz w:val="22"/>
          <w:szCs w:val="22"/>
          <w:lang w:eastAsia="ar-SA"/>
        </w:rPr>
      </w:r>
      <w:r>
        <w:rPr>
          <w:b/>
          <w:spacing w:val="-2"/>
          <w:sz w:val="22"/>
          <w:szCs w:val="22"/>
          <w:lang w:eastAsia="ar-SA"/>
        </w:rPr>
      </w:r>
    </w:p>
    <w:p>
      <w:pPr>
        <w:numPr>
          <w:ilvl w:val="0"/>
          <w:numId w:val="34"/>
        </w:numPr>
        <w:jc w:val="center"/>
        <w:rPr>
          <w:b/>
          <w:spacing w:val="-2"/>
          <w:sz w:val="22"/>
          <w:szCs w:val="22"/>
          <w:lang w:eastAsia="ar-SA"/>
        </w:rPr>
      </w:pPr>
      <w:r>
        <w:rPr>
          <w:b/>
          <w:spacing w:val="-2"/>
          <w:sz w:val="22"/>
          <w:szCs w:val="22"/>
          <w:lang w:eastAsia="ar-SA"/>
        </w:rPr>
        <w:t xml:space="preserve">Права и обязанности сторон</w:t>
      </w:r>
      <w:r>
        <w:rPr>
          <w:b/>
          <w:spacing w:val="-2"/>
          <w:sz w:val="22"/>
          <w:szCs w:val="22"/>
          <w:lang w:eastAsia="ar-SA"/>
        </w:rPr>
      </w:r>
      <w:r>
        <w:rPr>
          <w:b/>
          <w:spacing w:val="-2"/>
          <w:sz w:val="22"/>
          <w:szCs w:val="22"/>
          <w:lang w:eastAsia="ar-SA"/>
        </w:rPr>
      </w:r>
    </w:p>
    <w:p>
      <w:pPr>
        <w:pStyle w:val="959"/>
        <w:numPr>
          <w:ilvl w:val="1"/>
          <w:numId w:val="34"/>
        </w:numPr>
        <w:ind w:left="0" w:right="0" w:firstLine="567"/>
        <w:jc w:val="left"/>
        <w:spacing w:line="240" w:lineRule="auto"/>
        <w:tabs>
          <w:tab w:val="left" w:pos="993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Страховщик обязан: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59"/>
        <w:numPr>
          <w:ilvl w:val="2"/>
          <w:numId w:val="34"/>
        </w:numPr>
        <w:ind w:left="0" w:right="0" w:firstLine="567"/>
        <w:spacing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Оказать Услуги в порядке, в срок и на условиях, предусмотренных Контрактом, Спецификацией.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numPr>
          <w:ilvl w:val="2"/>
          <w:numId w:val="34"/>
        </w:numPr>
        <w:ind w:left="0" w:right="0" w:firstLine="567"/>
        <w:spacing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Обеспечить соответствие оказываемых Услуг требованиям установленным законодательством Российской Федерации для такого вида Услуг и Контрактом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numPr>
          <w:ilvl w:val="2"/>
          <w:numId w:val="34"/>
        </w:numPr>
        <w:ind w:left="0" w:right="0" w:firstLine="567"/>
        <w:spacing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Предоставить Страхователю по его требованию документы, относящиеся к предмету Контракта, а также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numPr>
          <w:ilvl w:val="2"/>
          <w:numId w:val="34"/>
        </w:numPr>
        <w:ind w:left="0" w:right="0" w:firstLine="567"/>
        <w:spacing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Предоставлять акт сверки взаимных расчетов в течение 5 (пяти) рабочих дней со дня получения требования Страхователя (при изменении условий Контракта, при исполнении Контракта).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Обладать </w:t>
      </w:r>
      <w:r>
        <w:rPr>
          <w:sz w:val="22"/>
          <w:szCs w:val="22"/>
        </w:rPr>
        <w:t xml:space="preserve">действующей лицензии на осуществление страхования, вид деятельности – «вид страхования, осуществление которого предусмотрено федеральным законом о конкретном виде обязательного страхования», предусмотренного п. 1 ч. 2 ст. 32 Закона Российской Федерации от </w:t>
      </w:r>
      <w:r>
        <w:rPr>
          <w:sz w:val="22"/>
          <w:szCs w:val="22"/>
        </w:rPr>
        <w:t xml:space="preserve">27.11.1992 № 4015-1 «Об организации страхового дела в Российской Федерации», ст.131 Воздушного кодекса РФ. По окончании срока действия указанной лицензии, а также в случае отзыва или приостановлен</w:t>
      </w:r>
      <w:r>
        <w:rPr>
          <w:sz w:val="22"/>
          <w:szCs w:val="22"/>
        </w:rPr>
        <w:t xml:space="preserve">ия ее действия, при аннулировании (прекращении) действия лицензии либо при наступлении иных обстоятельств, препятствующих оказанию Услуг, Страховщик обязан незамедлительно письменно сообщить об этом Страхователю и прекратить (приостановить) оказание Услуг.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Своими силами и за свой счет, не нарушая сроков ок</w:t>
      </w:r>
      <w:r>
        <w:rPr>
          <w:sz w:val="22"/>
          <w:szCs w:val="22"/>
        </w:rPr>
        <w:t xml:space="preserve">азания Услуг, устранять допущенные по своей вине недостатки при оказании Услуг, которые могут повлечь отступления от условий Контракта, а также устранять недостатки, выявленные Страхователем в ходе оказания Услуг и при приемке результатов оказанных Услуг.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принятия решения об одностороннем отказе от исполнения Контракта уведомить Страхователя способом, в порядке и сроки, установленные Федеральным законом № 44-ФЗ.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Произвести выплату страховой суммы Страхователю в результате наступления страхового случая в соответствии с Страховым полисом и Правилами.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Рассмотреть заявление Страхователя о выплате страховой суммы</w:t>
      </w:r>
      <w:r>
        <w:rPr>
          <w:sz w:val="22"/>
          <w:szCs w:val="22"/>
        </w:rPr>
        <w:t xml:space="preserve"> и приложенные к нему документы в течение срока, указанного в Правилах страхования. При наступлении страхового случая произвести выплату страховой суммы Страхователю или мотивированно отказать в вышеуказанной выплате в соответствии с Правилами страхования.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7.2. Страховщик вправе: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7.2.1. Требовать от Страхователя произвести приемку результата оказанных Услуг в порядке и сроки, предусмотренные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7.2.2. Требовать своевременной оплаты страховой премии на условиях, установленных Контрактом, надлежащим образом оказанных и принятых Страхователем Услуг.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7.2.3. Принять решение об одностороннем отказе от исполнения Контракта в соответствии с гражданским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7.2.4. Требовать возмещения убытков, уплаты неустоек (штрафов, пеней) в соответствии с разделом 8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7.3. Страхователь обязан: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7.3.1. Своевременно принять и оплатить надлежащим образом оказанные Услуги, предусмотренные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firstLine="567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7.3.2. После того, как ему стало известно о наступлении страхового случая, незамедлительно уведомить о его наступлении Страховщика или его представителя.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7.3.3. В случае изменения банковских или иных реквизитов письменно известить об этом Страховщика в течение </w:t>
      </w:r>
      <w:r>
        <w:rPr>
          <w:sz w:val="22"/>
          <w:szCs w:val="22"/>
        </w:rPr>
        <w:t xml:space="preserve">5 (пяти</w:t>
      </w:r>
      <w:r>
        <w:rPr>
          <w:sz w:val="22"/>
          <w:szCs w:val="22"/>
        </w:rPr>
        <w:t xml:space="preserve">) рабочих дней.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7.3.4. Принять решение об одностороннем отказе от исполнения Контракта в соответствии с ч.15 ст. 95 Федеральный закон № 44-ФЗ.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7.3.5. Требовать возмещения убытков, уплаты неустоек (штрафов, пеней) в соответствии с разделом 8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right="0" w:firstLine="567"/>
        <w:spacing w:line="240" w:lineRule="auto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7.3.6. Провести экспертизу оказанной Услуги для проверки ее соответствия условиям Контракта в соответствии с Федеральным законом № 44-ФЗ.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firstLine="567"/>
        <w:spacing w:line="240" w:lineRule="auto"/>
        <w:tabs>
          <w:tab w:val="left" w:pos="85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7.4.</w:t>
      </w:r>
      <w:r>
        <w:rPr>
          <w:b/>
          <w:sz w:val="22"/>
          <w:szCs w:val="22"/>
        </w:rPr>
        <w:tab/>
        <w:t xml:space="preserve">Страхователь вправе: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59"/>
        <w:ind w:firstLine="567"/>
        <w:spacing w:line="240" w:lineRule="auto"/>
        <w:tabs>
          <w:tab w:val="left" w:pos="851" w:leader="none"/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7.4.1.</w:t>
      </w:r>
      <w:r>
        <w:rPr>
          <w:sz w:val="22"/>
          <w:szCs w:val="22"/>
        </w:rPr>
        <w:tab/>
        <w:t xml:space="preserve">Отказаться от приемки и оплаты оказанных Услуг в случае их несоответствия требованиям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ind w:firstLine="567"/>
        <w:spacing w:line="240" w:lineRule="auto"/>
        <w:tabs>
          <w:tab w:val="left" w:pos="851" w:leader="none"/>
          <w:tab w:val="left" w:pos="1134" w:leader="none"/>
        </w:tabs>
        <w:rPr>
          <w:spacing w:val="-2"/>
          <w:sz w:val="22"/>
          <w:szCs w:val="22"/>
        </w:rPr>
      </w:pPr>
      <w:r>
        <w:rPr>
          <w:sz w:val="22"/>
          <w:szCs w:val="22"/>
        </w:rPr>
        <w:t xml:space="preserve">7.4.2. Требовать </w:t>
      </w:r>
      <w:r>
        <w:rPr>
          <w:sz w:val="22"/>
          <w:szCs w:val="22"/>
        </w:rPr>
        <w:t xml:space="preserve">от Страховщика</w:t>
      </w:r>
      <w:r>
        <w:rPr>
          <w:sz w:val="22"/>
          <w:szCs w:val="22"/>
        </w:rPr>
        <w:t xml:space="preserve"> надлежащего исполнения обязательств </w:t>
      </w:r>
      <w:r>
        <w:rPr>
          <w:spacing w:val="-2"/>
          <w:sz w:val="22"/>
          <w:szCs w:val="22"/>
        </w:rPr>
        <w:t xml:space="preserve">в соответствии с Контрактом, а также своевременного устранения выявленных недостатков.</w:t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</w:p>
    <w:p>
      <w:pPr>
        <w:pStyle w:val="959"/>
        <w:ind w:firstLine="567"/>
        <w:spacing w:line="240" w:lineRule="auto"/>
        <w:tabs>
          <w:tab w:val="left" w:pos="851" w:leader="none"/>
          <w:tab w:val="left" w:pos="1134" w:leader="none"/>
        </w:tabs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7.4.3. Требовать от Страховщика </w:t>
      </w:r>
      <w:r>
        <w:rPr>
          <w:spacing w:val="-2"/>
          <w:sz w:val="22"/>
          <w:szCs w:val="22"/>
        </w:rPr>
        <w:t xml:space="preserve">представления надлежащим образом</w:t>
      </w:r>
      <w:r>
        <w:rPr>
          <w:spacing w:val="-2"/>
          <w:sz w:val="22"/>
          <w:szCs w:val="22"/>
        </w:rPr>
        <w:t xml:space="preserve"> оформленных отчетных и финансовых документов, подтверждающих исполнение обязательств в соответствии с Контрактом.</w:t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</w:p>
    <w:p>
      <w:pPr>
        <w:pStyle w:val="959"/>
        <w:ind w:right="142"/>
        <w:jc w:val="center"/>
        <w:spacing w:line="240" w:lineRule="exact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numPr>
          <w:ilvl w:val="0"/>
          <w:numId w:val="34"/>
        </w:numPr>
        <w:ind w:firstLine="0"/>
        <w:jc w:val="center"/>
        <w:keepNext/>
        <w:rPr>
          <w:rFonts w:eastAsia="MS Mincho"/>
          <w:b/>
          <w:bCs/>
          <w:sz w:val="22"/>
          <w:szCs w:val="22"/>
          <w:lang w:eastAsia="ar-SA"/>
        </w:rPr>
        <w:outlineLvl w:val="3"/>
      </w:pPr>
      <w:r>
        <w:rPr>
          <w:rFonts w:eastAsia="MS Mincho"/>
          <w:b/>
          <w:bCs/>
          <w:sz w:val="22"/>
          <w:szCs w:val="22"/>
          <w:lang w:eastAsia="ar-SA"/>
        </w:rPr>
        <w:t xml:space="preserve">Ответственность Сторон</w:t>
      </w:r>
      <w:r>
        <w:rPr>
          <w:rFonts w:eastAsia="MS Mincho"/>
          <w:b/>
          <w:bCs/>
          <w:sz w:val="22"/>
          <w:szCs w:val="22"/>
          <w:lang w:eastAsia="ar-SA"/>
        </w:rPr>
      </w:r>
      <w:r>
        <w:rPr>
          <w:rFonts w:eastAsia="MS Mincho"/>
          <w:b/>
          <w:bCs/>
          <w:sz w:val="22"/>
          <w:szCs w:val="22"/>
          <w:lang w:eastAsia="ar-SA"/>
        </w:rPr>
      </w:r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</w:rPr>
        <w:t xml:space="preserve">В случае неисполнения или ненадлежащего исполнения обязательств, предусмотренных</w:t>
      </w:r>
      <w:r>
        <w:rPr>
          <w:b/>
          <w:sz w:val="22"/>
        </w:rPr>
        <w:t xml:space="preserve"> </w:t>
      </w:r>
      <w:r>
        <w:rPr>
          <w:sz w:val="22"/>
        </w:rPr>
        <w:t xml:space="preserve">Контрактом, Стороны несут ответственность в соответствии с законодательством Российской Федерации </w:t>
      </w:r>
      <w:r>
        <w:rPr>
          <w:color w:val="000000"/>
          <w:sz w:val="22"/>
        </w:rPr>
        <w:t xml:space="preserve">и условиями Контракта</w:t>
      </w:r>
      <w:r>
        <w:rPr>
          <w:sz w:val="22"/>
          <w:szCs w:val="22"/>
          <w:lang w:eastAsia="ar-SA"/>
        </w:rPr>
        <w:t xml:space="preserve">.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</w:rPr>
        <w:t xml:space="preserve">В случае просрочки исполнения </w:t>
      </w:r>
      <w:r>
        <w:rPr>
          <w:sz w:val="22"/>
          <w:szCs w:val="22"/>
          <w:lang w:eastAsia="ar-SA"/>
        </w:rPr>
        <w:t xml:space="preserve">Страховщиком</w:t>
      </w:r>
      <w:r>
        <w:rPr>
          <w:sz w:val="22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  <w:lang w:eastAsia="ar-SA"/>
        </w:rPr>
        <w:t xml:space="preserve">Страховщиком</w:t>
      </w:r>
      <w:r>
        <w:rPr>
          <w:sz w:val="22"/>
        </w:rPr>
        <w:t xml:space="preserve"> обязательств, предусмотренных Контрактом, Страхователь направляет </w:t>
      </w:r>
      <w:r>
        <w:rPr>
          <w:sz w:val="22"/>
          <w:szCs w:val="22"/>
          <w:lang w:eastAsia="ar-SA"/>
        </w:rPr>
        <w:t xml:space="preserve">Страховщику</w:t>
      </w:r>
      <w:r>
        <w:rPr>
          <w:sz w:val="22"/>
        </w:rPr>
        <w:t xml:space="preserve"> претензию, содержащую требование об уплате неустоек (штрафов, пеней).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</w:pPr>
      <w:r>
        <w:rPr>
          <w:sz w:val="22"/>
          <w:szCs w:val="22"/>
          <w:lang w:eastAsia="ar-SA"/>
        </w:rPr>
        <w:t xml:space="preserve">Пеня начисляется за каждый день просрочки исполнения Страховщиком обязательства, предусмотренного Контрактом, </w:t>
      </w:r>
      <w:r>
        <w:rPr>
          <w:bCs/>
          <w:sz w:val="22"/>
          <w:szCs w:val="22"/>
        </w:rPr>
        <w:t xml:space="preserve">начиная со дня, с</w:t>
      </w:r>
      <w:r>
        <w:rPr>
          <w:bCs/>
          <w:sz w:val="22"/>
          <w:szCs w:val="22"/>
        </w:rPr>
        <w:t xml:space="preserve">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</w:t>
      </w:r>
      <w:r>
        <w:rPr>
          <w:color w:val="000000"/>
          <w:sz w:val="22"/>
          <w:szCs w:val="22"/>
        </w:rPr>
        <w:t xml:space="preserve">(отдельного этапа исполнения Контракта)</w:t>
      </w:r>
      <w:r>
        <w:rPr>
          <w:bCs/>
          <w:sz w:val="22"/>
          <w:szCs w:val="22"/>
        </w:rPr>
        <w:t xml:space="preserve">, уменьшенной на сумму, пропорциональную объему обязательств, предусмотренных Контрактом </w:t>
      </w:r>
      <w:r>
        <w:rPr>
          <w:color w:val="000000"/>
          <w:sz w:val="22"/>
          <w:szCs w:val="22"/>
        </w:rPr>
        <w:t xml:space="preserve">(соответствующим отдельным этапом исполнения Контракта) и фактически исполненных Поставщиком, </w:t>
      </w:r>
      <w:r>
        <w:rPr>
          <w:bCs/>
          <w:sz w:val="22"/>
          <w:szCs w:val="22"/>
        </w:rPr>
        <w:t xml:space="preserve">за исключением случаев, если законодательством Российской Федерации установлен иной порядок начисления пени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vertAlign w:val="superscript"/>
        </w:rPr>
        <w:footnoteReference w:id="2"/>
      </w:r>
      <w:r/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</w:rPr>
        <w:t xml:space="preserve">Штрафы начисляются за каждый факт неисполнения или ненадлежащего исполнения </w:t>
      </w:r>
      <w:r>
        <w:rPr>
          <w:sz w:val="22"/>
          <w:szCs w:val="22"/>
          <w:lang w:eastAsia="ar-SA"/>
        </w:rPr>
        <w:t xml:space="preserve">Страховщиком</w:t>
      </w:r>
      <w:r>
        <w:rPr>
          <w:sz w:val="22"/>
        </w:rPr>
        <w:t xml:space="preserve"> обязательств, предусмотренных Контрактом, за исключением просрочки исполнения </w:t>
      </w:r>
      <w:r>
        <w:rPr>
          <w:sz w:val="22"/>
          <w:szCs w:val="22"/>
          <w:lang w:eastAsia="ar-SA"/>
        </w:rPr>
        <w:t xml:space="preserve">Страховщиком</w:t>
      </w:r>
      <w:r>
        <w:rPr>
          <w:sz w:val="22"/>
        </w:rPr>
        <w:t xml:space="preserve"> обязательств, предусмотренных Контрактом. Размер штрафа составляет 10% (десять) процентов цены Контракта</w:t>
      </w:r>
      <w:r>
        <w:rPr>
          <w:sz w:val="22"/>
        </w:rPr>
        <w:t xml:space="preserve"> – _______________________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</w:rPr>
        <w:t xml:space="preserve">Размер штрафа за каждый факт неисполнения или ненадлежащего исполнения </w:t>
      </w:r>
      <w:r>
        <w:rPr>
          <w:sz w:val="22"/>
          <w:szCs w:val="22"/>
          <w:lang w:eastAsia="ar-SA"/>
        </w:rPr>
        <w:t xml:space="preserve">Страховщиком</w:t>
      </w:r>
      <w:r>
        <w:rPr>
          <w:sz w:val="22"/>
        </w:rPr>
        <w:t xml:space="preserve"> обязательства, предусмотренного Контрактом, которое не имеет стоимостного выражения</w:t>
      </w:r>
      <w:bookmarkStart w:id="1" w:name="P1557"/>
      <w:r/>
      <w:bookmarkStart w:id="2" w:name="P1558"/>
      <w:r/>
      <w:bookmarkEnd w:id="1"/>
      <w:r/>
      <w:bookmarkEnd w:id="2"/>
      <w:r>
        <w:rPr>
          <w:sz w:val="22"/>
        </w:rPr>
        <w:t xml:space="preserve">, Страховщик уплачивает Страхователю штраф в размере </w:t>
      </w:r>
      <w:r>
        <w:rPr>
          <w:sz w:val="22"/>
        </w:rPr>
        <w:t xml:space="preserve">10% (десять) процентов цены Контракта</w:t>
      </w:r>
      <w:r>
        <w:rPr>
          <w:sz w:val="22"/>
        </w:rPr>
        <w:t xml:space="preserve"> –_________________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В случае просрочки исполнения Страхователем обязательств, предусмотренных Контрактом, Страховщик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sz w:val="22"/>
          <w:szCs w:val="22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За каждый факт неисполнения Страхователем обязательств, предусмотренных Контрактом, за исключением просрочки исполнения обязательств, предусмотренных Контрактом, Страховщик вп</w:t>
      </w:r>
      <w:r>
        <w:rPr>
          <w:sz w:val="22"/>
          <w:szCs w:val="22"/>
        </w:rPr>
        <w:t xml:space="preserve">раве потребовать уплату штрафа в </w:t>
      </w:r>
      <w:r>
        <w:rPr>
          <w:sz w:val="22"/>
          <w:szCs w:val="22"/>
          <w:highlight w:val="white"/>
        </w:rPr>
        <w:t xml:space="preserve">размере</w:t>
      </w:r>
      <w:r>
        <w:rPr>
          <w:sz w:val="22"/>
          <w:szCs w:val="22"/>
          <w:highlight w:val="white"/>
        </w:rPr>
        <w:t xml:space="preserve"> 1</w:t>
      </w:r>
      <w:r>
        <w:rPr>
          <w:sz w:val="22"/>
          <w:highlight w:val="white"/>
        </w:rPr>
        <w:t xml:space="preserve">0% </w:t>
      </w:r>
      <w:r>
        <w:rPr>
          <w:sz w:val="22"/>
        </w:rPr>
        <w:t xml:space="preserve">(десять) процентов цены Контрак</w:t>
      </w:r>
      <w:r>
        <w:rPr>
          <w:sz w:val="22"/>
          <w:highlight w:val="white"/>
        </w:rPr>
        <w:t xml:space="preserve">та</w:t>
      </w:r>
      <w:r>
        <w:rPr>
          <w:sz w:val="22"/>
          <w:szCs w:val="22"/>
          <w:highlight w:val="white"/>
        </w:rPr>
        <w:t xml:space="preserve">–</w:t>
      </w:r>
      <w:r>
        <w:rPr>
          <w:sz w:val="22"/>
          <w:highlight w:val="white"/>
        </w:rPr>
        <w:t xml:space="preserve"> </w:t>
      </w:r>
      <w:r>
        <w:rPr>
          <w:sz w:val="22"/>
          <w:highlight w:val="none"/>
        </w:rPr>
        <w:t xml:space="preserve">____________________________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</w:rPr>
        <w:t xml:space="preserve">Общая сумма начисленной неустойки (штрафов, пени) за неисполнение или ненадлежащее исполнение Сторонами обязательств, предусмотренных Контрактом, не может превышать цену Контракта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numPr>
          <w:ilvl w:val="1"/>
          <w:numId w:val="34"/>
        </w:numPr>
        <w:ind w:left="0" w:firstLine="567"/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В случае расторжения Контракта в связи с односторонним отказом </w:t>
      </w:r>
      <w:r>
        <w:rPr>
          <w:sz w:val="22"/>
          <w:szCs w:val="22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jc w:val="both"/>
        <w:tabs>
          <w:tab w:val="left" w:pos="1134" w:leader="none"/>
        </w:tabs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numPr>
          <w:ilvl w:val="0"/>
          <w:numId w:val="9"/>
        </w:numPr>
        <w:ind w:left="0" w:firstLine="0"/>
        <w:jc w:val="center"/>
        <w:keepNext/>
        <w:tabs>
          <w:tab w:val="left" w:pos="284" w:leader="none"/>
        </w:tabs>
        <w:rPr>
          <w:rFonts w:eastAsia="MS Mincho"/>
          <w:b/>
          <w:bCs/>
          <w:sz w:val="22"/>
          <w:szCs w:val="22"/>
          <w:lang w:eastAsia="ar-SA"/>
        </w:rPr>
        <w:outlineLvl w:val="3"/>
      </w:pPr>
      <w:r>
        <w:rPr>
          <w:rFonts w:eastAsia="MS Mincho"/>
          <w:b/>
          <w:bCs/>
          <w:sz w:val="22"/>
          <w:szCs w:val="22"/>
          <w:lang w:eastAsia="ar-SA"/>
        </w:rPr>
        <w:t xml:space="preserve">Обстоятельства непреодолимой силы</w:t>
      </w:r>
      <w:r>
        <w:rPr>
          <w:rFonts w:eastAsia="MS Mincho"/>
          <w:b/>
          <w:bCs/>
          <w:sz w:val="22"/>
          <w:szCs w:val="22"/>
          <w:lang w:eastAsia="ar-SA"/>
        </w:rPr>
      </w:r>
      <w:r>
        <w:rPr>
          <w:rFonts w:eastAsia="MS Mincho"/>
          <w:b/>
          <w:bCs/>
          <w:sz w:val="22"/>
          <w:szCs w:val="22"/>
          <w:lang w:eastAsia="ar-SA"/>
        </w:rPr>
      </w:r>
    </w:p>
    <w:p>
      <w:pPr>
        <w:ind w:firstLine="705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5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9.2. При невыполнении или частичном невыполнении любой из Сторон обязательств по Контракту всл</w:t>
      </w:r>
      <w:r>
        <w:rPr>
          <w:sz w:val="22"/>
          <w:szCs w:val="22"/>
        </w:rPr>
        <w:t xml:space="preserve">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5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9.3. Сторона, для которой создалась невозможность исполнения обязательств в силу наступления обстоятельств непреодолимой силы, должна письменно известить об этом другую Сторону в течение 5 (пяти) рабочих дней со дня наступления таких обстоятельств.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5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9.4.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5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9.5.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line="240" w:lineRule="exact"/>
        <w:widowControl w:val="off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0"/>
          <w:numId w:val="9"/>
        </w:numPr>
        <w:ind w:firstLine="0"/>
        <w:jc w:val="center"/>
        <w:tabs>
          <w:tab w:val="left" w:pos="85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Порядок разрешения споров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10.1.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10.2. Претензия оформляется в письменной форме. В претензии перечисляются доп</w:t>
      </w:r>
      <w:r>
        <w:rPr>
          <w:rFonts w:eastAsia="Calibri"/>
          <w:sz w:val="22"/>
          <w:szCs w:val="22"/>
          <w:lang w:eastAsia="en-US"/>
        </w:rPr>
        <w:t xml:space="preserve">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color w:val="000000"/>
          <w:sz w:val="22"/>
          <w:szCs w:val="22"/>
        </w:rPr>
        <w:t xml:space="preserve">10.3. Срок рассмотрения претензионного письма (претензии) и направления ответа на него (неё) не может превышать 10 (десять) календарных дней со дня его получения Стороной</w:t>
      </w:r>
      <w:r>
        <w:rPr>
          <w:rFonts w:eastAsia="Calibri"/>
          <w:sz w:val="22"/>
          <w:szCs w:val="22"/>
          <w:lang w:eastAsia="en-US"/>
        </w:rPr>
        <w:t xml:space="preserve">.</w:t>
      </w:r>
      <w:r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firstLine="567"/>
        <w:jc w:val="both"/>
        <w:rPr>
          <w:color w:val="000000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10.4. </w:t>
      </w:r>
      <w:r>
        <w:rPr>
          <w:color w:val="000000"/>
          <w:sz w:val="22"/>
        </w:rPr>
        <w:t xml:space="preserve">В случае невозможности 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</w:t>
      </w:r>
      <w:r>
        <w:rPr>
          <w:sz w:val="22"/>
        </w:rPr>
        <w:t xml:space="preserve">в Арбитражном суде Республики Алтай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numPr>
          <w:ilvl w:val="0"/>
          <w:numId w:val="9"/>
        </w:numPr>
        <w:jc w:val="center"/>
        <w:rPr>
          <w:rFonts w:eastAsia="Calibri"/>
          <w:b/>
          <w:sz w:val="22"/>
          <w:szCs w:val="22"/>
          <w:highlight w:val="white"/>
        </w:rPr>
      </w:pPr>
      <w:r>
        <w:rPr>
          <w:rFonts w:eastAsia="Calibri"/>
          <w:b/>
          <w:sz w:val="22"/>
          <w:szCs w:val="22"/>
          <w:highlight w:val="white"/>
          <w:lang w:eastAsia="ar-SA"/>
        </w:rPr>
        <w:t xml:space="preserve">Срок действия Контракта</w:t>
      </w:r>
      <w:r>
        <w:rPr>
          <w:rFonts w:eastAsia="Calibri"/>
          <w:b/>
          <w:sz w:val="22"/>
          <w:szCs w:val="22"/>
          <w:highlight w:val="white"/>
        </w:rPr>
      </w:r>
      <w:r>
        <w:rPr>
          <w:rFonts w:eastAsia="Calibri"/>
          <w:b/>
          <w:sz w:val="22"/>
          <w:szCs w:val="22"/>
          <w:highlight w:val="white"/>
        </w:rPr>
      </w:r>
    </w:p>
    <w:p>
      <w:pPr>
        <w:ind w:firstLine="709"/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ar-SA"/>
        </w:rPr>
        <w:t xml:space="preserve">11.1. Контракт вступает в силу с момента его подписания обе</w:t>
      </w:r>
      <w:r>
        <w:rPr>
          <w:rFonts w:eastAsia="Calibri"/>
          <w:sz w:val="22"/>
          <w:szCs w:val="22"/>
          <w:highlight w:val="white"/>
          <w:lang w:eastAsia="ar-SA"/>
        </w:rPr>
        <w:t xml:space="preserve">ими Сторонами и действует </w:t>
      </w:r>
      <w:r>
        <w:rPr>
          <w:rFonts w:eastAsia="Calibri"/>
          <w:sz w:val="22"/>
          <w:szCs w:val="22"/>
          <w:highlight w:val="white"/>
          <w:lang w:eastAsia="ar-SA"/>
        </w:rPr>
        <w:t xml:space="preserve">по «</w:t>
      </w:r>
      <w:r>
        <w:rPr>
          <w:rFonts w:eastAsia="Calibri"/>
          <w:sz w:val="22"/>
          <w:szCs w:val="22"/>
          <w:highlight w:val="white"/>
          <w:lang w:eastAsia="ar-SA"/>
        </w:rPr>
        <w:t xml:space="preserve">31» декабря 2026</w:t>
      </w:r>
      <w:r>
        <w:rPr>
          <w:rFonts w:eastAsia="Calibri"/>
          <w:sz w:val="22"/>
          <w:szCs w:val="22"/>
          <w:highlight w:val="white"/>
          <w:lang w:eastAsia="ar-SA"/>
        </w:rPr>
        <w:t xml:space="preserve"> г.,</w:t>
      </w:r>
      <w:r>
        <w:rPr>
          <w:sz w:val="22"/>
          <w:szCs w:val="22"/>
          <w:highlight w:val="white"/>
        </w:rPr>
        <w:t xml:space="preserve"> </w:t>
      </w:r>
      <w:r>
        <w:rPr>
          <w:rFonts w:eastAsia="Calibri"/>
          <w:sz w:val="22"/>
          <w:szCs w:val="22"/>
          <w:highlight w:val="white"/>
          <w:lang w:eastAsia="ar-SA"/>
        </w:rPr>
        <w:t xml:space="preserve">а в части взаиморасчетов до полного исполнения</w:t>
      </w:r>
      <w:r>
        <w:rPr>
          <w:rFonts w:eastAsia="Calibri"/>
          <w:sz w:val="22"/>
          <w:szCs w:val="22"/>
          <w:highlight w:val="white"/>
        </w:rPr>
        <w:t xml:space="preserve">.</w:t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ind w:firstLine="709"/>
        <w:jc w:val="both"/>
        <w:rPr>
          <w:rFonts w:eastAsia="Calibri"/>
          <w:sz w:val="22"/>
          <w:szCs w:val="22"/>
          <w:lang w:eastAsia="ar-SA"/>
        </w:rPr>
      </w:pPr>
      <w:r>
        <w:rPr>
          <w:rFonts w:eastAsia="Calibri"/>
          <w:sz w:val="22"/>
          <w:szCs w:val="22"/>
          <w:highlight w:val="white"/>
          <w:lang w:eastAsia="ar-SA"/>
        </w:rPr>
        <w:t xml:space="preserve">11.2. </w:t>
      </w:r>
      <w:r>
        <w:rPr>
          <w:sz w:val="22"/>
          <w:highlight w:val="white"/>
        </w:rPr>
        <w:t xml:space="preserve">Окончание срока действия Контракта не влечет прекращения не</w:t>
      </w:r>
      <w:r>
        <w:rPr>
          <w:sz w:val="22"/>
          <w:highlight w:val="white"/>
        </w:rPr>
        <w:t xml:space="preserve">исп</w:t>
      </w:r>
      <w:r>
        <w:rPr>
          <w:sz w:val="22"/>
        </w:rPr>
        <w:t xml:space="preserve">олненных обязательств Сторон по Контракту, в том числе в части оплаты и гарантийных обязательств Страховщика.</w:t>
      </w:r>
      <w:r>
        <w:rPr>
          <w:rFonts w:eastAsia="Calibri"/>
          <w:sz w:val="22"/>
          <w:szCs w:val="22"/>
          <w:lang w:eastAsia="ar-SA"/>
        </w:rPr>
      </w:r>
      <w:r>
        <w:rPr>
          <w:rFonts w:eastAsia="Calibri"/>
          <w:sz w:val="22"/>
          <w:szCs w:val="22"/>
          <w:lang w:eastAsia="ar-SA"/>
        </w:rPr>
      </w:r>
    </w:p>
    <w:p>
      <w:pPr>
        <w:ind w:firstLine="709"/>
        <w:jc w:val="both"/>
        <w:rPr>
          <w:rFonts w:eastAsia="Calibri"/>
          <w:sz w:val="22"/>
          <w:szCs w:val="22"/>
          <w:lang w:eastAsia="ar-SA"/>
        </w:rPr>
      </w:pPr>
      <w:r>
        <w:rPr>
          <w:rFonts w:eastAsia="Calibri"/>
          <w:sz w:val="22"/>
          <w:szCs w:val="22"/>
          <w:lang w:eastAsia="ar-SA"/>
        </w:rPr>
      </w:r>
      <w:r>
        <w:rPr>
          <w:rFonts w:eastAsia="Calibri"/>
          <w:sz w:val="22"/>
          <w:szCs w:val="22"/>
          <w:lang w:eastAsia="ar-SA"/>
        </w:rPr>
      </w:r>
      <w:r>
        <w:rPr>
          <w:rFonts w:eastAsia="Calibri"/>
          <w:sz w:val="22"/>
          <w:szCs w:val="22"/>
          <w:lang w:eastAsia="ar-SA"/>
        </w:rPr>
      </w:r>
    </w:p>
    <w:p>
      <w:pPr>
        <w:numPr>
          <w:ilvl w:val="0"/>
          <w:numId w:val="9"/>
        </w:numPr>
        <w:contextualSpacing/>
        <w:ind w:left="0" w:right="-141" w:firstLine="0"/>
        <w:jc w:val="center"/>
        <w:tabs>
          <w:tab w:val="left" w:pos="426" w:leader="none"/>
        </w:tabs>
        <w:rPr>
          <w:rFonts w:eastAsia="Lucida Sans Unicode"/>
          <w:b/>
          <w:color w:val="000000"/>
          <w:sz w:val="22"/>
          <w:szCs w:val="22"/>
        </w:rPr>
        <w:outlineLvl w:val="0"/>
      </w:pPr>
      <w:r>
        <w:rPr>
          <w:rFonts w:eastAsia="Lucida Sans Unicode"/>
          <w:b/>
          <w:color w:val="000000"/>
          <w:sz w:val="22"/>
          <w:szCs w:val="22"/>
        </w:rPr>
        <w:t xml:space="preserve">Порядок изменения и расторжения Контракта</w:t>
      </w:r>
      <w:r>
        <w:rPr>
          <w:rFonts w:eastAsia="Lucida Sans Unicode"/>
          <w:b/>
          <w:color w:val="000000"/>
          <w:sz w:val="22"/>
          <w:szCs w:val="22"/>
        </w:rPr>
      </w:r>
      <w:r>
        <w:rPr>
          <w:rFonts w:eastAsia="Lucida Sans Unicode"/>
          <w:b/>
          <w:color w:val="000000"/>
          <w:sz w:val="22"/>
          <w:szCs w:val="22"/>
        </w:rPr>
      </w:r>
    </w:p>
    <w:p>
      <w:pPr>
        <w:numPr>
          <w:ilvl w:val="1"/>
          <w:numId w:val="0"/>
        </w:numPr>
        <w:contextualSpacing/>
        <w:ind w:firstLine="567"/>
        <w:jc w:val="both"/>
        <w:tabs>
          <w:tab w:val="left" w:pos="567" w:leader="none"/>
        </w:tabs>
        <w:rPr>
          <w:rFonts w:eastAsia="Calibri"/>
          <w:color w:val="000000"/>
          <w:sz w:val="22"/>
          <w:szCs w:val="22"/>
        </w:rPr>
        <w:outlineLvl w:val="1"/>
      </w:pPr>
      <w:r>
        <w:rPr>
          <w:color w:val="000000"/>
          <w:sz w:val="22"/>
          <w:szCs w:val="22"/>
        </w:rPr>
        <w:t xml:space="preserve">12.1. При исполнении Контракта </w:t>
      </w:r>
      <w:r>
        <w:rPr>
          <w:rFonts w:eastAsia="Calibri"/>
          <w:color w:val="000000"/>
          <w:sz w:val="22"/>
          <w:szCs w:val="22"/>
          <w:lang w:eastAsia="en-US"/>
        </w:rPr>
        <w:t xml:space="preserve">изменение существенных условий не допускается, за исключением их изменения по соглашению Сторон в случаях, предусмотренных </w:t>
      </w:r>
      <w:hyperlink r:id="rId10" w:tooltip="consultantplus://offline/ref=CDFFAB88F69942AA81735AB461C97DDDC6C600ACB68E22D74481AFF9DAE4EDC1D8A29BCCB21DC69BCD32942EEC85FCB31DD94683387191990BQCN" w:history="1">
        <w:r>
          <w:rPr>
            <w:rFonts w:eastAsia="Calibri"/>
            <w:color w:val="000000"/>
            <w:sz w:val="22"/>
            <w:szCs w:val="22"/>
            <w:lang w:eastAsia="en-US"/>
          </w:rPr>
          <w:t xml:space="preserve">статьей 95</w:t>
        </w:r>
      </w:hyperlink>
      <w:r>
        <w:rPr>
          <w:rFonts w:eastAsia="Calibri"/>
          <w:color w:val="000000"/>
          <w:sz w:val="22"/>
          <w:szCs w:val="22"/>
          <w:lang w:eastAsia="en-US"/>
        </w:rPr>
        <w:t xml:space="preserve"> Федерального закона № 44-ФЗ</w:t>
      </w:r>
      <w:r>
        <w:rPr>
          <w:rFonts w:eastAsia="Calibri"/>
          <w:color w:val="000000"/>
          <w:sz w:val="22"/>
          <w:szCs w:val="22"/>
        </w:rPr>
        <w:t xml:space="preserve">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numPr>
          <w:ilvl w:val="1"/>
          <w:numId w:val="0"/>
        </w:numPr>
        <w:contextualSpacing/>
        <w:ind w:right="-141" w:firstLine="567"/>
        <w:jc w:val="both"/>
        <w:tabs>
          <w:tab w:val="left" w:pos="567" w:leader="none"/>
        </w:tabs>
        <w:rPr>
          <w:color w:val="000000"/>
          <w:sz w:val="22"/>
          <w:szCs w:val="22"/>
        </w:rPr>
        <w:outlineLvl w:val="1"/>
      </w:pPr>
      <w:r>
        <w:rPr>
          <w:color w:val="000000"/>
          <w:sz w:val="22"/>
          <w:szCs w:val="22"/>
        </w:rPr>
        <w:t xml:space="preserve">12.2. </w:t>
      </w:r>
      <w:r>
        <w:rPr>
          <w:color w:val="000000"/>
          <w:sz w:val="22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и в соответствии ч. 8 ст.95 </w:t>
      </w:r>
      <w:r>
        <w:rPr>
          <w:rFonts w:eastAsia="Calibri"/>
          <w:color w:val="000000"/>
          <w:sz w:val="22"/>
        </w:rPr>
        <w:t xml:space="preserve">Федерального</w:t>
      </w:r>
      <w:r>
        <w:rPr>
          <w:color w:val="000000"/>
          <w:sz w:val="22"/>
        </w:rPr>
        <w:t xml:space="preserve"> Закона№ 44-ФЗ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numPr>
          <w:ilvl w:val="1"/>
          <w:numId w:val="0"/>
        </w:numPr>
        <w:contextualSpacing/>
        <w:ind w:right="-141" w:firstLine="567"/>
        <w:jc w:val="both"/>
        <w:tabs>
          <w:tab w:val="left" w:pos="567" w:leader="none"/>
        </w:tabs>
        <w:rPr>
          <w:color w:val="000000"/>
          <w:sz w:val="22"/>
          <w:szCs w:val="22"/>
        </w:rPr>
        <w:outlineLvl w:val="1"/>
      </w:pPr>
      <w:r>
        <w:rPr>
          <w:rFonts w:eastAsia="Calibri"/>
          <w:color w:val="000000"/>
          <w:sz w:val="22"/>
          <w:szCs w:val="22"/>
        </w:rPr>
        <w:t xml:space="preserve">12.3. </w:t>
      </w:r>
      <w:r>
        <w:rPr>
          <w:rFonts w:eastAsia="Calibri"/>
          <w:color w:val="000000"/>
          <w:sz w:val="22"/>
        </w:rPr>
        <w:t xml:space="preserve"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при условии нарушении </w:t>
      </w:r>
      <w:r>
        <w:rPr>
          <w:sz w:val="22"/>
        </w:rPr>
        <w:t xml:space="preserve">Поставщиком</w:t>
      </w:r>
      <w:r>
        <w:rPr>
          <w:rFonts w:eastAsia="Calibri"/>
          <w:color w:val="000000"/>
          <w:sz w:val="22"/>
        </w:rPr>
        <w:t xml:space="preserve"> существенных условий исполнения Контракта в </w:t>
      </w:r>
      <w:r>
        <w:rPr>
          <w:color w:val="000000"/>
          <w:sz w:val="22"/>
        </w:rPr>
        <w:t xml:space="preserve">соответствии с положениями ч. </w:t>
      </w:r>
      <w:hyperlink r:id="rId11" w:tooltip="consultantplus://offline/ref=A2D69AC08064922D32287949DDED4C1F70851D1C7AE90ADC3560D68FC9690E34CD5B6C8B59505CFA6FF2629CEE07E04EB9C08F309025C4EBW8q7F" w:history="1">
        <w:r>
          <w:rPr>
            <w:color w:val="000000"/>
            <w:sz w:val="22"/>
          </w:rPr>
          <w:t xml:space="preserve">9</w:t>
        </w:r>
      </w:hyperlink>
      <w:r>
        <w:rPr>
          <w:color w:val="000000"/>
          <w:sz w:val="22"/>
        </w:rPr>
        <w:t xml:space="preserve"> - </w:t>
      </w:r>
      <w:hyperlink r:id="rId12" w:tooltip="consultantplus://offline/ref=A2D69AC08064922D32287949DDED4C1F70851D1C7AE90ADC3560D68FC9690E34CD5B6C8B59505CFA62F2629CEE07E04EB9C08F309025C4EBW8q7F" w:history="1">
        <w:r>
          <w:rPr>
            <w:color w:val="000000"/>
            <w:sz w:val="22"/>
          </w:rPr>
          <w:t xml:space="preserve">11</w:t>
        </w:r>
      </w:hyperlink>
      <w:r>
        <w:rPr>
          <w:color w:val="000000"/>
          <w:sz w:val="22"/>
        </w:rPr>
        <w:t xml:space="preserve">, </w:t>
      </w:r>
      <w:hyperlink r:id="rId13" w:tooltip="consultantplus://offline/ref=A2D69AC08064922D32287949DDED4C1F70851D1C7AE90ADC3560D68FC9690E34CD5B6C8B59505CFB6AF2629CEE07E04EB9C08F309025C4EBW8q7F" w:history="1">
        <w:r>
          <w:rPr>
            <w:color w:val="000000"/>
            <w:sz w:val="22"/>
          </w:rPr>
          <w:t xml:space="preserve">12.1</w:t>
        </w:r>
      </w:hyperlink>
      <w:r>
        <w:rPr>
          <w:color w:val="000000"/>
          <w:sz w:val="22"/>
        </w:rPr>
        <w:t xml:space="preserve"> - </w:t>
      </w:r>
      <w:hyperlink r:id="rId14" w:tooltip="consultantplus://offline/ref=A2D69AC08064922D32287949DDED4C1F70851D1C7AE90ADC3560D68FC9690E34CD5B6C8B595058F16FF2629CEE07E04EB9C08F309025C4EBW8q7F" w:history="1">
        <w:r>
          <w:rPr>
            <w:color w:val="000000"/>
            <w:sz w:val="22"/>
          </w:rPr>
          <w:t xml:space="preserve">19</w:t>
        </w:r>
      </w:hyperlink>
      <w:r>
        <w:rPr>
          <w:color w:val="000000"/>
          <w:sz w:val="22"/>
        </w:rPr>
        <w:t xml:space="preserve">, </w:t>
      </w:r>
      <w:hyperlink r:id="rId15" w:tooltip="consultantplus://offline/ref=A2D69AC08064922D32287949DDED4C1F70851D1C7AE90ADC3560D68FC9690E34CD5B6C8B59505CFB62F2629CEE07E04EB9C08F309025C4EBW8q7F" w:history="1">
        <w:r>
          <w:rPr>
            <w:color w:val="000000"/>
            <w:sz w:val="22"/>
          </w:rPr>
          <w:t xml:space="preserve">20.1</w:t>
        </w:r>
      </w:hyperlink>
      <w:r>
        <w:rPr>
          <w:color w:val="000000"/>
          <w:sz w:val="22"/>
        </w:rPr>
        <w:t xml:space="preserve"> - </w:t>
      </w:r>
      <w:hyperlink r:id="rId16" w:tooltip="consultantplus://offline/ref=A2D69AC08064922D32287949DDED4C1F70851D1C7AE90ADC3560D68FC9690E34CD5B6C8B59505CFC6AF2629CEE07E04EB9C08F309025C4EBW8q7F" w:history="1">
        <w:r>
          <w:rPr>
            <w:color w:val="000000"/>
            <w:sz w:val="22"/>
          </w:rPr>
          <w:t xml:space="preserve">23</w:t>
        </w:r>
      </w:hyperlink>
      <w:r>
        <w:rPr>
          <w:color w:val="000000"/>
          <w:sz w:val="22"/>
        </w:rPr>
        <w:t xml:space="preserve"> ст. 95 </w:t>
      </w:r>
      <w:r>
        <w:rPr>
          <w:rFonts w:eastAsia="Calibri"/>
          <w:color w:val="000000"/>
          <w:sz w:val="22"/>
        </w:rPr>
        <w:t xml:space="preserve">Федерального</w:t>
      </w:r>
      <w:r>
        <w:rPr>
          <w:color w:val="000000"/>
          <w:sz w:val="22"/>
        </w:rPr>
        <w:t xml:space="preserve"> Закона№ 44-ФЗ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numPr>
          <w:ilvl w:val="1"/>
          <w:numId w:val="0"/>
        </w:numPr>
        <w:contextualSpacing/>
        <w:ind w:firstLine="567"/>
        <w:jc w:val="both"/>
        <w:spacing w:line="240" w:lineRule="exact"/>
        <w:tabs>
          <w:tab w:val="left" w:pos="567" w:leader="none"/>
        </w:tabs>
        <w:rPr>
          <w:rFonts w:eastAsia="Calibri"/>
          <w:color w:val="000000"/>
          <w:sz w:val="22"/>
          <w:szCs w:val="22"/>
        </w:rPr>
        <w:outlineLvl w:val="1"/>
      </w:pPr>
      <w:r>
        <w:rPr>
          <w:rFonts w:eastAsia="Calibri"/>
          <w:color w:val="000000"/>
          <w:sz w:val="22"/>
          <w:szCs w:val="22"/>
        </w:rPr>
        <w:t xml:space="preserve">12.4. Любые изменения и дополнения (приложения) к Контракту, независимо от их наименования, должны совершаться Сторонами в письменной форме, вступают в силу после подписания их Сторонами, и становятся неотъемлемой частью Контракта.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numPr>
          <w:ilvl w:val="1"/>
          <w:numId w:val="0"/>
        </w:numPr>
        <w:contextualSpacing/>
        <w:ind w:firstLine="567"/>
        <w:jc w:val="both"/>
        <w:spacing w:line="240" w:lineRule="exact"/>
        <w:tabs>
          <w:tab w:val="left" w:pos="0" w:leader="none"/>
        </w:tabs>
        <w:rPr>
          <w:rFonts w:eastAsia="Calibri"/>
          <w:color w:val="000000"/>
          <w:sz w:val="22"/>
          <w:szCs w:val="22"/>
        </w:rPr>
        <w:outlineLvl w:val="1"/>
      </w:pP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numPr>
          <w:ilvl w:val="0"/>
          <w:numId w:val="9"/>
        </w:numPr>
        <w:contextualSpacing/>
        <w:ind w:left="0" w:firstLine="567"/>
        <w:jc w:val="center"/>
        <w:spacing w:line="240" w:lineRule="exact"/>
        <w:tabs>
          <w:tab w:val="left" w:pos="993" w:leader="none"/>
        </w:tabs>
        <w:rPr>
          <w:rFonts w:eastAsia="Calibri"/>
          <w:sz w:val="22"/>
          <w:szCs w:val="22"/>
          <w:lang w:eastAsia="en-US"/>
        </w:rPr>
        <w:outlineLvl w:val="1"/>
      </w:pPr>
      <w:r>
        <w:rPr>
          <w:b/>
          <w:color w:val="000000"/>
          <w:sz w:val="22"/>
          <w:szCs w:val="22"/>
        </w:rPr>
        <w:t xml:space="preserve">Заключительные положения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567"/>
        <w:jc w:val="both"/>
        <w:spacing w:line="240" w:lineRule="exact"/>
        <w:tabs>
          <w:tab w:val="left" w:pos="1134" w:leader="none"/>
        </w:tabs>
        <w:rPr>
          <w:rFonts w:eastAsia="Calibri"/>
          <w:sz w:val="22"/>
          <w:szCs w:val="22"/>
          <w:lang w:eastAsia="en-US"/>
        </w:rPr>
        <w:outlineLvl w:val="1"/>
      </w:pPr>
      <w:r>
        <w:rPr>
          <w:rFonts w:eastAsia="Calibri"/>
          <w:sz w:val="22"/>
          <w:szCs w:val="22"/>
          <w:lang w:eastAsia="en-US"/>
        </w:rPr>
        <w:t xml:space="preserve">13.1. </w:t>
      </w:r>
      <w:r>
        <w:rPr>
          <w:color w:val="000000"/>
          <w:sz w:val="22"/>
          <w:szCs w:val="22"/>
        </w:rPr>
        <w:t xml:space="preserve">Во всем, что не урегулировано настоящим Контрактом, применяются нормы действующего гражданского законодательства Российской Федерации</w:t>
      </w:r>
      <w:r>
        <w:rPr>
          <w:rFonts w:eastAsia="Calibri"/>
          <w:sz w:val="22"/>
          <w:szCs w:val="22"/>
          <w:lang w:eastAsia="en-US"/>
        </w:rPr>
        <w:t xml:space="preserve">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right="-141" w:firstLine="567"/>
        <w:jc w:val="both"/>
        <w:tabs>
          <w:tab w:val="left" w:pos="567" w:leader="none"/>
          <w:tab w:val="left" w:pos="851" w:leader="none"/>
        </w:tabs>
        <w:rPr>
          <w:color w:val="000000"/>
          <w:sz w:val="22"/>
          <w:szCs w:val="22"/>
        </w:rPr>
        <w:outlineLvl w:val="1"/>
      </w:pPr>
      <w:r>
        <w:rPr>
          <w:color w:val="000000"/>
          <w:sz w:val="22"/>
          <w:szCs w:val="22"/>
        </w:rPr>
        <w:t xml:space="preserve">13.2.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ри исполнении Контракта не допускается перемена Страховщика, за исключением случая, если новый страховщик является правопреемником Страховщика по такому Контракту вследствие реорганизации юридического лица в форме преобразования, слияния или присоединения </w:t>
      </w:r>
      <w:r>
        <w:rPr>
          <w:bCs/>
          <w:sz w:val="22"/>
          <w:szCs w:val="22"/>
        </w:rPr>
        <w:t xml:space="preserve">в соответствии с частью 5 статьи 95 </w:t>
      </w:r>
      <w:r>
        <w:rPr>
          <w:sz w:val="22"/>
          <w:szCs w:val="22"/>
        </w:rPr>
        <w:t xml:space="preserve">Закона № 44-ФЗ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56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13.3. </w:t>
      </w:r>
      <w:r>
        <w:rPr>
          <w:sz w:val="22"/>
          <w:szCs w:val="22"/>
        </w:rPr>
        <w:t xml:space="preserve">В случае перемены Страхователя права и обязанности Страхователя, предусмотренные Контрактом, переходят к новому страхователю</w:t>
      </w:r>
      <w:r>
        <w:rPr>
          <w:bCs/>
          <w:sz w:val="22"/>
          <w:szCs w:val="22"/>
        </w:rPr>
        <w:t xml:space="preserve"> в соответствии с частью 6 статьи 95 </w:t>
      </w:r>
      <w:r>
        <w:rPr>
          <w:sz w:val="22"/>
          <w:szCs w:val="22"/>
        </w:rPr>
        <w:t xml:space="preserve">Закона № 44-ФЗ</w:t>
      </w:r>
      <w:r>
        <w:rPr>
          <w:sz w:val="22"/>
          <w:szCs w:val="22"/>
          <w:shd w:val="clear" w:color="auto" w:fill="ffffff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13.4. </w:t>
      </w:r>
      <w:r>
        <w:rPr>
          <w:color w:val="000000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</w:t>
      </w:r>
      <w:r>
        <w:rPr>
          <w:rFonts w:eastAsia="Calibri"/>
          <w:sz w:val="22"/>
          <w:szCs w:val="22"/>
          <w:lang w:eastAsia="en-US"/>
        </w:rPr>
        <w:t xml:space="preserve">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pStyle w:val="959"/>
        <w:ind w:left="40" w:firstLine="669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13.5. </w:t>
      </w:r>
      <w:r>
        <w:rPr>
          <w:color w:val="000000"/>
          <w:sz w:val="22"/>
          <w:szCs w:val="22"/>
        </w:rPr>
        <w:t xml:space="preserve">Стороны обязуются информировать друг друга об изменении своих адресов и </w:t>
      </w:r>
      <w:r>
        <w:rPr>
          <w:color w:val="000000"/>
          <w:sz w:val="22"/>
          <w:szCs w:val="22"/>
        </w:rPr>
        <w:t xml:space="preserve">платежных реквизитов в течение 5 (пяти</w:t>
      </w:r>
      <w:r>
        <w:rPr>
          <w:color w:val="000000"/>
          <w:sz w:val="22"/>
          <w:szCs w:val="22"/>
        </w:rPr>
        <w:t xml:space="preserve">) дне</w:t>
      </w:r>
      <w:r>
        <w:rPr>
          <w:color w:val="000000"/>
          <w:sz w:val="22"/>
          <w:szCs w:val="22"/>
        </w:rPr>
        <w:t xml:space="preserve">й со дня изменения. Риск ненадлежащего исполнения Контракта, возникшего в связи с несвоевременным уведомлением, несет Сторона, которая не известила или несвоевременно известила другую Сторону об изменении сведений и информации, указанных в настоящем пункте</w:t>
      </w:r>
      <w:r>
        <w:rPr>
          <w:rFonts w:eastAsia="Calibri"/>
          <w:sz w:val="22"/>
          <w:szCs w:val="22"/>
          <w:lang w:eastAsia="en-US"/>
        </w:rPr>
        <w:t xml:space="preserve">.</w:t>
      </w:r>
      <w:r>
        <w:rPr>
          <w:sz w:val="22"/>
          <w:szCs w:val="22"/>
        </w:rPr>
        <w:t xml:space="preserve"> Письменное уведомление об изменении адресов и платежных реквизитов вступает в силу в день его получения Стороной и является неотъемлемой частью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tabs>
          <w:tab w:val="left" w:pos="567" w:leader="none"/>
        </w:tabs>
        <w:rPr>
          <w:color w:val="000000"/>
          <w:sz w:val="22"/>
          <w:szCs w:val="22"/>
        </w:rPr>
        <w:outlineLvl w:val="1"/>
      </w:pPr>
      <w:r>
        <w:rPr>
          <w:color w:val="000000"/>
          <w:sz w:val="22"/>
          <w:szCs w:val="22"/>
        </w:rPr>
        <w:t xml:space="preserve">13.6. Все приложения к Контракту должны быть оформлены в со</w:t>
      </w:r>
      <w:r>
        <w:rPr>
          <w:color w:val="000000"/>
          <w:sz w:val="22"/>
          <w:szCs w:val="22"/>
        </w:rPr>
        <w:t xml:space="preserve">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567"/>
        <w:jc w:val="both"/>
        <w:rPr>
          <w:sz w:val="22"/>
          <w:szCs w:val="22"/>
          <w:lang w:eastAsia="ar-SA"/>
        </w:rPr>
      </w:pPr>
      <w:r>
        <w:rPr>
          <w:rFonts w:eastAsia="Calibri"/>
          <w:sz w:val="22"/>
          <w:szCs w:val="22"/>
        </w:rPr>
        <w:t xml:space="preserve">13.7.</w:t>
      </w:r>
      <w:r>
        <w:rPr>
          <w:rFonts w:eastAsia="Calibri"/>
          <w:sz w:val="22"/>
          <w:szCs w:val="22"/>
        </w:rPr>
        <w:tab/>
        <w:t xml:space="preserve"> Контракт</w:t>
      </w:r>
      <w:r>
        <w:rPr>
          <w:sz w:val="22"/>
          <w:szCs w:val="22"/>
          <w:lang w:eastAsia="ar-SA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contextualSpacing/>
        <w:ind w:right="-141" w:firstLine="567"/>
        <w:jc w:val="both"/>
        <w:tabs>
          <w:tab w:val="left" w:pos="284" w:leader="none"/>
          <w:tab w:val="left" w:pos="567" w:leader="none"/>
        </w:tabs>
        <w:rPr>
          <w:color w:val="000000"/>
          <w:sz w:val="22"/>
          <w:szCs w:val="22"/>
        </w:rPr>
        <w:outlineLvl w:val="1"/>
      </w:pPr>
      <w:r>
        <w:rPr>
          <w:color w:val="000000"/>
          <w:sz w:val="22"/>
          <w:szCs w:val="22"/>
        </w:rPr>
        <w:t xml:space="preserve">13.8. </w:t>
      </w:r>
      <w:r>
        <w:rPr>
          <w:rFonts w:eastAsia="Lucida Sans Unicode"/>
          <w:color w:val="000000"/>
          <w:sz w:val="22"/>
          <w:szCs w:val="22"/>
        </w:rPr>
        <w:t xml:space="preserve">Неотъемлемой частью настоящего Контракта являются следующие Приложения: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Приложение № 1 Техническое задание </w:t>
      </w:r>
      <w:r>
        <w:rPr>
          <w:sz w:val="22"/>
          <w:szCs w:val="22"/>
        </w:rPr>
        <w:t xml:space="preserve">«Оказание услуг по страхованию ответственности владельца беспилотного воздушного судна перед третьими лицами)</w:t>
      </w:r>
      <w:r>
        <w:rPr>
          <w:rFonts w:eastAsia="Calibri"/>
          <w:sz w:val="22"/>
          <w:szCs w:val="22"/>
          <w:lang w:eastAsia="en-US"/>
        </w:rPr>
        <w:t xml:space="preserve">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Приложение № 2 Спецификация </w:t>
      </w:r>
      <w:r>
        <w:rPr>
          <w:sz w:val="22"/>
          <w:szCs w:val="22"/>
        </w:rPr>
        <w:t xml:space="preserve">«Оказание услуг по страхованию ответственности владельца беспилотного воздушного судна перед третьими лицами)</w:t>
      </w:r>
      <w:r>
        <w:rPr>
          <w:rFonts w:eastAsia="Calibri"/>
          <w:sz w:val="22"/>
          <w:szCs w:val="22"/>
          <w:lang w:eastAsia="en-US"/>
        </w:rPr>
        <w:t xml:space="preserve">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pStyle w:val="974"/>
        <w:numPr>
          <w:ilvl w:val="0"/>
          <w:numId w:val="38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Адреса и банковские реквизиты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74"/>
        <w:ind w:left="1065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81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98" w:type="dxa"/>
            <w:textDirection w:val="lrTb"/>
            <w:noWrap w:val="false"/>
          </w:tcPr>
          <w:p>
            <w:pPr>
              <w:ind w:firstLine="709"/>
              <w:jc w:val="both"/>
              <w:widowControl w:val="off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Страхователь: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  <w:p>
            <w:pPr>
              <w:ind w:right="49"/>
              <w:jc w:val="both"/>
              <w:widowControl w:val="off"/>
            </w:pPr>
            <w:r>
              <w:t xml:space="preserve">Межрегиональное управление Федеральной службы по надзору в сфере природопользования по Нижегородской области и Республике Мордовия</w:t>
            </w:r>
            <w:r/>
          </w:p>
          <w:p>
            <w:pPr>
              <w:ind w:right="49"/>
              <w:jc w:val="both"/>
              <w:widowControl w:val="off"/>
            </w:pPr>
            <w:r>
              <w:t xml:space="preserve">ИНН: 5260107770 КПП: 526001001</w:t>
            </w:r>
            <w:r/>
          </w:p>
          <w:p>
            <w:pPr>
              <w:ind w:right="49"/>
              <w:jc w:val="both"/>
              <w:widowControl w:val="off"/>
            </w:pPr>
            <w:r>
              <w:t xml:space="preserve">ОГРН: 1025203013516</w:t>
            </w:r>
            <w:r/>
          </w:p>
          <w:p>
            <w:pPr>
              <w:ind w:right="49"/>
              <w:jc w:val="both"/>
              <w:widowControl w:val="off"/>
            </w:pPr>
            <w:r>
              <w:t xml:space="preserve">Место нахождения: 603000, г. Н. Новгород, ул. Максима Горького, 150</w:t>
            </w:r>
            <w:r/>
          </w:p>
          <w:p>
            <w:pPr>
              <w:ind w:right="49"/>
              <w:jc w:val="both"/>
              <w:widowControl w:val="off"/>
            </w:pPr>
            <w:r>
              <w:t xml:space="preserve">БИК ТОФК 012202102 </w:t>
            </w:r>
            <w:r>
              <w:rPr>
                <w:sz w:val="26"/>
                <w:szCs w:val="26"/>
                <w:highlight w:val="white"/>
              </w:rPr>
              <w:t xml:space="preserve">ОКЦ №1 ВВГУ БАНКА РОССИИ</w:t>
            </w:r>
            <w:r>
              <w:t xml:space="preserve">//УФК по Нижегородской области г. Нижний Новгород</w:t>
            </w:r>
            <w:r/>
          </w:p>
          <w:p>
            <w:pPr>
              <w:ind w:right="49"/>
              <w:jc w:val="both"/>
              <w:widowControl w:val="off"/>
            </w:pPr>
            <w:r>
              <w:t xml:space="preserve">ЕДИНЫЙ КАЗНАЧЕЙСКИЙ СЧЕТ (Корреспондентский счет)  40102810745370000024</w:t>
            </w:r>
            <w:r/>
          </w:p>
          <w:p>
            <w:pPr>
              <w:ind w:right="49"/>
              <w:jc w:val="both"/>
              <w:widowControl w:val="off"/>
            </w:pPr>
            <w:r>
              <w:t xml:space="preserve">КАЗНАЧЕЙСКИЙ СЧЕТ 03211643000000013200</w:t>
            </w:r>
            <w:r/>
          </w:p>
          <w:p>
            <w:pPr>
              <w:rPr>
                <w:b/>
              </w:rPr>
            </w:pPr>
            <w:r>
              <w:t xml:space="preserve">УФК по Нижегородской области (Межрегиональное управление Росприроднадзора по Нижегородской области и Республике Мордовия, л/с 03321780560)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От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 xml:space="preserve">имени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 xml:space="preserve">Страхователя</w:t>
            </w:r>
            <w:r>
              <w:rPr>
                <w:b/>
                <w:bCs/>
                <w:sz w:val="21"/>
                <w:szCs w:val="21"/>
              </w:rPr>
              <w:t xml:space="preserve">: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keepLines/>
              <w:keepNext/>
              <w:widowControl w:val="off"/>
              <w:tabs>
                <w:tab w:val="num" w:pos="432" w:leader="none"/>
                <w:tab w:val="left" w:pos="9781" w:leader="none"/>
              </w:tabs>
              <w:rPr>
                <w:rFonts w:eastAsia="Calibri"/>
                <w:sz w:val="22"/>
                <w:szCs w:val="22"/>
                <w:lang w:eastAsia="en-US"/>
              </w:rPr>
              <w:suppressLineNumbers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Руководитель 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keepLines/>
              <w:keepNext/>
              <w:widowControl w:val="off"/>
              <w:tabs>
                <w:tab w:val="num" w:pos="432" w:leader="none"/>
                <w:tab w:val="left" w:pos="9781" w:leader="none"/>
              </w:tabs>
              <w:rPr>
                <w:rFonts w:eastAsia="Calibri"/>
                <w:sz w:val="22"/>
                <w:szCs w:val="22"/>
                <w:lang w:eastAsia="en-US"/>
              </w:rPr>
              <w:suppressLineNumbers/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keepLines/>
              <w:keepNext/>
              <w:widowControl w:val="off"/>
              <w:tabs>
                <w:tab w:val="num" w:pos="432" w:leader="none"/>
                <w:tab w:val="left" w:pos="9781" w:leader="none"/>
              </w:tabs>
              <w:rPr>
                <w:rFonts w:eastAsia="Calibri"/>
                <w:sz w:val="22"/>
                <w:szCs w:val="22"/>
                <w:lang w:eastAsia="en-US"/>
              </w:rPr>
              <w:suppressLineNumbers/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_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__________________ /М.А. Чиненков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/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13" w:type="dxa"/>
            <w:textDirection w:val="lrTb"/>
            <w:noWrap w:val="false"/>
          </w:tcPr>
          <w:p>
            <w:pPr>
              <w:ind w:firstLine="709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Страховщик: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ind w:firstLine="4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  <w:r>
              <w:rPr>
                <w:rFonts w:eastAsia="Arial Unicode MS"/>
                <w:color w:val="000000"/>
                <w:sz w:val="22"/>
                <w:szCs w:val="22"/>
              </w:rPr>
            </w:r>
          </w:p>
          <w:p>
            <w:pPr>
              <w:widowControl w:val="off"/>
              <w:rPr>
                <w:rFonts w:eastAsia="Calibri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_________________ /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_______________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/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  <w:p>
            <w:pPr>
              <w:ind w:firstLine="709"/>
              <w:jc w:val="both"/>
              <w:widowControl w:val="off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</w:tbl>
    <w:p>
      <w:pPr>
        <w:pStyle w:val="974"/>
        <w:ind w:left="1065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Приложение № 1</w:t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к Государственному Контракту </w:t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b/>
          <w:sz w:val="26"/>
          <w:szCs w:val="26"/>
          <w:highlight w:val="white"/>
        </w:rPr>
      </w:pPr>
      <w:r>
        <w:rPr>
          <w:rFonts w:eastAsia="Calibri"/>
          <w:sz w:val="20"/>
          <w:szCs w:val="20"/>
          <w:highlight w:val="white"/>
          <w:lang w:eastAsia="en-US"/>
        </w:rPr>
        <w:t xml:space="preserve"> № </w:t>
      </w:r>
      <w:r>
        <w:rPr>
          <w:sz w:val="22"/>
          <w:szCs w:val="22"/>
          <w:highlight w:val="white"/>
        </w:rPr>
        <w:t xml:space="preserve">_____________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jc w:val="center"/>
        <w:widowControl w:val="off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b/>
          <w:sz w:val="22"/>
          <w:szCs w:val="22"/>
        </w:rPr>
        <w:t xml:space="preserve">Техническое задание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на оказание услуг по страхованию ответственности владельца беспилотного воздушного судна перед третьими лицами</w:t>
      </w:r>
      <w:r>
        <w:rPr>
          <w:rFonts w:eastAsia="Calibri"/>
          <w:b/>
          <w:sz w:val="22"/>
          <w:szCs w:val="22"/>
          <w:lang w:eastAsia="en-US"/>
        </w:rPr>
      </w:r>
      <w:r>
        <w:rPr>
          <w:rFonts w:eastAsia="Calibri"/>
          <w:b/>
          <w:sz w:val="22"/>
          <w:szCs w:val="22"/>
          <w:lang w:eastAsia="en-US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0"/>
          <w:numId w:val="37"/>
        </w:numPr>
        <w:ind w:left="0" w:firstLine="567"/>
        <w:jc w:val="both"/>
        <w:tabs>
          <w:tab w:val="left" w:pos="851" w:leader="none"/>
        </w:tabs>
        <w:rPr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Наименование объекта закупки</w:t>
      </w:r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 xml:space="preserve">Оказание услуг по обязательному страхованию ответственности владельца </w:t>
      </w:r>
      <w:r>
        <w:rPr>
          <w:rFonts w:eastAsia="Calibri"/>
          <w:sz w:val="22"/>
          <w:szCs w:val="22"/>
          <w:lang w:eastAsia="en-US"/>
        </w:rPr>
        <w:t xml:space="preserve">беспилотного воздушного судна</w:t>
      </w:r>
      <w:r>
        <w:rPr>
          <w:sz w:val="22"/>
          <w:szCs w:val="22"/>
        </w:rPr>
        <w:t xml:space="preserve"> перед третьими лицами (далее – Услуги и БВС, соответственно).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0"/>
          <w:numId w:val="37"/>
        </w:numPr>
        <w:ind w:left="0" w:firstLine="567"/>
        <w:jc w:val="both"/>
        <w:tabs>
          <w:tab w:val="left" w:pos="85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 и количество Услуг: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455"/>
        <w:gridCol w:w="1371"/>
        <w:gridCol w:w="1202"/>
        <w:gridCol w:w="1317"/>
      </w:tblGrid>
      <w:tr>
        <w:tblPrEx/>
        <w:trPr>
          <w:jc w:val="center"/>
        </w:trPr>
        <w:tc>
          <w:tcPr>
            <w:tcW w:w="545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Наименование услуг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37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Код ОКПД2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20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Единица измерения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W w:w="545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eastAsia="Calibri"/>
                <w:sz w:val="22"/>
                <w:szCs w:val="22"/>
                <w:highlight w:val="white"/>
                <w:lang w:eastAsia="en-US"/>
              </w:rPr>
            </w:r>
            <w:r>
              <w:rPr>
                <w:rFonts w:eastAsia="Calibri"/>
                <w:sz w:val="22"/>
                <w:szCs w:val="22"/>
                <w:highlight w:val="white"/>
                <w:lang w:eastAsia="en-US"/>
              </w:rPr>
              <w:t xml:space="preserve">65.12.32.000 - Услуги по страхованию гражданской ответственности владельцев воздушных и космических транспортных средств</w:t>
            </w:r>
            <w:r>
              <w:rPr>
                <w:rFonts w:eastAsia="Calibri"/>
                <w:sz w:val="22"/>
                <w:szCs w:val="22"/>
                <w:highlight w:val="white"/>
                <w14:ligatures w14:val="none"/>
              </w:rPr>
            </w:r>
            <w:r>
              <w:rPr>
                <w:rFonts w:eastAsia="Calibri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W w:w="137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65.12.32.000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20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штука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</w:tbl>
    <w:p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0"/>
          <w:numId w:val="37"/>
        </w:numPr>
        <w:ind w:left="0" w:firstLine="567"/>
        <w:jc w:val="both"/>
        <w:tabs>
          <w:tab w:val="left" w:pos="85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Описание объекта закупки: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141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Оказание услуг по обязательному страхованию гражданской ответственности Страхователя БВС перед третьими лицами за вред, причиненный жизни, здоровью и/или имуществу третьих лиц при эксплуатации БВС.</w:t>
      </w:r>
      <w:r>
        <w:rPr>
          <w:rFonts w:eastAsia="Calibri"/>
          <w:bCs/>
          <w:sz w:val="22"/>
          <w:szCs w:val="22"/>
          <w:lang w:eastAsia="en-US"/>
        </w:rPr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numPr>
          <w:ilvl w:val="1"/>
          <w:numId w:val="3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Оказание Услуги должно соответствовать характеристикам, указанным в Таблице № 1: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792"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7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Таблица№1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56"/>
        <w:gridCol w:w="6633"/>
      </w:tblGrid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Страхователь (наименование)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r>
              <w:t xml:space="preserve">Межрегиональное управление Федеральной службы по надзору в сфере природопользования по Нижегородской области и Республике Мордовия</w:t>
            </w:r>
            <w:r/>
          </w:p>
          <w:p>
            <w:r/>
            <w:r/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Адрес местонахождения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</w:r>
            <w:r>
              <w:t xml:space="preserve">603000, г. Н. Новгород, ул. Максима Горького, 150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Предмет договора страхования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Страховщик обязуе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тся за обусловленную плату (страховую премию) при наступлении события (страхового случая) возместить в пользу выгодоприобретателя причиненный вследствие этого события вред (выплатить страховое возмещение) в пределах страховой суммы (лимита ответственности)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Застрахованная деятельность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  <w:highlight w:val="white"/>
                <w:lang w:eastAsia="en-US"/>
              </w:rPr>
              <w:t xml:space="preserve">Деятель</w:t>
            </w:r>
            <w:r>
              <w:rPr>
                <w:rFonts w:eastAsia="Calibri"/>
                <w:sz w:val="22"/>
                <w:szCs w:val="22"/>
                <w:highlight w:val="white"/>
                <w:lang w:eastAsia="en-US"/>
              </w:rPr>
              <w:t xml:space="preserve">ность Страхователя, связанная с эксплуатацией беспилотного летательного аппарата (БВС): аэрофототопографические работы</w:t>
            </w:r>
            <w:r>
              <w:rPr>
                <w:rFonts w:eastAsia="Calibri"/>
                <w:sz w:val="22"/>
                <w:szCs w:val="22"/>
                <w:highlight w:val="white"/>
              </w:rPr>
              <w:t xml:space="preserve">,</w:t>
            </w:r>
            <w:r>
              <w:rPr>
                <w:rFonts w:eastAsia="Calibri"/>
                <w:sz w:val="22"/>
                <w:szCs w:val="22"/>
                <w:highlight w:val="none"/>
              </w:rPr>
              <w:t xml:space="preserve"> лазерное сканирование местности, измерения значений гамма-спектра, магниторазведки или мультиспектральной съемки в процессе контрольно-надзорной деятельности Управления</w:t>
            </w:r>
            <w:r>
              <w:rPr>
                <w:rFonts w:eastAsia="Calibri"/>
                <w:sz w:val="22"/>
                <w:szCs w:val="22"/>
                <w:highlight w:val="yellow"/>
              </w:rPr>
            </w:r>
            <w:r>
              <w:rPr>
                <w:rFonts w:eastAsia="Calibri"/>
                <w:sz w:val="22"/>
                <w:szCs w:val="22"/>
                <w:highlight w:val="yellow"/>
              </w:rPr>
            </w:r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Район эксплуатации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Российская Федерация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Объект страхования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Имущественные интересы Страхователя, связанные с его обязанностью в порядке, предусмотренном законодательством, возместить вред, причиненный жизни, здоровью и/или имуществу третьих лиц, вследствие осуществления им застрахованной деятельности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Страховые риски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Ответственность за причинение вреда третьим лицам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Страховой случай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Факт наступления в соответствии с законодательством Российской Федерации гражданской ответственности Страхователя за причинение вреда жизни, здоровью и/или имуществу третьих лиц при осуществлении Страхователем застрахованной деятельности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Дополнительные условия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Договор страхования не действует на территории су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бъектов Российской Федерации, в которых ведется война, любые военные и боевые действия, военные мероприятия, вторжение/нападение, гражданская война, контртеррористические операции, в которых объявлено военное положение, ведутся военные операции любого рода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Страховая сумма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2 000 000.00 (два миллиона рублей 00 копеек)</w:t>
            </w:r>
            <w:r>
              <w:rPr>
                <w:rFonts w:eastAsia="Calibri"/>
                <w:b/>
                <w:bCs/>
                <w:sz w:val="22"/>
                <w:szCs w:val="22"/>
              </w:rPr>
            </w:r>
            <w:r>
              <w:rPr>
                <w:rFonts w:eastAsia="Calibri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Страховая премия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3256" w:type="dxa"/>
            <w:textDirection w:val="lrTb"/>
            <w:noWrap w:val="false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Срок страхования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12 месяцев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</w:tbl>
    <w:p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Тип беспилотного воздушного судна (БВС): </w:t>
      </w:r>
      <w:r>
        <w:rPr>
          <w:sz w:val="22"/>
          <w:szCs w:val="22"/>
          <w:highlight w:val="white"/>
          <w:lang w:eastAsia="en-US"/>
        </w:rPr>
        <w:t xml:space="preserve">БАС Геоскан 401 Лидар</w:t>
      </w:r>
      <w:r>
        <w:rPr>
          <w:sz w:val="22"/>
          <w:szCs w:val="22"/>
          <w:highlight w:val="white"/>
          <w:lang w:eastAsia="en-US"/>
        </w:rPr>
        <w:t xml:space="preserve"> 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Учетный номер: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1003у69</w:t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За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водской (серийный)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номер :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</w:t>
      </w:r>
      <w:r>
        <w:rPr>
          <w:sz w:val="22"/>
          <w:szCs w:val="22"/>
          <w:highlight w:val="white"/>
          <w:lang w:eastAsia="en-US"/>
        </w:rPr>
        <w:t xml:space="preserve">РАМ310100163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Максимальный взлетный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вес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: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9,3 килограмма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rPr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Эксплуатант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БВС: </w:t>
      </w:r>
      <w:r>
        <w:rPr>
          <w:highlight w:val="white"/>
        </w:rPr>
        <w:t xml:space="preserve">Межрегиональное управление Федеральной службы по надзору в сфере природопользования по Нижегородской области и Республике Мордовия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Дата из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готовления БВС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: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2024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год выпуска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Страховая сумма по страхованию гражданской ответственности перед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третьими лицами при эксплуатации БВС и/или при выполнении авиационных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работ: 2 000 000,00 рублей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Период страхования: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12 месяцев с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с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00 ч 00 мин «01» июня 2026 по 24 ч 00 мин «31» мая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2027</w:t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Страховая премия, руб.: 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Наименование объекта страхования (заводской номер): </w:t>
      </w:r>
      <w:r>
        <w:rPr>
          <w:sz w:val="22"/>
          <w:szCs w:val="22"/>
          <w:highlight w:val="white"/>
          <w:lang w:eastAsia="en-US"/>
        </w:rPr>
        <w:t xml:space="preserve">БАС Геоскан 401 Лидар</w:t>
      </w:r>
      <w:r>
        <w:rPr>
          <w:sz w:val="22"/>
          <w:szCs w:val="22"/>
          <w:highlight w:val="white"/>
          <w:lang w:eastAsia="en-US"/>
        </w:rPr>
        <w:t xml:space="preserve"> 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Тип двигателя БВС: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электрические, бесколлекторные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</w:t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ТИП БВС: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мультироторный</w:t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Наличие системы парашютирование: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нет</w:t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Район эксплуатации БВС: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Нижегородская область</w:t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Наличие грузоперевозок: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нет</w:t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Характер эксплуатации: в любых целях, не нарушающих действующее законодательство в месте эксплуатации </w:t>
      </w:r>
      <w:r>
        <w:rPr>
          <w:rFonts w:eastAsia="Calibri"/>
          <w:sz w:val="22"/>
          <w:szCs w:val="22"/>
          <w:highlight w:val="white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jc w:val="both"/>
        <w:rPr>
          <w:rFonts w:eastAsia="Calibri"/>
          <w:sz w:val="28"/>
          <w:szCs w:val="28"/>
          <w:highlight w:val="yellow"/>
        </w:rPr>
      </w:pPr>
      <w:r>
        <w:rPr>
          <w:rFonts w:eastAsia="Calibri"/>
          <w:sz w:val="28"/>
          <w:szCs w:val="28"/>
          <w:highlight w:val="yellow"/>
          <w:lang w:eastAsia="en-US"/>
        </w:rPr>
      </w:r>
      <w:r>
        <w:rPr>
          <w:rFonts w:eastAsia="Calibri"/>
          <w:sz w:val="28"/>
          <w:szCs w:val="28"/>
          <w:highlight w:val="yellow"/>
        </w:rPr>
      </w:r>
      <w:r>
        <w:rPr>
          <w:rFonts w:eastAsia="Calibri"/>
          <w:sz w:val="28"/>
          <w:szCs w:val="28"/>
          <w:highlight w:val="yellow"/>
        </w:rPr>
      </w: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Приложение № 2</w:t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к Государственному Контракту </w:t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№ </w:t>
      </w:r>
      <w:r>
        <w:rPr>
          <w:rFonts w:eastAsia="Calibri"/>
          <w:sz w:val="20"/>
          <w:szCs w:val="20"/>
          <w:lang w:eastAsia="en-US"/>
        </w:rPr>
        <w:t xml:space="preserve">______________</w:t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right"/>
      </w:pPr>
      <w:r/>
      <w:r/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Спецификация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оказание услуг по страхованию ответственности владельца беспилотного воздушного судна перед третьими лицами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</w:pPr>
      <w:r/>
      <w:r/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85"/>
        <w:gridCol w:w="1674"/>
        <w:gridCol w:w="1642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услуг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Кол-во, шт.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67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ед., (руб.), без НДС. НДС не предусмотрен.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64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Сумма, (руб.), </w:t>
            </w:r>
            <w:r>
              <w:rPr>
                <w:sz w:val="22"/>
                <w:szCs w:val="22"/>
              </w:rPr>
              <w:t xml:space="preserve">без  НДС</w:t>
            </w:r>
            <w:r>
              <w:rPr>
                <w:sz w:val="22"/>
                <w:szCs w:val="22"/>
              </w:rPr>
              <w:t xml:space="preserve">. НДС не предусмотрен.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978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-567" w:right="0" w:firstLine="12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по страхованию ответственности владельца беспилотного воздушного судна перед третьими лицами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567" w:right="0" w:firstLine="1287"/>
              <w:jc w:val="center"/>
              <w:widowControl w:val="off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r/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674" w:type="dxa"/>
            <w:textDirection w:val="lrTb"/>
            <w:noWrap w:val="false"/>
          </w:tcPr>
          <w:p>
            <w:r/>
            <w:r/>
          </w:p>
        </w:tc>
        <w:tc>
          <w:tcPr>
            <w:tcW w:w="164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4"/>
            <w:tcW w:w="810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 xml:space="preserve">ИТОГО: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642" w:type="dxa"/>
            <w:textDirection w:val="lrTb"/>
            <w:noWrap w:val="false"/>
          </w:tcPr>
          <w:p>
            <w:r/>
            <w:r/>
          </w:p>
        </w:tc>
      </w:tr>
    </w:tbl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Результатом оказания услуг является оформленный Страховщиком </w:t>
      </w:r>
      <w:r>
        <w:rPr>
          <w:sz w:val="22"/>
          <w:szCs w:val="22"/>
        </w:rPr>
        <w:br w:type="textWrapping" w:clear="all"/>
        <w:t xml:space="preserve">в соответствии с условиями Контракта Страховой полис. Сдача-приемка и оплата оказанных Услуг осуществляется в порядке и на условиях, установленных Контрактом.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</w:pPr>
      <w:r/>
      <w:r/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Страхователь: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keepLines/>
              <w:keepNext/>
              <w:widowControl w:val="off"/>
              <w:tabs>
                <w:tab w:val="num" w:pos="432" w:leader="none"/>
                <w:tab w:val="left" w:pos="9781" w:leader="none"/>
              </w:tabs>
              <w:rPr>
                <w:rFonts w:eastAsia="Calibri"/>
                <w:sz w:val="22"/>
                <w:szCs w:val="22"/>
                <w:lang w:eastAsia="en-US"/>
              </w:rPr>
              <w:suppressLineNumbers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Руководитель 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keepLines/>
              <w:keepNext/>
              <w:widowControl w:val="off"/>
              <w:tabs>
                <w:tab w:val="num" w:pos="432" w:leader="none"/>
                <w:tab w:val="left" w:pos="9781" w:leader="none"/>
              </w:tabs>
              <w:rPr>
                <w:rFonts w:eastAsia="Calibri"/>
                <w:sz w:val="22"/>
                <w:szCs w:val="22"/>
                <w:lang w:eastAsia="en-US"/>
              </w:rPr>
              <w:suppressLineNumbers/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keepLines/>
              <w:keepNext/>
              <w:widowControl w:val="off"/>
              <w:tabs>
                <w:tab w:val="num" w:pos="432" w:leader="none"/>
                <w:tab w:val="left" w:pos="9781" w:leader="none"/>
              </w:tabs>
              <w:rPr>
                <w:rFonts w:eastAsia="Calibri"/>
                <w:sz w:val="22"/>
                <w:szCs w:val="22"/>
                <w:lang w:eastAsia="en-US"/>
              </w:rPr>
              <w:suppressLineNumbers/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jc w:val="both"/>
              <w:widowControl w:val="off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_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__________________ /М.А. Чиненков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/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Страховщик: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/____________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jc w:val="right"/>
      </w:pPr>
      <w:r/>
      <w:r/>
    </w:p>
    <w:sectPr>
      <w:headerReference w:type="default" r:id="rId9"/>
      <w:footnotePr/>
      <w:endnotePr/>
      <w:type w:val="nextPage"/>
      <w:pgSz w:w="11907" w:h="16840" w:orient="portrait"/>
      <w:pgMar w:top="1134" w:right="851" w:bottom="1134" w:left="1134" w:header="284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entSchbkCyrill BT">
    <w:panose1 w:val="02000603000000000000"/>
  </w:font>
  <w:font w:name="Courier New">
    <w:panose1 w:val="02070309020205020404"/>
  </w:font>
  <w:font w:name="Times New Roman">
    <w:panose1 w:val="02020603050405020304"/>
  </w:font>
  <w:font w:name="Cambria">
    <w:panose1 w:val="02040803050406030204"/>
  </w:font>
  <w:font w:name="Calibri">
    <w:panose1 w:val="020F0502020204030204"/>
  </w:font>
  <w:font w:name="Peterburg">
    <w:panose1 w:val="02000603000000000000"/>
  </w:font>
  <w:font w:name="MS Mincho">
    <w:panose1 w:val="02020606060505090204"/>
  </w:font>
  <w:font w:name="Tahoma">
    <w:panose1 w:val="020B0604030504040204"/>
  </w:font>
  <w:font w:name="Lucida Sans Unicode">
    <w:panose1 w:val="020B0603030804020204"/>
  </w:font>
  <w:font w:name="OfficinaSerifC">
    <w:panose1 w:val="02000603000000000000"/>
  </w:font>
  <w:font w:name="Verdana">
    <w:panose1 w:val="020B0604030504040204"/>
  </w:font>
  <w:font w:name="Calibri Light">
    <w:panose1 w:val="020F05020202040302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96"/>
        <w:rPr>
          <w:sz w:val="18"/>
          <w:szCs w:val="18"/>
        </w:rPr>
      </w:pPr>
      <w:r>
        <w:rPr>
          <w:rStyle w:val="993"/>
          <w:sz w:val="18"/>
          <w:szCs w:val="18"/>
        </w:rPr>
        <w:footnoteRef/>
      </w:r>
      <w:r>
        <w:rPr>
          <w:sz w:val="18"/>
          <w:szCs w:val="18"/>
        </w:rPr>
        <w:t xml:space="preserve"> В соответствии с постановлением Правительства Российской Федерации от 30.08.2017 № 1042 (с внесенными изменениями, вступившими в законную силу 14.08.2019)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10</w:t>
    </w:r>
    <w:r>
      <w:fldChar w:fldCharType="end"/>
    </w:r>
    <w:r/>
  </w:p>
  <w:p>
    <w:pPr>
      <w:pStyle w:val="80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lowerLetter"/>
      <w:isLgl w:val="false"/>
      <w:suff w:val="tab"/>
      <w:lvlText w:val="(%1) "/>
      <w:legacy w:legacy="1" w:legacyIndent="0" w:legacySpace="0"/>
      <w:lvlJc w:val="left"/>
      <w:pPr>
        <w:ind w:left="283" w:hanging="283"/>
      </w:pPr>
      <w:rPr>
        <w:rFonts w:ascii="Times New Roman" w:hAnsi="Times New Roman"/>
        <w:b w:val="0"/>
        <w:i/>
        <w:sz w:val="22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 "/>
      <w:legacy w:legacy="1" w:legacyIndent="0" w:legacySpace="0"/>
      <w:lvlJc w:val="left"/>
      <w:pPr>
        <w:ind w:left="396" w:hanging="283"/>
      </w:pPr>
      <w:rPr>
        <w:rFonts w:ascii="Times New Roman" w:hAnsi="Times New Roman"/>
        <w:b/>
        <w:i w:val="0"/>
        <w:sz w:val="1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4"/>
      <w:numFmt w:val="decimal"/>
      <w:isLgl w:val="false"/>
      <w:suff w:val="tab"/>
      <w:lvlText w:val="%1"/>
      <w:lvlJc w:val="left"/>
      <w:pPr>
        <w:ind w:left="465" w:hanging="465"/>
      </w:pPr>
    </w:lvl>
    <w:lvl w:ilvl="1">
      <w:start w:val="1"/>
      <w:numFmt w:val="decimal"/>
      <w:isLgl w:val="false"/>
      <w:suff w:val="tab"/>
      <w:lvlText w:val="%1.%2"/>
      <w:lvlJc w:val="left"/>
      <w:pPr>
        <w:ind w:left="4151" w:hanging="465"/>
      </w:pPr>
    </w:lvl>
    <w:lvl w:ilvl="2">
      <w:start w:val="1"/>
      <w:numFmt w:val="decimal"/>
      <w:isLgl w:val="false"/>
      <w:suff w:val="tab"/>
      <w:lvlText w:val="%1.%2.%3"/>
      <w:lvlJc w:val="left"/>
      <w:pPr>
        <w:ind w:left="8092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177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5824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987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3556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7602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1288" w:hanging="180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 %1."/>
      <w:lvlJc w:val="left"/>
      <w:pPr>
        <w:ind w:left="432" w:hanging="432"/>
        <w:tabs>
          <w:tab w:val="num" w:pos="432" w:leader="none"/>
        </w:tabs>
      </w:pPr>
      <w:rPr>
        <w:b w:val="0"/>
        <w:bCs w:val="0"/>
        <w:sz w:val="21"/>
        <w:szCs w:val="21"/>
      </w:rPr>
    </w:lvl>
    <w:lvl w:ilvl="1">
      <w:start w:val="1"/>
      <w:numFmt w:val="decimal"/>
      <w:isLgl w:val="false"/>
      <w:suff w:val="tab"/>
      <w:lvlText w:val=" %2."/>
      <w:lvlJc w:val="left"/>
      <w:pPr>
        <w:ind w:left="576" w:hanging="576"/>
        <w:tabs>
          <w:tab w:val="num" w:pos="576" w:leader="none"/>
        </w:tabs>
      </w:pPr>
      <w:rPr>
        <w:b w:val="0"/>
        <w:bCs w:val="0"/>
        <w:sz w:val="21"/>
        <w:szCs w:val="21"/>
      </w:rPr>
    </w:lvl>
    <w:lvl w:ilvl="2">
      <w:start w:val="1"/>
      <w:numFmt w:val="decimal"/>
      <w:isLgl w:val="false"/>
      <w:suff w:val="tab"/>
      <w:lvlText w:val=" %3."/>
      <w:lvlJc w:val="left"/>
      <w:pPr>
        <w:ind w:left="720" w:hanging="720"/>
        <w:tabs>
          <w:tab w:val="num" w:pos="720" w:leader="none"/>
        </w:tabs>
      </w:pPr>
      <w:rPr>
        <w:b w:val="0"/>
        <w:bCs w:val="0"/>
        <w:sz w:val="21"/>
        <w:szCs w:val="21"/>
      </w:rPr>
    </w:lvl>
    <w:lvl w:ilvl="3">
      <w:start w:val="1"/>
      <w:numFmt w:val="decimal"/>
      <w:pStyle w:val="779"/>
      <w:isLgl w:val="false"/>
      <w:suff w:val="tab"/>
      <w:lvlText w:val=" %4."/>
      <w:lvlJc w:val="left"/>
      <w:pPr>
        <w:ind w:left="864" w:hanging="864"/>
        <w:tabs>
          <w:tab w:val="num" w:pos="864" w:leader="none"/>
        </w:tabs>
      </w:pPr>
      <w:rPr>
        <w:b w:val="0"/>
        <w:bCs w:val="0"/>
        <w:sz w:val="24"/>
        <w:szCs w:val="24"/>
      </w:rPr>
    </w:lvl>
    <w:lvl w:ilvl="4">
      <w:start w:val="1"/>
      <w:numFmt w:val="decimal"/>
      <w:isLgl w:val="false"/>
      <w:suff w:val="tab"/>
      <w:lvlText w:val=" %5."/>
      <w:lvlJc w:val="left"/>
      <w:pPr>
        <w:ind w:left="1008" w:hanging="1008"/>
        <w:tabs>
          <w:tab w:val="num" w:pos="1008" w:leader="none"/>
        </w:tabs>
      </w:pPr>
      <w:rPr>
        <w:b w:val="0"/>
        <w:bCs w:val="0"/>
        <w:sz w:val="21"/>
        <w:szCs w:val="21"/>
      </w:rPr>
    </w:lvl>
    <w:lvl w:ilvl="5">
      <w:start w:val="1"/>
      <w:numFmt w:val="decimal"/>
      <w:isLgl w:val="false"/>
      <w:suff w:val="tab"/>
      <w:lvlText w:val=" %6."/>
      <w:lvlJc w:val="left"/>
      <w:pPr>
        <w:ind w:left="1152" w:hanging="1152"/>
        <w:tabs>
          <w:tab w:val="num" w:pos="1152" w:leader="none"/>
        </w:tabs>
      </w:pPr>
      <w:rPr>
        <w:b w:val="0"/>
        <w:bCs w:val="0"/>
        <w:sz w:val="21"/>
        <w:szCs w:val="21"/>
      </w:rPr>
    </w:lvl>
    <w:lvl w:ilvl="6">
      <w:start w:val="1"/>
      <w:numFmt w:val="decimal"/>
      <w:isLgl w:val="false"/>
      <w:suff w:val="tab"/>
      <w:lvlText w:val=" %7."/>
      <w:lvlJc w:val="left"/>
      <w:pPr>
        <w:ind w:left="1296" w:hanging="1296"/>
        <w:tabs>
          <w:tab w:val="num" w:pos="1296" w:leader="none"/>
        </w:tabs>
      </w:pPr>
      <w:rPr>
        <w:b w:val="0"/>
        <w:bCs w:val="0"/>
        <w:sz w:val="21"/>
        <w:szCs w:val="21"/>
      </w:rPr>
    </w:lvl>
    <w:lvl w:ilvl="7">
      <w:start w:val="1"/>
      <w:numFmt w:val="decimal"/>
      <w:isLgl w:val="false"/>
      <w:suff w:val="tab"/>
      <w:lvlText w:val=" %8."/>
      <w:lvlJc w:val="left"/>
      <w:pPr>
        <w:ind w:left="1440" w:hanging="1440"/>
        <w:tabs>
          <w:tab w:val="num" w:pos="1440" w:leader="none"/>
        </w:tabs>
      </w:pPr>
      <w:rPr>
        <w:b w:val="0"/>
        <w:bCs w:val="0"/>
        <w:sz w:val="21"/>
        <w:szCs w:val="21"/>
      </w:rPr>
    </w:lvl>
    <w:lvl w:ilvl="8">
      <w:start w:val="1"/>
      <w:numFmt w:val="decimal"/>
      <w:isLgl w:val="false"/>
      <w:suff w:val="tab"/>
      <w:lvlText w:val=" %9."/>
      <w:lvlJc w:val="left"/>
      <w:pPr>
        <w:ind w:left="1584" w:hanging="1584"/>
        <w:tabs>
          <w:tab w:val="num" w:pos="1584" w:leader="none"/>
        </w:tabs>
      </w:pPr>
      <w:rPr>
        <w:b w:val="0"/>
        <w:bCs w:val="0"/>
        <w:sz w:val="21"/>
        <w:szCs w:val="21"/>
      </w:rPr>
    </w:lvl>
  </w:abstractNum>
  <w:abstractNum w:abstractNumId="6">
    <w:multiLevelType w:val="hybridMultilevel"/>
    <w:lvl w:ilvl="0">
      <w:start w:val="2"/>
      <w:numFmt w:val="lowerLetter"/>
      <w:isLgl w:val="false"/>
      <w:suff w:val="tab"/>
      <w:lvlText w:val="(%1) "/>
      <w:legacy w:legacy="1" w:legacyIndent="0" w:legacySpace="0"/>
      <w:lvlJc w:val="left"/>
      <w:pPr>
        <w:ind w:left="283" w:hanging="283"/>
      </w:pPr>
      <w:rPr>
        <w:rFonts w:ascii="Times New Roman" w:hAnsi="Times New Roman"/>
        <w:b w:val="0"/>
        <w:i/>
        <w:sz w:val="22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729" w:hanging="375"/>
        <w:tabs>
          <w:tab w:val="num" w:pos="729" w:leader="none"/>
        </w:tabs>
      </w:pPr>
    </w:lvl>
    <w:lvl w:ilvl="2">
      <w:start w:val="5"/>
      <w:numFmt w:val="decimal"/>
      <w:isLgl w:val="false"/>
      <w:suff w:val="tab"/>
      <w:lvlText w:val="%1.%2.%3."/>
      <w:lvlJc w:val="left"/>
      <w:pPr>
        <w:ind w:left="1083" w:hanging="375"/>
        <w:tabs>
          <w:tab w:val="num" w:pos="1083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  <w:tabs>
          <w:tab w:val="num" w:pos="178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36" w:hanging="720"/>
        <w:tabs>
          <w:tab w:val="num" w:pos="213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490" w:hanging="720"/>
        <w:tabs>
          <w:tab w:val="num" w:pos="249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04" w:hanging="1080"/>
        <w:tabs>
          <w:tab w:val="num" w:pos="320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558" w:hanging="1080"/>
        <w:tabs>
          <w:tab w:val="num" w:pos="355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912" w:hanging="1080"/>
        <w:tabs>
          <w:tab w:val="num" w:pos="3912" w:leader="none"/>
        </w:tabs>
      </w:pPr>
    </w:lvl>
  </w:abstractNum>
  <w:abstractNum w:abstractNumId="8">
    <w:multiLevelType w:val="hybridMultilevel"/>
    <w:lvl w:ilvl="0">
      <w:start w:val="4"/>
      <w:numFmt w:val="bullet"/>
      <w:isLgl w:val="false"/>
      <w:suff w:val="tab"/>
      <w:lvlText w:val="•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04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7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4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2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9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6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3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0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806" w:hanging="180"/>
      </w:p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46" w:hanging="360"/>
      </w:pPr>
      <w:rPr>
        <w:rFonts w:ascii="Times New Roman" w:hAnsi="Times New Roman" w:eastAsia="Times New Roman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97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26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9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19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47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12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06" w:hanging="1440"/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121" w:hanging="58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sz w:val="26"/>
        <w:szCs w:val="26"/>
      </w:rPr>
    </w:lvl>
    <w:lvl w:ilvl="2">
      <w:start w:val="6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525" w:hanging="525"/>
      </w:pPr>
    </w:lvl>
    <w:lvl w:ilvl="1">
      <w:start w:val="10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3">
    <w:multiLevelType w:val="hybridMultilevel"/>
    <w:lvl w:ilvl="0">
      <w:start w:val="5"/>
      <w:numFmt w:val="bullet"/>
      <w:isLgl w:val="false"/>
      <w:suff w:val="tab"/>
      <w:lvlText w:val="•"/>
      <w:lvlJc w:val="left"/>
      <w:pPr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 "/>
      <w:legacy w:legacy="1" w:legacyIndent="0" w:legacySpace="0"/>
      <w:lvlJc w:val="left"/>
      <w:pPr>
        <w:ind w:left="283" w:hanging="283"/>
      </w:pPr>
      <w:rPr>
        <w:rFonts w:ascii="Times New Roman" w:hAnsi="Times New Roman"/>
        <w:b w:val="0"/>
        <w:i w:val="0"/>
        <w:sz w:val="22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0"/>
      <w:numFmt w:val="decimal"/>
      <w:isLgl w:val="false"/>
      <w:suff w:val="tab"/>
      <w:lvlText w:val="%1. "/>
      <w:legacy w:legacy="1" w:legacyIndent="0" w:legacySpace="0"/>
      <w:lvlJc w:val="left"/>
      <w:pPr>
        <w:ind w:left="340" w:hanging="283"/>
      </w:pPr>
      <w:rPr>
        <w:rFonts w:ascii="Times New Roman" w:hAnsi="Times New Roman"/>
        <w:b/>
        <w:i w:val="0"/>
        <w:sz w:val="1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04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7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4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2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9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6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3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0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806" w:hanging="180"/>
      </w:pPr>
    </w:lvl>
  </w:abstractNum>
  <w:abstractNum w:abstractNumId="2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9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3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301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804" w:hanging="450"/>
      </w:pPr>
    </w:lvl>
    <w:lvl w:ilvl="2">
      <w:start w:val="6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272" w:hanging="144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lowerRoman"/>
      <w:isLgl w:val="false"/>
      <w:suff w:val="tab"/>
      <w:lvlText w:val="(%1) "/>
      <w:legacy w:legacy="1" w:legacyIndent="0" w:legacySpace="0"/>
      <w:lvlJc w:val="left"/>
      <w:pPr>
        <w:ind w:left="583" w:hanging="283"/>
      </w:pPr>
      <w:rPr>
        <w:rFonts w:ascii="Times New Roman" w:hAnsi="Times New Roman"/>
        <w:b w:val="0"/>
        <w:i/>
        <w:sz w:val="22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174" w:hanging="465"/>
      </w:pPr>
      <w:rPr>
        <w:sz w:val="26"/>
        <w:szCs w:val="2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37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3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4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9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num w:numId="1">
    <w:abstractNumId w:val="1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11"/>
  </w:num>
  <w:num w:numId="5">
    <w:abstractNumId w:val="3"/>
  </w:num>
  <w:num w:numId="6">
    <w:abstractNumId w:val="28"/>
  </w:num>
  <w:num w:numId="7">
    <w:abstractNumId w:val="21"/>
  </w:num>
  <w:num w:numId="8">
    <w:abstractNumId w:val="36"/>
  </w:num>
  <w:num w:numId="9">
    <w:abstractNumId w:val="20"/>
  </w:num>
  <w:num w:numId="10">
    <w:abstractNumId w:val="37"/>
  </w:num>
  <w:num w:numId="11">
    <w:abstractNumId w:val="30"/>
  </w:num>
  <w:num w:numId="12">
    <w:abstractNumId w:val="33"/>
  </w:num>
  <w:num w:numId="13">
    <w:abstractNumId w:val="12"/>
  </w:num>
  <w:num w:numId="14">
    <w:abstractNumId w:val="35"/>
  </w:num>
  <w:num w:numId="15">
    <w:abstractNumId w:val="18"/>
  </w:num>
  <w:num w:numId="16">
    <w:abstractNumId w:val="17"/>
  </w:num>
  <w:num w:numId="17">
    <w:abstractNumId w:val="23"/>
  </w:num>
  <w:num w:numId="18">
    <w:abstractNumId w:val="4"/>
  </w:num>
  <w:num w:numId="19">
    <w:abstractNumId w:val="10"/>
  </w:num>
  <w:num w:numId="20">
    <w:abstractNumId w:val="29"/>
  </w:num>
  <w:num w:numId="21">
    <w:abstractNumId w:val="9"/>
  </w:num>
  <w:num w:numId="22">
    <w:abstractNumId w:val="8"/>
  </w:num>
  <w:num w:numId="23">
    <w:abstractNumId w:val="31"/>
  </w:num>
  <w:num w:numId="24">
    <w:abstractNumId w:val="25"/>
  </w:num>
  <w:num w:numId="25">
    <w:abstractNumId w:val="6"/>
  </w:num>
  <w:num w:numId="26">
    <w:abstractNumId w:val="6"/>
    <w:lvlOverride w:ilvl="0">
      <w:lvl w:ilvl="0">
        <w:start w:val="1"/>
        <w:numFmt w:val="lowerLetter"/>
        <w:isLgl w:val="false"/>
        <w:suff w:val="tab"/>
        <w:lvlText w:val="(%1) "/>
        <w:legacy w:legacy="1" w:legacyIndent="0" w:legacySpace="0"/>
        <w:lvlJc w:val="left"/>
        <w:pPr>
          <w:ind w:left="283" w:hanging="283"/>
        </w:pPr>
        <w:rPr>
          <w:rFonts w:ascii="Times New Roman" w:hAnsi="Times New Roman"/>
          <w:b w:val="0"/>
          <w:i/>
          <w:sz w:val="22"/>
          <w:u w:val="none"/>
        </w:rPr>
      </w:lvl>
    </w:lvlOverride>
  </w:num>
  <w:num w:numId="27">
    <w:abstractNumId w:val="32"/>
  </w:num>
  <w:num w:numId="28">
    <w:abstractNumId w:val="0"/>
  </w:num>
  <w:num w:numId="29">
    <w:abstractNumId w:val="7"/>
  </w:num>
  <w:num w:numId="30">
    <w:abstractNumId w:val="2"/>
  </w:num>
  <w:num w:numId="31">
    <w:abstractNumId w:val="26"/>
  </w:num>
  <w:num w:numId="32">
    <w:abstractNumId w:val="16"/>
  </w:num>
  <w:num w:numId="33">
    <w:abstractNumId w:val="27"/>
  </w:num>
  <w:num w:numId="34">
    <w:abstractNumId w:val="38"/>
  </w:num>
  <w:num w:numId="35">
    <w:abstractNumId w:val="19"/>
  </w:num>
  <w:num w:numId="36">
    <w:abstractNumId w:val="1"/>
  </w:num>
  <w:num w:numId="37">
    <w:abstractNumId w:val="13"/>
  </w:num>
  <w:num w:numId="38">
    <w:abstractNumId w:val="24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39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7">
    <w:name w:val="Heading 7 Char"/>
    <w:basedOn w:val="785"/>
    <w:link w:val="7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8">
    <w:name w:val="Heading 8 Char"/>
    <w:basedOn w:val="785"/>
    <w:link w:val="783"/>
    <w:uiPriority w:val="9"/>
    <w:rPr>
      <w:rFonts w:ascii="Arial" w:hAnsi="Arial" w:eastAsia="Arial" w:cs="Arial"/>
      <w:i/>
      <w:iCs/>
      <w:sz w:val="22"/>
      <w:szCs w:val="22"/>
    </w:rPr>
  </w:style>
  <w:style w:type="character" w:styleId="769">
    <w:name w:val="Title Char"/>
    <w:basedOn w:val="785"/>
    <w:link w:val="799"/>
    <w:uiPriority w:val="10"/>
    <w:rPr>
      <w:sz w:val="48"/>
      <w:szCs w:val="48"/>
    </w:rPr>
  </w:style>
  <w:style w:type="character" w:styleId="770">
    <w:name w:val="Subtitle Char"/>
    <w:basedOn w:val="785"/>
    <w:link w:val="801"/>
    <w:uiPriority w:val="11"/>
    <w:rPr>
      <w:sz w:val="24"/>
      <w:szCs w:val="24"/>
    </w:rPr>
  </w:style>
  <w:style w:type="character" w:styleId="771">
    <w:name w:val="Quote Char"/>
    <w:link w:val="803"/>
    <w:uiPriority w:val="29"/>
    <w:rPr>
      <w:i/>
    </w:rPr>
  </w:style>
  <w:style w:type="character" w:styleId="772">
    <w:name w:val="Intense Quote Char"/>
    <w:link w:val="805"/>
    <w:uiPriority w:val="30"/>
    <w:rPr>
      <w:i/>
    </w:rPr>
  </w:style>
  <w:style w:type="character" w:styleId="773">
    <w:name w:val="Footnote Text Char"/>
    <w:link w:val="940"/>
    <w:uiPriority w:val="99"/>
    <w:rPr>
      <w:sz w:val="18"/>
    </w:rPr>
  </w:style>
  <w:style w:type="character" w:styleId="774">
    <w:name w:val="Endnote Text Char"/>
    <w:link w:val="943"/>
    <w:uiPriority w:val="99"/>
    <w:rPr>
      <w:sz w:val="20"/>
    </w:rPr>
  </w:style>
  <w:style w:type="paragraph" w:styleId="775" w:default="1">
    <w:name w:val="Normal"/>
    <w:qFormat/>
    <w:rPr>
      <w:sz w:val="24"/>
      <w:szCs w:val="24"/>
      <w:lang w:eastAsia="ru-RU"/>
    </w:rPr>
  </w:style>
  <w:style w:type="paragraph" w:styleId="776">
    <w:name w:val="Heading 1"/>
    <w:basedOn w:val="775"/>
    <w:next w:val="775"/>
    <w:link w:val="1017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777">
    <w:name w:val="Heading 2"/>
    <w:basedOn w:val="775"/>
    <w:next w:val="775"/>
    <w:link w:val="970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n-US" w:eastAsia="en-US"/>
    </w:rPr>
  </w:style>
  <w:style w:type="paragraph" w:styleId="778">
    <w:name w:val="Heading 3"/>
    <w:basedOn w:val="775"/>
    <w:next w:val="775"/>
    <w:link w:val="1018"/>
    <w:qFormat/>
    <w:pPr>
      <w:ind w:right="141"/>
      <w:jc w:val="both"/>
      <w:keepNext/>
      <w:spacing w:line="312" w:lineRule="auto"/>
      <w:outlineLvl w:val="2"/>
    </w:pPr>
    <w:rPr>
      <w:rFonts w:ascii="Verdana" w:hAnsi="Verdana"/>
      <w:b/>
      <w:bCs/>
      <w:sz w:val="22"/>
      <w:szCs w:val="22"/>
    </w:rPr>
  </w:style>
  <w:style w:type="paragraph" w:styleId="779">
    <w:name w:val="Heading 4"/>
    <w:basedOn w:val="1007"/>
    <w:next w:val="959"/>
    <w:link w:val="1006"/>
    <w:unhideWhenUsed/>
    <w:qFormat/>
    <w:pPr>
      <w:numPr>
        <w:ilvl w:val="3"/>
        <w:numId w:val="2"/>
      </w:numPr>
      <w:jc w:val="left"/>
      <w:keepNext/>
      <w:spacing w:after="120"/>
      <w:outlineLvl w:val="3"/>
    </w:pPr>
    <w:rPr>
      <w:rFonts w:ascii="Arial" w:hAnsi="Arial" w:eastAsia="MS Mincho" w:cs="Tahoma"/>
      <w:i/>
      <w:iCs/>
      <w:sz w:val="24"/>
      <w:szCs w:val="24"/>
      <w:lang w:eastAsia="ar-SA"/>
    </w:rPr>
  </w:style>
  <w:style w:type="paragraph" w:styleId="780">
    <w:name w:val="Heading 5"/>
    <w:basedOn w:val="775"/>
    <w:next w:val="775"/>
    <w:link w:val="1011"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81">
    <w:name w:val="Heading 6"/>
    <w:basedOn w:val="775"/>
    <w:next w:val="775"/>
    <w:link w:val="1016"/>
    <w:qFormat/>
    <w:pPr>
      <w:ind w:left="567"/>
      <w:keepNext/>
      <w:spacing w:before="120"/>
      <w:outlineLvl w:val="5"/>
    </w:pPr>
    <w:rPr>
      <w:b/>
      <w:sz w:val="22"/>
      <w:szCs w:val="20"/>
    </w:rPr>
  </w:style>
  <w:style w:type="paragraph" w:styleId="782">
    <w:name w:val="Heading 7"/>
    <w:basedOn w:val="775"/>
    <w:next w:val="775"/>
    <w:link w:val="7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3">
    <w:name w:val="Heading 8"/>
    <w:basedOn w:val="775"/>
    <w:next w:val="775"/>
    <w:link w:val="7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4">
    <w:name w:val="Heading 9"/>
    <w:basedOn w:val="775"/>
    <w:next w:val="775"/>
    <w:link w:val="968"/>
    <w:qFormat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styleId="785" w:default="1">
    <w:name w:val="Default Paragraph Font"/>
    <w:uiPriority w:val="1"/>
    <w:semiHidden/>
    <w:unhideWhenUsed/>
  </w:style>
  <w:style w:type="table" w:styleId="7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7" w:default="1">
    <w:name w:val="No List"/>
    <w:uiPriority w:val="99"/>
    <w:semiHidden/>
    <w:unhideWhenUsed/>
  </w:style>
  <w:style w:type="character" w:styleId="788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89" w:customStyle="1">
    <w:name w:val="Heading 2 Char"/>
    <w:uiPriority w:val="9"/>
    <w:rPr>
      <w:rFonts w:ascii="Arial" w:hAnsi="Arial" w:eastAsia="Arial" w:cs="Arial"/>
      <w:sz w:val="34"/>
    </w:rPr>
  </w:style>
  <w:style w:type="character" w:styleId="790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91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93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94" w:customStyle="1">
    <w:name w:val="Заголовок 7 Знак"/>
    <w:link w:val="7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5" w:customStyle="1">
    <w:name w:val="Заголовок 8 Знак"/>
    <w:link w:val="783"/>
    <w:uiPriority w:val="9"/>
    <w:rPr>
      <w:rFonts w:ascii="Arial" w:hAnsi="Arial" w:eastAsia="Arial" w:cs="Arial"/>
      <w:i/>
      <w:iCs/>
      <w:sz w:val="22"/>
      <w:szCs w:val="22"/>
    </w:rPr>
  </w:style>
  <w:style w:type="character" w:styleId="796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97">
    <w:name w:val="List Paragraph"/>
    <w:basedOn w:val="775"/>
    <w:uiPriority w:val="34"/>
    <w:qFormat/>
    <w:pPr>
      <w:contextualSpacing/>
      <w:ind w:left="720"/>
    </w:pPr>
  </w:style>
  <w:style w:type="paragraph" w:styleId="79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99">
    <w:name w:val="Title"/>
    <w:basedOn w:val="775"/>
    <w:next w:val="775"/>
    <w:link w:val="8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0" w:customStyle="1">
    <w:name w:val="Название Знак"/>
    <w:link w:val="799"/>
    <w:uiPriority w:val="10"/>
    <w:rPr>
      <w:sz w:val="48"/>
      <w:szCs w:val="48"/>
    </w:rPr>
  </w:style>
  <w:style w:type="paragraph" w:styleId="801">
    <w:name w:val="Subtitle"/>
    <w:basedOn w:val="775"/>
    <w:next w:val="775"/>
    <w:link w:val="802"/>
    <w:uiPriority w:val="11"/>
    <w:qFormat/>
    <w:pPr>
      <w:spacing w:before="200" w:after="200"/>
    </w:pPr>
  </w:style>
  <w:style w:type="character" w:styleId="802" w:customStyle="1">
    <w:name w:val="Подзаголовок Знак"/>
    <w:link w:val="801"/>
    <w:uiPriority w:val="11"/>
    <w:rPr>
      <w:sz w:val="24"/>
      <w:szCs w:val="24"/>
    </w:rPr>
  </w:style>
  <w:style w:type="paragraph" w:styleId="803">
    <w:name w:val="Quote"/>
    <w:basedOn w:val="775"/>
    <w:next w:val="775"/>
    <w:link w:val="804"/>
    <w:uiPriority w:val="29"/>
    <w:qFormat/>
    <w:pPr>
      <w:ind w:left="720" w:right="720"/>
    </w:pPr>
    <w:rPr>
      <w:i/>
    </w:rPr>
  </w:style>
  <w:style w:type="character" w:styleId="804" w:customStyle="1">
    <w:name w:val="Цитата 2 Знак"/>
    <w:link w:val="803"/>
    <w:uiPriority w:val="29"/>
    <w:rPr>
      <w:i/>
    </w:rPr>
  </w:style>
  <w:style w:type="paragraph" w:styleId="805">
    <w:name w:val="Intense Quote"/>
    <w:basedOn w:val="775"/>
    <w:next w:val="775"/>
    <w:link w:val="80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6" w:customStyle="1">
    <w:name w:val="Выделенная цитата Знак"/>
    <w:link w:val="805"/>
    <w:uiPriority w:val="30"/>
    <w:rPr>
      <w:i/>
    </w:rPr>
  </w:style>
  <w:style w:type="paragraph" w:styleId="807">
    <w:name w:val="Header"/>
    <w:basedOn w:val="775"/>
    <w:link w:val="1001"/>
    <w:pPr>
      <w:tabs>
        <w:tab w:val="center" w:pos="4536" w:leader="none"/>
        <w:tab w:val="right" w:pos="9072" w:leader="none"/>
      </w:tabs>
    </w:pPr>
    <w:rPr>
      <w:sz w:val="20"/>
      <w:szCs w:val="20"/>
    </w:rPr>
  </w:style>
  <w:style w:type="character" w:styleId="808" w:customStyle="1">
    <w:name w:val="Header Char"/>
    <w:uiPriority w:val="99"/>
  </w:style>
  <w:style w:type="paragraph" w:styleId="809">
    <w:name w:val="Footer"/>
    <w:basedOn w:val="775"/>
    <w:link w:val="1020"/>
    <w:pPr>
      <w:tabs>
        <w:tab w:val="center" w:pos="4153" w:leader="none"/>
        <w:tab w:val="right" w:pos="8306" w:leader="none"/>
      </w:tabs>
    </w:pPr>
  </w:style>
  <w:style w:type="character" w:styleId="810" w:customStyle="1">
    <w:name w:val="Footer Char"/>
    <w:uiPriority w:val="99"/>
  </w:style>
  <w:style w:type="paragraph" w:styleId="811">
    <w:name w:val="Caption"/>
    <w:basedOn w:val="775"/>
    <w:next w:val="7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2" w:customStyle="1">
    <w:name w:val="Caption Char"/>
    <w:uiPriority w:val="99"/>
  </w:style>
  <w:style w:type="table" w:styleId="813">
    <w:name w:val="Table Grid"/>
    <w:basedOn w:val="786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4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6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8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8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1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1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9">
    <w:name w:val="Hyperlink"/>
    <w:uiPriority w:val="99"/>
    <w:unhideWhenUsed/>
    <w:rPr>
      <w:color w:val="0563c1"/>
      <w:u w:val="single"/>
    </w:rPr>
  </w:style>
  <w:style w:type="paragraph" w:styleId="940">
    <w:name w:val="footnote text"/>
    <w:basedOn w:val="775"/>
    <w:link w:val="941"/>
    <w:uiPriority w:val="99"/>
    <w:semiHidden/>
    <w:unhideWhenUsed/>
    <w:pPr>
      <w:spacing w:after="40"/>
    </w:pPr>
    <w:rPr>
      <w:sz w:val="18"/>
    </w:rPr>
  </w:style>
  <w:style w:type="character" w:styleId="941" w:customStyle="1">
    <w:name w:val="Текст сноски Знак"/>
    <w:link w:val="940"/>
    <w:uiPriority w:val="99"/>
    <w:rPr>
      <w:sz w:val="18"/>
    </w:rPr>
  </w:style>
  <w:style w:type="character" w:styleId="942">
    <w:name w:val="footnote reference"/>
    <w:uiPriority w:val="99"/>
    <w:unhideWhenUsed/>
    <w:rPr>
      <w:vertAlign w:val="superscript"/>
    </w:rPr>
  </w:style>
  <w:style w:type="paragraph" w:styleId="943">
    <w:name w:val="endnote text"/>
    <w:basedOn w:val="775"/>
    <w:link w:val="944"/>
    <w:uiPriority w:val="99"/>
    <w:semiHidden/>
    <w:unhideWhenUsed/>
    <w:rPr>
      <w:sz w:val="20"/>
    </w:rPr>
  </w:style>
  <w:style w:type="character" w:styleId="944" w:customStyle="1">
    <w:name w:val="Текст концевой сноски Знак"/>
    <w:link w:val="943"/>
    <w:uiPriority w:val="99"/>
    <w:rPr>
      <w:sz w:val="20"/>
    </w:rPr>
  </w:style>
  <w:style w:type="character" w:styleId="945">
    <w:name w:val="endnote reference"/>
    <w:uiPriority w:val="99"/>
    <w:semiHidden/>
    <w:unhideWhenUsed/>
    <w:rPr>
      <w:vertAlign w:val="superscript"/>
    </w:rPr>
  </w:style>
  <w:style w:type="paragraph" w:styleId="946">
    <w:name w:val="toc 1"/>
    <w:basedOn w:val="775"/>
    <w:next w:val="775"/>
    <w:uiPriority w:val="39"/>
    <w:unhideWhenUsed/>
    <w:pPr>
      <w:spacing w:after="100"/>
    </w:pPr>
    <w:rPr>
      <w:rFonts w:ascii="Peterburg" w:hAnsi="Peterburg"/>
      <w:szCs w:val="20"/>
    </w:rPr>
  </w:style>
  <w:style w:type="paragraph" w:styleId="947">
    <w:name w:val="toc 2"/>
    <w:basedOn w:val="775"/>
    <w:next w:val="775"/>
    <w:uiPriority w:val="39"/>
    <w:unhideWhenUsed/>
    <w:pPr>
      <w:ind w:left="283"/>
      <w:spacing w:after="57"/>
    </w:pPr>
  </w:style>
  <w:style w:type="paragraph" w:styleId="948">
    <w:name w:val="toc 3"/>
    <w:basedOn w:val="775"/>
    <w:next w:val="775"/>
    <w:uiPriority w:val="39"/>
    <w:unhideWhenUsed/>
    <w:pPr>
      <w:ind w:left="567"/>
      <w:spacing w:after="57"/>
    </w:pPr>
  </w:style>
  <w:style w:type="paragraph" w:styleId="949">
    <w:name w:val="toc 4"/>
    <w:basedOn w:val="775"/>
    <w:next w:val="775"/>
    <w:uiPriority w:val="39"/>
    <w:unhideWhenUsed/>
    <w:pPr>
      <w:ind w:left="850"/>
      <w:spacing w:after="57"/>
    </w:pPr>
  </w:style>
  <w:style w:type="paragraph" w:styleId="950">
    <w:name w:val="toc 5"/>
    <w:basedOn w:val="775"/>
    <w:next w:val="775"/>
    <w:uiPriority w:val="39"/>
    <w:unhideWhenUsed/>
    <w:pPr>
      <w:ind w:left="1134"/>
      <w:spacing w:after="57"/>
    </w:pPr>
  </w:style>
  <w:style w:type="paragraph" w:styleId="951">
    <w:name w:val="toc 6"/>
    <w:basedOn w:val="775"/>
    <w:next w:val="775"/>
    <w:uiPriority w:val="39"/>
    <w:unhideWhenUsed/>
    <w:pPr>
      <w:ind w:left="1417"/>
      <w:spacing w:after="57"/>
    </w:pPr>
  </w:style>
  <w:style w:type="paragraph" w:styleId="952">
    <w:name w:val="toc 7"/>
    <w:basedOn w:val="775"/>
    <w:next w:val="775"/>
    <w:uiPriority w:val="39"/>
    <w:unhideWhenUsed/>
    <w:pPr>
      <w:ind w:left="1701"/>
      <w:spacing w:after="57"/>
    </w:pPr>
  </w:style>
  <w:style w:type="paragraph" w:styleId="953">
    <w:name w:val="toc 8"/>
    <w:basedOn w:val="775"/>
    <w:next w:val="775"/>
    <w:uiPriority w:val="39"/>
    <w:unhideWhenUsed/>
    <w:pPr>
      <w:ind w:left="1984"/>
      <w:spacing w:after="57"/>
    </w:pPr>
  </w:style>
  <w:style w:type="paragraph" w:styleId="954">
    <w:name w:val="toc 9"/>
    <w:basedOn w:val="775"/>
    <w:next w:val="775"/>
    <w:uiPriority w:val="39"/>
    <w:unhideWhenUsed/>
    <w:pPr>
      <w:ind w:left="2268"/>
      <w:spacing w:after="57"/>
    </w:pPr>
  </w:style>
  <w:style w:type="paragraph" w:styleId="955">
    <w:name w:val="TOC Heading"/>
    <w:basedOn w:val="776"/>
    <w:next w:val="775"/>
    <w:uiPriority w:val="39"/>
    <w:unhideWhenUsed/>
    <w:qFormat/>
    <w:pPr>
      <w:keepLines/>
      <w:spacing w:after="0" w:line="259" w:lineRule="auto"/>
      <w:outlineLvl w:val="9"/>
    </w:pPr>
    <w:rPr>
      <w:rFonts w:ascii="Cambria" w:hAnsi="Cambria" w:cs="Times New Roman"/>
      <w:b w:val="0"/>
      <w:bCs w:val="0"/>
      <w:color w:val="365f91"/>
    </w:rPr>
  </w:style>
  <w:style w:type="paragraph" w:styleId="956">
    <w:name w:val="table of figures"/>
    <w:basedOn w:val="775"/>
    <w:next w:val="775"/>
    <w:uiPriority w:val="99"/>
    <w:unhideWhenUsed/>
  </w:style>
  <w:style w:type="paragraph" w:styleId="957">
    <w:name w:val="Body Text Indent"/>
    <w:basedOn w:val="775"/>
    <w:link w:val="1024"/>
    <w:pPr>
      <w:ind w:right="141" w:firstLine="426"/>
      <w:jc w:val="both"/>
    </w:pPr>
  </w:style>
  <w:style w:type="paragraph" w:styleId="958">
    <w:name w:val="Body Text Indent 2"/>
    <w:basedOn w:val="775"/>
    <w:link w:val="1025"/>
    <w:pPr>
      <w:ind w:firstLine="425"/>
      <w:jc w:val="both"/>
      <w:spacing w:line="312" w:lineRule="auto"/>
    </w:pPr>
  </w:style>
  <w:style w:type="paragraph" w:styleId="959">
    <w:name w:val="Body Text"/>
    <w:basedOn w:val="775"/>
    <w:link w:val="1023"/>
    <w:pPr>
      <w:ind w:right="141"/>
      <w:jc w:val="both"/>
      <w:spacing w:line="264" w:lineRule="auto"/>
    </w:pPr>
    <w:rPr>
      <w:sz w:val="26"/>
    </w:rPr>
  </w:style>
  <w:style w:type="paragraph" w:styleId="960">
    <w:name w:val="Body Text Indent 3"/>
    <w:basedOn w:val="775"/>
    <w:link w:val="1026"/>
    <w:pPr>
      <w:ind w:right="141" w:firstLine="187"/>
      <w:jc w:val="both"/>
      <w:spacing w:line="312" w:lineRule="auto"/>
    </w:pPr>
  </w:style>
  <w:style w:type="paragraph" w:styleId="961">
    <w:name w:val="Balloon Text"/>
    <w:basedOn w:val="775"/>
    <w:link w:val="1027"/>
    <w:semiHidden/>
    <w:rPr>
      <w:rFonts w:ascii="Tahoma" w:hAnsi="Tahoma" w:cs="Tahoma"/>
      <w:sz w:val="16"/>
      <w:szCs w:val="16"/>
    </w:rPr>
  </w:style>
  <w:style w:type="character" w:styleId="962">
    <w:name w:val="Strong"/>
    <w:qFormat/>
    <w:rPr>
      <w:b/>
      <w:bCs/>
    </w:rPr>
  </w:style>
  <w:style w:type="paragraph" w:styleId="963">
    <w:name w:val="Normal (Web)"/>
    <w:basedOn w:val="775"/>
    <w:pPr>
      <w:spacing w:before="100" w:beforeAutospacing="1" w:after="100" w:afterAutospacing="1"/>
    </w:pPr>
  </w:style>
  <w:style w:type="paragraph" w:styleId="964" w:customStyle="1">
    <w:name w:val="заголовок 2"/>
    <w:basedOn w:val="775"/>
    <w:next w:val="775"/>
    <w:pPr>
      <w:ind w:firstLine="567"/>
      <w:keepNext/>
      <w:spacing w:before="240" w:after="60"/>
    </w:pPr>
    <w:rPr>
      <w:rFonts w:ascii="OfficinaSerifC" w:hAnsi="OfficinaSerifC" w:cs="OfficinaSerifC"/>
      <w:b/>
      <w:bCs/>
      <w:sz w:val="28"/>
      <w:szCs w:val="28"/>
    </w:rPr>
  </w:style>
  <w:style w:type="paragraph" w:styleId="965" w:customStyle="1">
    <w:name w:val="Preformat"/>
    <w:rPr>
      <w:rFonts w:ascii="Courier New" w:hAnsi="Courier New"/>
      <w:lang w:eastAsia="ru-RU"/>
    </w:rPr>
  </w:style>
  <w:style w:type="paragraph" w:styleId="966" w:customStyle="1">
    <w:name w:val="Таблица.Подпись"/>
    <w:basedOn w:val="775"/>
    <w:pPr>
      <w:jc w:val="center"/>
      <w:spacing w:before="120"/>
    </w:pPr>
    <w:rPr>
      <w:rFonts w:eastAsia="Tahoma"/>
      <w:szCs w:val="20"/>
    </w:rPr>
  </w:style>
  <w:style w:type="paragraph" w:styleId="967" w:customStyle="1">
    <w:name w:val="TableHeader"/>
    <w:basedOn w:val="775"/>
    <w:pPr>
      <w:jc w:val="center"/>
      <w:spacing w:before="120"/>
    </w:pPr>
    <w:rPr>
      <w:rFonts w:eastAsia="Tahoma"/>
      <w:b/>
      <w:i/>
      <w:szCs w:val="20"/>
    </w:rPr>
  </w:style>
  <w:style w:type="character" w:styleId="968" w:customStyle="1">
    <w:name w:val="Заголовок 9 Знак"/>
    <w:link w:val="784"/>
    <w:rPr>
      <w:rFonts w:ascii="Cambria" w:hAnsi="Cambria" w:eastAsia="Times New Roman" w:cs="Times New Roman"/>
      <w:sz w:val="22"/>
      <w:szCs w:val="22"/>
    </w:rPr>
  </w:style>
  <w:style w:type="paragraph" w:styleId="969" w:customStyle="1">
    <w:name w:val="Основной текст 21"/>
    <w:basedOn w:val="775"/>
    <w:pPr>
      <w:ind w:right="-766"/>
      <w:jc w:val="both"/>
    </w:pPr>
    <w:rPr>
      <w:szCs w:val="20"/>
      <w:lang w:eastAsia="ar-SA"/>
    </w:rPr>
  </w:style>
  <w:style w:type="character" w:styleId="970" w:customStyle="1">
    <w:name w:val="Заголовок 2 Знак"/>
    <w:link w:val="777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971" w:customStyle="1">
    <w:name w:val="Body text (2)_"/>
    <w:link w:val="972"/>
    <w:rPr>
      <w:shd w:val="clear" w:color="auto" w:fill="ffffff"/>
    </w:rPr>
  </w:style>
  <w:style w:type="paragraph" w:styleId="972" w:customStyle="1">
    <w:name w:val="Body text (2)"/>
    <w:basedOn w:val="775"/>
    <w:link w:val="971"/>
    <w:pPr>
      <w:ind w:hanging="10"/>
      <w:jc w:val="both"/>
      <w:spacing w:before="540" w:line="265" w:lineRule="exact"/>
      <w:shd w:val="clear" w:color="auto" w:fill="ffffff"/>
    </w:pPr>
    <w:rPr>
      <w:sz w:val="20"/>
      <w:szCs w:val="20"/>
      <w:lang w:val="en-US" w:eastAsia="en-US"/>
    </w:rPr>
  </w:style>
  <w:style w:type="paragraph" w:styleId="973" w:customStyle="1">
    <w:name w:val="ConsTitle"/>
    <w:pPr>
      <w:widowControl w:val="off"/>
    </w:pPr>
    <w:rPr>
      <w:rFonts w:ascii="Arial" w:hAnsi="Arial"/>
      <w:b/>
      <w:sz w:val="16"/>
      <w:lang w:eastAsia="ru-RU"/>
    </w:rPr>
  </w:style>
  <w:style w:type="paragraph" w:styleId="974" w:customStyle="1">
    <w:name w:val="Абзац списка1"/>
    <w:basedOn w:val="775"/>
    <w:uiPriority w:val="99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975">
    <w:name w:val="HTML Preformatted"/>
    <w:basedOn w:val="775"/>
    <w:link w:val="976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Arial Unicode MS"/>
      <w:sz w:val="20"/>
      <w:szCs w:val="20"/>
      <w:lang w:val="en-US" w:eastAsia="en-US"/>
    </w:rPr>
  </w:style>
  <w:style w:type="character" w:styleId="976" w:customStyle="1">
    <w:name w:val="Стандартный HTML Знак"/>
    <w:link w:val="975"/>
    <w:uiPriority w:val="99"/>
    <w:rPr>
      <w:rFonts w:ascii="Arial Unicode MS" w:hAnsi="Arial Unicode MS" w:eastAsia="Arial Unicode MS"/>
    </w:rPr>
  </w:style>
  <w:style w:type="paragraph" w:styleId="977" w:customStyle="1">
    <w:name w:val="Style5"/>
    <w:basedOn w:val="775"/>
    <w:pPr>
      <w:spacing w:line="269" w:lineRule="exact"/>
      <w:widowControl w:val="off"/>
    </w:pPr>
  </w:style>
  <w:style w:type="paragraph" w:styleId="978" w:customStyle="1">
    <w:name w:val="ConsPlusNonformat"/>
    <w:pPr>
      <w:widowControl w:val="off"/>
    </w:pPr>
    <w:rPr>
      <w:rFonts w:ascii="Courier New" w:hAnsi="Courier New" w:cs="Courier New"/>
      <w:lang w:eastAsia="ru-RU"/>
    </w:rPr>
  </w:style>
  <w:style w:type="character" w:styleId="979" w:customStyle="1">
    <w:name w:val="Основной текст_"/>
    <w:link w:val="986"/>
    <w:rPr>
      <w:spacing w:val="-5"/>
      <w:sz w:val="22"/>
      <w:szCs w:val="22"/>
      <w:shd w:val="clear" w:color="auto" w:fill="ffffff"/>
    </w:rPr>
  </w:style>
  <w:style w:type="character" w:styleId="980" w:customStyle="1">
    <w:name w:val="Основной текст2"/>
    <w:rPr>
      <w:rFonts w:ascii="Times New Roman" w:hAnsi="Times New Roman" w:eastAsia="Times New Roman" w:cs="Times New Roman"/>
      <w:color w:val="000000"/>
      <w:spacing w:val="-5"/>
      <w:position w:val="0"/>
      <w:sz w:val="22"/>
      <w:szCs w:val="22"/>
      <w:u w:val="none"/>
      <w:lang w:val="ru-RU"/>
    </w:rPr>
  </w:style>
  <w:style w:type="character" w:styleId="981" w:customStyle="1">
    <w:name w:val="Основной текст + 4 pt;Интервал 1 pt"/>
    <w:rPr>
      <w:rFonts w:ascii="Times New Roman" w:hAnsi="Times New Roman" w:eastAsia="Times New Roman" w:cs="Times New Roman"/>
      <w:color w:val="000000"/>
      <w:spacing w:val="34"/>
      <w:position w:val="0"/>
      <w:sz w:val="8"/>
      <w:szCs w:val="8"/>
      <w:u w:val="none"/>
      <w:lang w:val="ru-RU"/>
    </w:rPr>
  </w:style>
  <w:style w:type="character" w:styleId="982" w:customStyle="1">
    <w:name w:val="Основной текст + Курсив;Интервал 0 pt"/>
    <w:rPr>
      <w:rFonts w:ascii="Times New Roman" w:hAnsi="Times New Roman" w:eastAsia="Times New Roman" w:cs="Times New Roman"/>
      <w:i/>
      <w:iCs/>
      <w:color w:val="000000"/>
      <w:spacing w:val="-3"/>
      <w:position w:val="0"/>
      <w:sz w:val="22"/>
      <w:szCs w:val="22"/>
      <w:u w:val="none"/>
      <w:lang w:val="ru-RU"/>
    </w:rPr>
  </w:style>
  <w:style w:type="character" w:styleId="983" w:customStyle="1">
    <w:name w:val="Оглавление_"/>
    <w:link w:val="987"/>
    <w:rPr>
      <w:spacing w:val="-5"/>
      <w:sz w:val="22"/>
      <w:szCs w:val="22"/>
      <w:shd w:val="clear" w:color="auto" w:fill="ffffff"/>
    </w:rPr>
  </w:style>
  <w:style w:type="character" w:styleId="984" w:customStyle="1">
    <w:name w:val="Основной текст (2)_"/>
    <w:link w:val="988"/>
    <w:rPr>
      <w:i/>
      <w:iCs/>
      <w:spacing w:val="-3"/>
      <w:sz w:val="22"/>
      <w:szCs w:val="22"/>
      <w:shd w:val="clear" w:color="auto" w:fill="ffffff"/>
    </w:rPr>
  </w:style>
  <w:style w:type="character" w:styleId="985" w:customStyle="1">
    <w:name w:val="Основной текст (2) + Не курсив;Интервал 0 pt"/>
    <w:rPr>
      <w:rFonts w:ascii="Times New Roman" w:hAnsi="Times New Roman" w:eastAsia="Times New Roman" w:cs="Times New Roman"/>
      <w:i/>
      <w:iCs/>
      <w:color w:val="000000"/>
      <w:spacing w:val="-5"/>
      <w:position w:val="0"/>
      <w:sz w:val="22"/>
      <w:szCs w:val="22"/>
      <w:u w:val="none"/>
      <w:lang w:val="ru-RU"/>
    </w:rPr>
  </w:style>
  <w:style w:type="paragraph" w:styleId="986" w:customStyle="1">
    <w:name w:val="Основной текст3"/>
    <w:basedOn w:val="775"/>
    <w:link w:val="979"/>
    <w:pPr>
      <w:jc w:val="right"/>
      <w:spacing w:after="60" w:line="0" w:lineRule="atLeast"/>
      <w:shd w:val="clear" w:color="auto" w:fill="ffffff"/>
      <w:widowControl w:val="off"/>
    </w:pPr>
    <w:rPr>
      <w:spacing w:val="-5"/>
      <w:sz w:val="22"/>
      <w:szCs w:val="22"/>
    </w:rPr>
  </w:style>
  <w:style w:type="paragraph" w:styleId="987" w:customStyle="1">
    <w:name w:val="Оглавление"/>
    <w:basedOn w:val="775"/>
    <w:link w:val="983"/>
    <w:pPr>
      <w:jc w:val="both"/>
      <w:spacing w:line="259" w:lineRule="exact"/>
      <w:shd w:val="clear" w:color="auto" w:fill="ffffff"/>
      <w:widowControl w:val="off"/>
    </w:pPr>
    <w:rPr>
      <w:spacing w:val="-5"/>
      <w:sz w:val="22"/>
      <w:szCs w:val="22"/>
    </w:rPr>
  </w:style>
  <w:style w:type="paragraph" w:styleId="988" w:customStyle="1">
    <w:name w:val="Основной текст (2)"/>
    <w:basedOn w:val="775"/>
    <w:link w:val="984"/>
    <w:pPr>
      <w:jc w:val="both"/>
      <w:spacing w:line="0" w:lineRule="atLeast"/>
      <w:shd w:val="clear" w:color="auto" w:fill="ffffff"/>
      <w:widowControl w:val="off"/>
    </w:pPr>
    <w:rPr>
      <w:i/>
      <w:iCs/>
      <w:spacing w:val="-3"/>
      <w:sz w:val="22"/>
      <w:szCs w:val="22"/>
    </w:rPr>
  </w:style>
  <w:style w:type="paragraph" w:styleId="989" w:customStyle="1">
    <w:name w:val="А_обычный"/>
    <w:basedOn w:val="775"/>
    <w:pPr>
      <w:ind w:firstLine="709"/>
      <w:jc w:val="both"/>
    </w:pPr>
  </w:style>
  <w:style w:type="character" w:styleId="990">
    <w:name w:val="annotation reference"/>
    <w:rPr>
      <w:sz w:val="16"/>
      <w:szCs w:val="16"/>
    </w:rPr>
  </w:style>
  <w:style w:type="paragraph" w:styleId="991">
    <w:name w:val="annotation text"/>
    <w:basedOn w:val="775"/>
    <w:link w:val="992"/>
    <w:rPr>
      <w:sz w:val="20"/>
      <w:szCs w:val="20"/>
    </w:rPr>
  </w:style>
  <w:style w:type="character" w:styleId="992" w:customStyle="1">
    <w:name w:val="Текст примечания Знак"/>
    <w:basedOn w:val="785"/>
    <w:link w:val="991"/>
  </w:style>
  <w:style w:type="character" w:styleId="993" w:customStyle="1">
    <w:name w:val="Знак сноски;fr;Used by Word for Help footnote symbols;SUPERS"/>
    <w:rPr>
      <w:rFonts w:ascii="Times New Roman" w:hAnsi="Times New Roman"/>
      <w:vertAlign w:val="superscript"/>
    </w:rPr>
  </w:style>
  <w:style w:type="character" w:styleId="994" w:customStyle="1">
    <w:name w:val="Текст сноски Знак;Знак21 Знак;Знак15 Знак;Знак5 Знак;Знак211 Знак;Знак1 Знак1 Знак;Текст сноски Знак Знак1 Знак;Текст сноски Знак Знак Знак1 Знак;Текст сноски Знак Знак Знак Знак Знак;Текст сноски Знак1 Знак Знак Знак Знак Знак;Знак Знак2;Знак2 Знак"/>
    <w:link w:val="996"/>
  </w:style>
  <w:style w:type="character" w:styleId="995" w:customStyle="1">
    <w:name w:val="ConsPlusNormal Знак"/>
    <w:link w:val="998"/>
    <w:uiPriority w:val="99"/>
    <w:rPr>
      <w:rFonts w:ascii="Arial" w:hAnsi="Arial" w:cs="Arial"/>
    </w:rPr>
  </w:style>
  <w:style w:type="paragraph" w:styleId="996" w:customStyle="1">
    <w:name w:val="Текст сноски;Знак21;Знак15;Знак5;Знак211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"/>
    <w:basedOn w:val="775"/>
    <w:link w:val="994"/>
    <w:pPr>
      <w:jc w:val="both"/>
      <w:spacing w:after="60"/>
    </w:pPr>
    <w:rPr>
      <w:sz w:val="20"/>
      <w:szCs w:val="20"/>
    </w:rPr>
  </w:style>
  <w:style w:type="character" w:styleId="997" w:customStyle="1">
    <w:name w:val="Текст сноски Знак1"/>
    <w:basedOn w:val="785"/>
  </w:style>
  <w:style w:type="paragraph" w:styleId="998" w:customStyle="1">
    <w:name w:val="ConsPlusNormal"/>
    <w:link w:val="995"/>
    <w:uiPriority w:val="99"/>
    <w:pPr>
      <w:widowControl w:val="off"/>
    </w:pPr>
    <w:rPr>
      <w:rFonts w:ascii="Arial" w:hAnsi="Arial" w:cs="Arial"/>
      <w:lang w:eastAsia="ru-RU"/>
    </w:rPr>
  </w:style>
  <w:style w:type="paragraph" w:styleId="999" w:customStyle="1">
    <w:name w:val="Абзац списка;Bullet List;FooterText;Paragraphe de liste1;lp1;numbered;Список дефисный;Table-Normal;RSHB_Table-Normal;Заговок Марина;Цветной список - Акцент 11;Список нумерованный цифры;-Абзац списка;List Paragraph3"/>
    <w:basedOn w:val="775"/>
    <w:link w:val="1036"/>
    <w:uiPriority w:val="34"/>
    <w:qFormat/>
    <w:pPr>
      <w:contextualSpacing/>
      <w:ind w:left="720"/>
    </w:pPr>
  </w:style>
  <w:style w:type="character" w:styleId="1000" w:customStyle="1">
    <w:name w:val="Font Style13"/>
    <w:uiPriority w:val="99"/>
    <w:rPr>
      <w:rFonts w:ascii="Times New Roman" w:hAnsi="Times New Roman" w:cs="Times New Roman"/>
      <w:sz w:val="20"/>
      <w:szCs w:val="20"/>
    </w:rPr>
  </w:style>
  <w:style w:type="character" w:styleId="1001" w:customStyle="1">
    <w:name w:val="Верхний колонтитул Знак"/>
    <w:link w:val="807"/>
  </w:style>
  <w:style w:type="paragraph" w:styleId="1002">
    <w:name w:val="annotation subject"/>
    <w:basedOn w:val="991"/>
    <w:next w:val="991"/>
    <w:link w:val="1003"/>
    <w:rPr>
      <w:b/>
      <w:bCs/>
    </w:rPr>
  </w:style>
  <w:style w:type="character" w:styleId="1003" w:customStyle="1">
    <w:name w:val="Тема примечания Знак"/>
    <w:link w:val="1002"/>
    <w:rPr>
      <w:b/>
      <w:bCs/>
    </w:rPr>
  </w:style>
  <w:style w:type="paragraph" w:styleId="1004" w:customStyle="1">
    <w:name w:val="Text body"/>
    <w:basedOn w:val="775"/>
    <w:pPr>
      <w:jc w:val="both"/>
    </w:pPr>
    <w:rPr>
      <w:rFonts w:ascii="CentSchbkCyrill BT" w:hAnsi="CentSchbkCyrill BT"/>
      <w:sz w:val="20"/>
      <w:szCs w:val="20"/>
      <w:lang w:eastAsia="ar-SA"/>
    </w:rPr>
  </w:style>
  <w:style w:type="paragraph" w:styleId="1005">
    <w:name w:val="Revision"/>
    <w:hidden/>
    <w:uiPriority w:val="99"/>
    <w:semiHidden/>
    <w:rPr>
      <w:sz w:val="24"/>
      <w:szCs w:val="24"/>
      <w:lang w:eastAsia="ru-RU"/>
    </w:rPr>
  </w:style>
  <w:style w:type="character" w:styleId="1006" w:customStyle="1">
    <w:name w:val="Заголовок 4 Знак"/>
    <w:link w:val="779"/>
    <w:rPr>
      <w:rFonts w:ascii="Arial" w:hAnsi="Arial" w:eastAsia="MS Mincho" w:cs="Tahoma"/>
      <w:b/>
      <w:bCs/>
      <w:i/>
      <w:iCs/>
      <w:sz w:val="24"/>
      <w:szCs w:val="24"/>
      <w:lang w:eastAsia="ar-SA"/>
    </w:rPr>
  </w:style>
  <w:style w:type="paragraph" w:styleId="1007" w:customStyle="1">
    <w:name w:val="Заголовок"/>
    <w:basedOn w:val="775"/>
    <w:next w:val="775"/>
    <w:link w:val="1008"/>
    <w:qFormat/>
    <w:pPr>
      <w:jc w:val="center"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character" w:styleId="1008" w:customStyle="1">
    <w:name w:val="Заголовок Знак"/>
    <w:link w:val="1007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1009" w:customStyle="1">
    <w:name w:val="ListLabel 2"/>
  </w:style>
  <w:style w:type="paragraph" w:styleId="1010" w:customStyle="1">
    <w:name w:val="Default"/>
    <w:rPr>
      <w:color w:val="000000"/>
      <w:sz w:val="24"/>
      <w:szCs w:val="24"/>
      <w:lang w:eastAsia="ru-RU"/>
    </w:rPr>
  </w:style>
  <w:style w:type="character" w:styleId="1011" w:customStyle="1">
    <w:name w:val="Заголовок 5 Знак"/>
    <w:link w:val="780"/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1012">
    <w:name w:val="Body Text 2"/>
    <w:basedOn w:val="775"/>
    <w:link w:val="1013"/>
    <w:pPr>
      <w:spacing w:after="120" w:line="480" w:lineRule="auto"/>
    </w:pPr>
  </w:style>
  <w:style w:type="character" w:styleId="1013" w:customStyle="1">
    <w:name w:val="Основной текст 2 Знак"/>
    <w:link w:val="1012"/>
    <w:rPr>
      <w:sz w:val="24"/>
      <w:szCs w:val="24"/>
    </w:rPr>
  </w:style>
  <w:style w:type="paragraph" w:styleId="1014">
    <w:name w:val="Body Text 3"/>
    <w:basedOn w:val="775"/>
    <w:link w:val="1015"/>
    <w:pPr>
      <w:spacing w:after="120"/>
    </w:pPr>
    <w:rPr>
      <w:sz w:val="16"/>
      <w:szCs w:val="16"/>
    </w:rPr>
  </w:style>
  <w:style w:type="character" w:styleId="1015" w:customStyle="1">
    <w:name w:val="Основной текст 3 Знак"/>
    <w:link w:val="1014"/>
    <w:rPr>
      <w:sz w:val="16"/>
      <w:szCs w:val="16"/>
    </w:rPr>
  </w:style>
  <w:style w:type="character" w:styleId="1016" w:customStyle="1">
    <w:name w:val="Заголовок 6 Знак"/>
    <w:link w:val="781"/>
    <w:rPr>
      <w:b/>
      <w:sz w:val="22"/>
    </w:rPr>
  </w:style>
  <w:style w:type="character" w:styleId="1017" w:customStyle="1">
    <w:name w:val="Заголовок 1 Знак"/>
    <w:link w:val="776"/>
    <w:rPr>
      <w:rFonts w:ascii="Arial" w:hAnsi="Arial" w:cs="Arial"/>
      <w:b/>
      <w:bCs/>
      <w:sz w:val="32"/>
      <w:szCs w:val="32"/>
    </w:rPr>
  </w:style>
  <w:style w:type="character" w:styleId="1018" w:customStyle="1">
    <w:name w:val="Заголовок 3 Знак"/>
    <w:link w:val="778"/>
    <w:rPr>
      <w:rFonts w:ascii="Verdana" w:hAnsi="Verdana"/>
      <w:b/>
      <w:bCs/>
      <w:sz w:val="22"/>
      <w:szCs w:val="22"/>
    </w:rPr>
  </w:style>
  <w:style w:type="character" w:styleId="1019">
    <w:name w:val="page number"/>
  </w:style>
  <w:style w:type="character" w:styleId="1020" w:customStyle="1">
    <w:name w:val="Нижний колонтитул Знак"/>
    <w:link w:val="809"/>
    <w:rPr>
      <w:sz w:val="24"/>
      <w:szCs w:val="24"/>
    </w:rPr>
  </w:style>
  <w:style w:type="paragraph" w:styleId="1021" w:customStyle="1">
    <w:name w:val="FR1"/>
    <w:pPr>
      <w:ind w:left="40" w:hanging="20"/>
      <w:spacing w:before="280"/>
      <w:widowControl w:val="off"/>
    </w:pPr>
    <w:rPr>
      <w:rFonts w:ascii="Arial" w:hAnsi="Arial"/>
      <w:sz w:val="22"/>
      <w:lang w:eastAsia="ru-RU"/>
    </w:rPr>
  </w:style>
  <w:style w:type="paragraph" w:styleId="1022" w:customStyle="1">
    <w:name w:val="FR2"/>
    <w:pPr>
      <w:jc w:val="both"/>
      <w:widowControl w:val="off"/>
    </w:pPr>
    <w:rPr>
      <w:rFonts w:ascii="Courier New" w:hAnsi="Courier New"/>
      <w:sz w:val="18"/>
      <w:lang w:eastAsia="ru-RU"/>
    </w:rPr>
  </w:style>
  <w:style w:type="character" w:styleId="1023" w:customStyle="1">
    <w:name w:val="Основной текст Знак"/>
    <w:link w:val="959"/>
    <w:rPr>
      <w:sz w:val="26"/>
      <w:szCs w:val="24"/>
    </w:rPr>
  </w:style>
  <w:style w:type="character" w:styleId="1024" w:customStyle="1">
    <w:name w:val="Основной текст с отступом Знак"/>
    <w:link w:val="957"/>
    <w:rPr>
      <w:sz w:val="24"/>
      <w:szCs w:val="24"/>
    </w:rPr>
  </w:style>
  <w:style w:type="character" w:styleId="1025" w:customStyle="1">
    <w:name w:val="Основной текст с отступом 2 Знак"/>
    <w:link w:val="958"/>
    <w:rPr>
      <w:sz w:val="24"/>
      <w:szCs w:val="24"/>
    </w:rPr>
  </w:style>
  <w:style w:type="character" w:styleId="1026" w:customStyle="1">
    <w:name w:val="Основной текст с отступом 3 Знак"/>
    <w:link w:val="960"/>
    <w:rPr>
      <w:sz w:val="24"/>
      <w:szCs w:val="24"/>
    </w:rPr>
  </w:style>
  <w:style w:type="character" w:styleId="1027" w:customStyle="1">
    <w:name w:val="Текст выноски Знак"/>
    <w:link w:val="961"/>
    <w:semiHidden/>
    <w:rPr>
      <w:rFonts w:ascii="Tahoma" w:hAnsi="Tahoma" w:cs="Tahoma"/>
      <w:sz w:val="16"/>
      <w:szCs w:val="16"/>
    </w:rPr>
  </w:style>
  <w:style w:type="paragraph" w:styleId="1028">
    <w:name w:val="Block Text"/>
    <w:basedOn w:val="775"/>
    <w:pPr>
      <w:ind w:left="-1134" w:right="-1050"/>
      <w:jc w:val="both"/>
    </w:pPr>
    <w:rPr>
      <w:sz w:val="22"/>
      <w:szCs w:val="20"/>
    </w:rPr>
  </w:style>
  <w:style w:type="paragraph" w:styleId="1029" w:customStyle="1">
    <w:name w:val="Приложение"/>
    <w:basedOn w:val="775"/>
    <w:qFormat/>
    <w:pPr>
      <w:contextualSpacing/>
      <w:ind w:left="5670" w:right="-2"/>
      <w:jc w:val="right"/>
      <w:widowControl w:val="off"/>
      <w:outlineLvl w:val="0"/>
    </w:pPr>
    <w:rPr>
      <w:rFonts w:eastAsia="Calibri"/>
      <w:sz w:val="28"/>
      <w:szCs w:val="28"/>
      <w:lang w:eastAsia="en-US"/>
    </w:rPr>
  </w:style>
  <w:style w:type="paragraph" w:styleId="1030" w:customStyle="1">
    <w:name w:val="footnote description"/>
    <w:next w:val="775"/>
    <w:link w:val="1031"/>
    <w:hidden/>
    <w:pPr>
      <w:spacing w:line="279" w:lineRule="auto"/>
    </w:pPr>
    <w:rPr>
      <w:color w:val="000000"/>
      <w:szCs w:val="22"/>
      <w:lang w:eastAsia="ru-RU"/>
    </w:rPr>
  </w:style>
  <w:style w:type="character" w:styleId="1031" w:customStyle="1">
    <w:name w:val="footnote description Char"/>
    <w:link w:val="1030"/>
    <w:rPr>
      <w:color w:val="000000"/>
      <w:szCs w:val="22"/>
    </w:rPr>
  </w:style>
  <w:style w:type="character" w:styleId="1032" w:customStyle="1">
    <w:name w:val="footnote mark"/>
    <w:hidden/>
    <w:rPr>
      <w:rFonts w:ascii="Cambria" w:hAnsi="Cambria" w:eastAsia="Cambria" w:cs="Cambria"/>
      <w:color w:val="000000"/>
      <w:sz w:val="20"/>
      <w:vertAlign w:val="superscript"/>
    </w:rPr>
  </w:style>
  <w:style w:type="table" w:styleId="1033" w:customStyle="1">
    <w:name w:val="TableGrid1"/>
    <w:rPr>
      <w:rFonts w:ascii="Calibri" w:hAnsi="Calibri"/>
      <w:sz w:val="22"/>
      <w:szCs w:val="22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4" w:customStyle="1">
    <w:name w:val="Сетка таблицы1"/>
    <w:basedOn w:val="786"/>
    <w:next w:val="813"/>
    <w:uiPriority w:val="39"/>
    <w:pPr>
      <w:ind w:firstLine="709"/>
      <w:jc w:val="both"/>
    </w:pPr>
    <w:rPr>
      <w:rFonts w:eastAsia="Calibri"/>
      <w:sz w:val="24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35" w:customStyle="1">
    <w:name w:val="Сетка таблицы2"/>
    <w:basedOn w:val="786"/>
    <w:next w:val="813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036" w:customStyle="1">
    <w:name w:val="Абзац списка Знак;Bullet List Знак;FooterText Знак;Paragraphe de liste1 Знак;lp1 Знак;numbered Знак;Список дефисный Знак;Table-Normal Знак;RSHB_Table-Normal Знак;Заговок Марина Знак;Цветной список - Акцент 11 Знак;Список нумерованный цифры Знак"/>
    <w:link w:val="999"/>
    <w:uiPriority w:val="34"/>
    <w:rPr>
      <w:sz w:val="24"/>
      <w:szCs w:val="24"/>
    </w:rPr>
  </w:style>
  <w:style w:type="table" w:styleId="1037" w:customStyle="1">
    <w:name w:val="Сетка таблицы3"/>
    <w:basedOn w:val="786"/>
    <w:next w:val="813"/>
    <w:uiPriority w:val="39"/>
    <w:pPr>
      <w:ind w:firstLine="709"/>
      <w:jc w:val="both"/>
    </w:pPr>
    <w:rPr>
      <w:rFonts w:eastAsia="Calibri"/>
      <w:sz w:val="24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CDFFAB88F69942AA81735AB461C97DDDC6C600ACB68E22D74481AFF9DAE4EDC1D8A29BCCB21DC69BCD32942EEC85FCB31DD94683387191990BQCN" TargetMode="External"/><Relationship Id="rId11" Type="http://schemas.openxmlformats.org/officeDocument/2006/relationships/hyperlink" Target="consultantplus://offline/ref=A2D69AC08064922D32287949DDED4C1F70851D1C7AE90ADC3560D68FC9690E34CD5B6C8B59505CFA6FF2629CEE07E04EB9C08F309025C4EBW8q7F" TargetMode="External"/><Relationship Id="rId12" Type="http://schemas.openxmlformats.org/officeDocument/2006/relationships/hyperlink" Target="consultantplus://offline/ref=A2D69AC08064922D32287949DDED4C1F70851D1C7AE90ADC3560D68FC9690E34CD5B6C8B59505CFA62F2629CEE07E04EB9C08F309025C4EBW8q7F" TargetMode="External"/><Relationship Id="rId13" Type="http://schemas.openxmlformats.org/officeDocument/2006/relationships/hyperlink" Target="consultantplus://offline/ref=A2D69AC08064922D32287949DDED4C1F70851D1C7AE90ADC3560D68FC9690E34CD5B6C8B59505CFB6AF2629CEE07E04EB9C08F309025C4EBW8q7F" TargetMode="External"/><Relationship Id="rId14" Type="http://schemas.openxmlformats.org/officeDocument/2006/relationships/hyperlink" Target="consultantplus://offline/ref=A2D69AC08064922D32287949DDED4C1F70851D1C7AE90ADC3560D68FC9690E34CD5B6C8B595058F16FF2629CEE07E04EB9C08F309025C4EBW8q7F" TargetMode="External"/><Relationship Id="rId15" Type="http://schemas.openxmlformats.org/officeDocument/2006/relationships/hyperlink" Target="consultantplus://offline/ref=A2D69AC08064922D32287949DDED4C1F70851D1C7AE90ADC3560D68FC9690E34CD5B6C8B59505CFB62F2629CEE07E04EB9C08F309025C4EBW8q7F" TargetMode="External"/><Relationship Id="rId16" Type="http://schemas.openxmlformats.org/officeDocument/2006/relationships/hyperlink" Target="consultantplus://offline/ref=A2D69AC08064922D32287949DDED4C1F70851D1C7AE90ADC3560D68FC9690E34CD5B6C8B59505CFC6AF2629CEE07E04EB9C08F309025C4EBW8q7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Эксперт - Климат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№_21/05-01_____</dc:title>
  <dc:creator>Дмитрий Малахов</dc:creator>
  <cp:revision>34</cp:revision>
  <dcterms:created xsi:type="dcterms:W3CDTF">2025-04-17T07:48:00Z</dcterms:created>
  <dcterms:modified xsi:type="dcterms:W3CDTF">2026-03-27T08:12:58Z</dcterms:modified>
  <cp:version>1048576</cp:version>
</cp:coreProperties>
</file>