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ОБОСНОВАНИЕ НАЧАЛЬНОЙ (МАКСИМАЛЬНОЙ) ЦЕНЫ КОНТРАКТА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психотропного лекарственного препарата списка </w:t>
      </w:r>
      <w:r>
        <w:rPr>
          <w:rFonts w:cs="Times New Roman" w:ascii="Times New Roman" w:hAnsi="Times New Roman"/>
          <w:b/>
          <w:sz w:val="24"/>
          <w:szCs w:val="24"/>
        </w:rPr>
        <w:t>ІІІ</w:t>
      </w:r>
      <w:r>
        <w:rPr>
          <w:rFonts w:ascii="Times New Roman" w:hAnsi="Times New Roman"/>
          <w:b/>
          <w:sz w:val="24"/>
          <w:szCs w:val="24"/>
        </w:rPr>
        <w:t xml:space="preserve"> диазепама 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Начальная (максимальная) цена контракта (далее - НМЦК) сформирована в соответствии с приказом Минздрава России от 19.12.2019 N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В связи с тем, что на участие в закупках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 w:eastAsia="en-US"/>
        </w:rPr>
        <w:t>E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АТ «Березка» №</w:t>
      </w:r>
      <w:hyperlink r:id="rId2" w:tgtFrame="_blank">
        <w:bookmarkStart w:id="0" w:name="tradeNumber"/>
        <w:bookmarkEnd w:id="0"/>
        <w:r>
          <w:rPr>
            <w:rFonts w:eastAsia="Calibri" w:cs="Times New Roman" w:ascii="Times New Roman" w:hAnsi="Times New Roman"/>
            <w:color w:val="000000"/>
            <w:sz w:val="24"/>
            <w:szCs w:val="24"/>
            <w:lang w:eastAsia="en-US"/>
          </w:rPr>
          <w:t>100104218126100183</w:t>
        </w:r>
      </w:hyperlink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 не б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ыло подано ни одной заявки, при объявлении данной (повторной) закупки в качестве цены единицы планируемого к закупке лекарственного препарата принимается в соответствии принимается в соответствии с п. 13 приказа Министерства здравоохранения Российской Федерации от 19.12.2019г. № 1064н  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 </w:t>
      </w:r>
      <w:r>
        <w:rPr>
          <w:rFonts w:cs="Times New Roman" w:ascii="Times New Roman" w:hAnsi="Times New Roman"/>
          <w:sz w:val="24"/>
          <w:szCs w:val="24"/>
        </w:rPr>
        <w:t>в качестве цены единицы лекарственного препарата, начальной цены единицы лекарственного препарата заказчиком принимается максимальное значение цены лекарственного препарата по данным государственного реестра.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vanish/>
          <w:sz w:val="24"/>
          <w:szCs w:val="24"/>
        </w:rPr>
        <w:br/>
      </w: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III</w:t>
      </w:r>
      <w:r>
        <w:rPr>
          <w:rFonts w:eastAsia="Calibri" w:cs="Times New Roman" w:ascii="Times New Roman" w:hAnsi="Times New Roman"/>
          <w:b/>
          <w:sz w:val="24"/>
          <w:szCs w:val="24"/>
        </w:rPr>
        <w:t>. Расчет НМЦК: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Расчет НМЦК осуществляется по формуле: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/>
        <w:drawing>
          <wp:inline distT="0" distB="0" distL="0" distR="0">
            <wp:extent cx="1711960" cy="34988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где: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 - количество поставляемых лекарственных препаратов;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Цi - цена единицы i-го лекарственного препарата с учетом НДС и оптовой надбавки;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Vi - объем поставки i-го лекарственного препарата.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Размер оптовой надбавки определен согласно приказу Комитета тарифного регулирования Волгоградской области  от 14.09.2022г. № 32/2 «</w:t>
      </w:r>
      <w:r>
        <w:rPr>
          <w:rFonts w:eastAsia="Calibri" w:cs="Times New Roman" w:ascii="Times New Roman" w:hAnsi="Times New Roman"/>
          <w:b/>
          <w:sz w:val="24"/>
          <w:szCs w:val="24"/>
        </w:rPr>
        <w:t>Об установлении 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на территории Волгоградской области». Размер НДС определен согласно ч.2 ст. 164 Налогового кодекса Российской Федерации.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1572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6"/>
        <w:gridCol w:w="5203"/>
        <w:gridCol w:w="1668"/>
        <w:gridCol w:w="1205"/>
        <w:gridCol w:w="1320"/>
        <w:gridCol w:w="2554"/>
        <w:gridCol w:w="1528"/>
        <w:gridCol w:w="1686"/>
        <w:gridCol w:w="22"/>
      </w:tblGrid>
      <w:tr>
        <w:trPr>
          <w:trHeight w:val="1161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№ </w:t>
            </w:r>
            <w:r>
              <w:rPr>
                <w:rFonts w:eastAsia="Calibri" w:cs="Times New Roman" w:ascii="Times New Roman" w:hAnsi="Times New Roman"/>
              </w:rPr>
              <w:t>п/п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</w:rPr>
              <w:t>МНН закупаемого лекарственного препарата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Объем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поставки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</w:rPr>
              <w:t>Максимальное значение цены лекарственного препарата по данным государственного реестра</w:t>
            </w:r>
            <w:r>
              <w:rPr>
                <w:rFonts w:eastAsia="Calibri" w:cs="Times New Roman" w:ascii="Times New Roman" w:hAnsi="Times New Roman"/>
              </w:rPr>
              <w:t>, руб.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Минимальная цена за единицу с оптовой надбавкой и НДС, руб.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Начальная (максимальная) цена, руб.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3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5" w:after="0"/>
              <w:ind w:left="15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Диазепам</w:t>
            </w:r>
          </w:p>
          <w:p>
            <w:pPr>
              <w:pStyle w:val="Normal"/>
              <w:widowControl w:val="false"/>
              <w:spacing w:lineRule="auto" w:line="240" w:before="15" w:after="0"/>
              <w:ind w:left="15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введения, </w:t>
            </w:r>
          </w:p>
          <w:p>
            <w:pPr>
              <w:pStyle w:val="Normal"/>
              <w:widowControl w:val="false"/>
              <w:spacing w:lineRule="auto" w:line="240" w:before="15" w:after="0"/>
              <w:ind w:left="15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 мг/мл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6,62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7,28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145,60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145,60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8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ФКУ «Волгоградская ПБСТИН» Минздрава России</w:t>
            </w:r>
          </w:p>
        </w:tc>
      </w:tr>
      <w:tr>
        <w:trPr>
          <w:trHeight w:val="208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403843, РФ, Волгоградская область, Камышинский район, с. Дворянское</w:t>
            </w:r>
          </w:p>
        </w:tc>
      </w:tr>
      <w:tr>
        <w:trPr>
          <w:trHeight w:val="269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403843, РФ, Волгоградская область, Камышинский район, с. Дворянское</w:t>
            </w:r>
          </w:p>
        </w:tc>
      </w:tr>
      <w:tr>
        <w:trPr>
          <w:trHeight w:val="347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vpb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tin@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.ru</w:t>
            </w:r>
          </w:p>
        </w:tc>
      </w:tr>
      <w:tr>
        <w:trPr>
          <w:trHeight w:val="282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8 (844 57) 7-03-46</w:t>
            </w:r>
          </w:p>
        </w:tc>
      </w:tr>
      <w:tr>
        <w:trPr>
          <w:trHeight w:val="282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Дата подготовки обоснования начальной (максимальной) цены контракта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21.05.2026г.</w:t>
            </w:r>
          </w:p>
        </w:tc>
      </w:tr>
      <w:tr>
        <w:trPr>
          <w:trHeight w:val="208" w:hRule="atLeast"/>
        </w:trPr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Ответственное должностное лицо заказчика</w:t>
            </w:r>
          </w:p>
        </w:tc>
        <w:tc>
          <w:tcPr>
            <w:tcW w:w="9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Экономист                              Бондаренко Ю.В.</w:t>
            </w:r>
            <w:bookmarkStart w:id="1" w:name="_GoBack"/>
            <w:bookmarkEnd w:id="1"/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4fa7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7050d1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e773f9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487bb8"/>
    <w:rPr>
      <w:color w:val="800080"/>
      <w:u w:val="single"/>
    </w:rPr>
  </w:style>
  <w:style w:type="character" w:styleId="Colorblue" w:customStyle="1">
    <w:name w:val="color_blue"/>
    <w:basedOn w:val="DefaultParagraphFont"/>
    <w:qFormat/>
    <w:rsid w:val="00865226"/>
    <w:rPr/>
  </w:style>
  <w:style w:type="character" w:styleId="Cardmaininfocontent" w:customStyle="1">
    <w:name w:val="cardmaininfo__content"/>
    <w:qFormat/>
    <w:rsid w:val="004e1cd8"/>
    <w:rPr/>
  </w:style>
  <w:style w:type="character" w:styleId="Cardmaininfotitle" w:customStyle="1">
    <w:name w:val="cardmaininfo__title"/>
    <w:qFormat/>
    <w:rsid w:val="004e1cd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9794c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050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Xl65" w:customStyle="1">
    <w:name w:val="xl65"/>
    <w:basedOn w:val="Normal"/>
    <w:qFormat/>
    <w:rsid w:val="00487b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Calibri" w:hAnsi="Calibri" w:eastAsia="Times New Roman" w:cs="Calibri"/>
      <w:color w:val="000000"/>
    </w:rPr>
  </w:style>
  <w:style w:type="paragraph" w:styleId="Xl66" w:customStyle="1">
    <w:name w:val="xl66"/>
    <w:basedOn w:val="Normal"/>
    <w:qFormat/>
    <w:rsid w:val="00487b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Calibri" w:hAnsi="Calibri" w:eastAsia="Times New Roman" w:cs="Calibri"/>
      <w:color w:val="000000"/>
    </w:rPr>
  </w:style>
  <w:style w:type="paragraph" w:styleId="Xl67" w:customStyle="1">
    <w:name w:val="xl67"/>
    <w:basedOn w:val="Normal"/>
    <w:qFormat/>
    <w:rsid w:val="00487b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Calibri" w:hAnsi="Calibri" w:eastAsia="Times New Roman" w:cs="Calibri"/>
      <w:color w:val="000000"/>
    </w:rPr>
  </w:style>
  <w:style w:type="paragraph" w:styleId="Xl68" w:customStyle="1">
    <w:name w:val="xl68"/>
    <w:basedOn w:val="Normal"/>
    <w:qFormat/>
    <w:rsid w:val="00487b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Calibri" w:hAnsi="Calibri" w:eastAsia="Times New Roman" w:cs="Calibri"/>
      <w:color w:val="000000"/>
    </w:rPr>
  </w:style>
  <w:style w:type="paragraph" w:styleId="Xl69" w:customStyle="1">
    <w:name w:val="xl69"/>
    <w:basedOn w:val="Normal"/>
    <w:qFormat/>
    <w:rsid w:val="00487b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Calibri" w:hAnsi="Calibri"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652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794c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egatoreat.ru/lk/customer/eat/announcement/1228bab5-5164-44a8-9d9a-913e612befda" TargetMode="External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LibreOffice_project/155c490457025f32143219b3c36f6c1abf1f2442</Application>
  <Pages>2</Pages>
  <Words>363</Words>
  <Characters>2677</Characters>
  <CharactersWithSpaces>3031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2026-02-10T07:36:00Z</dcterms:created>
  <dc:creator>Пригарин</dc:creator>
  <dc:description/>
  <dc:language>ru-RU</dc:language>
  <cp:lastModifiedBy/>
  <cp:lastPrinted>2026-05-22T14:50:18Z</cp:lastPrinted>
  <dcterms:modified xsi:type="dcterms:W3CDTF">2026-05-22T14:48:01Z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