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PT Astra Serif" w:hAnsi="PT Astra Serif" w:eastAsia="Calibri"/>
          <w:b/>
          <w:sz w:val="24"/>
          <w:szCs w:val="24"/>
          <w:lang w:eastAsia="en-US"/>
        </w:rPr>
      </w:pPr>
      <w:r>
        <w:rPr>
          <w:rFonts w:eastAsia="Calibri" w:ascii="PT Astra Serif" w:hAnsi="PT Astra Serif"/>
          <w:b/>
          <w:sz w:val="24"/>
          <w:szCs w:val="24"/>
          <w:lang w:eastAsia="en-US"/>
        </w:rPr>
        <w:t>Обоснование начальной (максимальной) цены контракта</w:t>
      </w:r>
    </w:p>
    <w:p>
      <w:pPr>
        <w:pStyle w:val="western"/>
        <w:spacing w:before="0" w:after="0"/>
        <w:jc w:val="center"/>
        <w:rPr>
          <w:rFonts w:ascii="PT Astra Serif" w:hAnsi="PT Astra Serif"/>
        </w:rPr>
      </w:pPr>
      <w:r>
        <w:rPr>
          <w:rFonts w:ascii="PT Astra Serif" w:hAnsi="PT Astra Serif"/>
          <w:spacing w:val="-6"/>
          <w:shd w:fill="FFFFFF" w:val="clear"/>
        </w:rPr>
        <w:t>Проволока костная ортопедическая</w:t>
      </w:r>
    </w:p>
    <w:tbl>
      <w:tblPr>
        <w:tblpPr w:vertAnchor="text" w:horzAnchor="margin" w:leftFromText="180" w:rightFromText="180" w:tblpX="-251" w:tblpY="38"/>
        <w:tblW w:w="15309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1559"/>
        <w:gridCol w:w="13750"/>
      </w:tblGrid>
      <w:tr>
        <w:trPr>
          <w:trHeight w:val="232" w:hRule="atLeast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57" w:right="57"/>
              <w:rPr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Используемый метод определения НМЦК с обоснованием:</w:t>
            </w:r>
          </w:p>
        </w:tc>
        <w:tc>
          <w:tcPr>
            <w:tcW w:w="1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PT Astra Serif" w:hAnsi="PT Astra Serif"/>
                <w:sz w:val="18"/>
                <w:szCs w:val="18"/>
              </w:rPr>
              <w:t xml:space="preserve">Информация о предельных отпускных ценах производителей медицинских изделий в соответствии с перечнем </w:t>
            </w:r>
            <w:r>
              <w:rPr>
                <w:rFonts w:eastAsia="Calibri" w:ascii="PT Astra Serif" w:hAnsi="PT Astra Serif"/>
                <w:sz w:val="18"/>
                <w:szCs w:val="18"/>
                <w:lang w:eastAsia="en-US"/>
              </w:rPr>
              <w:t xml:space="preserve">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на основании </w:t>
            </w:r>
            <w:r>
              <w:rPr>
                <w:rFonts w:ascii="PT Astra Serif" w:hAnsi="PT Astra Serif"/>
                <w:sz w:val="18"/>
                <w:szCs w:val="18"/>
              </w:rPr>
              <w:t>Постановления Правительства РФ от 30 декабря 2015 г. N 1517,</w:t>
            </w:r>
            <w:r>
              <w:rPr>
                <w:rFonts w:eastAsia="Calibri" w:ascii="PT Astra Serif" w:hAnsi="PT Astra Serif"/>
                <w:sz w:val="18"/>
                <w:szCs w:val="18"/>
                <w:lang w:eastAsia="en-US"/>
              </w:rPr>
              <w:t xml:space="preserve"> Распоряжения Правительства РФ от 31.12.2018 N 3053-р, представлена на официальном сайте Росздравнадзора по ссылке: </w:t>
            </w:r>
            <w:hyperlink r:id="rId2">
              <w:r>
                <w:rPr>
                  <w:rStyle w:val="Hyperlink"/>
                  <w:rFonts w:ascii="PT Astra Serif" w:hAnsi="PT Astra Serif"/>
                  <w:color w:val="000000"/>
                  <w:sz w:val="18"/>
                  <w:szCs w:val="18"/>
                </w:rPr>
                <w:t>https://roszdravnadzor.gov.ru/services/mi_prices</w:t>
              </w:r>
            </w:hyperlink>
            <w:r>
              <w:rPr>
                <w:rFonts w:eastAsia="Calibri" w:ascii="PT Astra Serif" w:hAnsi="PT Astra Serif"/>
                <w:sz w:val="18"/>
                <w:szCs w:val="18"/>
                <w:lang w:eastAsia="en-US"/>
              </w:rPr>
              <w:t xml:space="preserve">. </w:t>
            </w:r>
            <w:r>
              <w:rPr>
                <w:rFonts w:ascii="PT Astra Serif" w:hAnsi="PT Astra Serif"/>
                <w:sz w:val="18"/>
                <w:szCs w:val="18"/>
              </w:rPr>
              <w:t xml:space="preserve">Объект закупки в указанный выше перечень не включен, тарифный метод не применяется. 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 xml:space="preserve">Учитывая вышеизложенное, определение НМЦК в соответствии с ч.12, ч.22 ст.22 Федерального закона от 05.04.2013 №44-ФЗ, на основании Приказа Минздрава России от 15.05.2020 №450н «Об утверждении порядка определения начальной (максимальной) цены </w:t>
            </w:r>
            <w:r>
              <w:rPr>
                <w:rFonts w:ascii="PT Astra Serif" w:hAnsi="PT Astra Serif"/>
                <w:b/>
                <w:sz w:val="18"/>
                <w:szCs w:val="18"/>
                <w:shd w:fill="FFFFFF" w:val="clear"/>
              </w:rPr>
              <w:t>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изделий».</w:t>
            </w:r>
          </w:p>
        </w:tc>
      </w:tr>
      <w:tr>
        <w:trPr>
          <w:trHeight w:val="702" w:hRule="atLeast"/>
        </w:trPr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57" w:right="57"/>
              <w:jc w:val="both"/>
              <w:rPr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Расчет</w:t>
            </w:r>
          </w:p>
        </w:tc>
        <w:tc>
          <w:tcPr>
            <w:tcW w:w="1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57"/>
              <w:rPr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 соответствии с п. 12 Приказа Минздрава России от 15.05.2020 №450н расчет начальной цены единицы медицинского изделия, цены единицы медицинского изделия, для которого в эксплуатационной документации производителя (изготовителя) не предусмотрено использование расходных материалов и проведение технического обслуживания в период гарантийного срока его эксплуатации, осуществляется по формуле:</w:t>
            </w:r>
          </w:p>
          <w:p>
            <w:pPr>
              <w:pStyle w:val="Normal"/>
              <w:spacing w:lineRule="auto" w:line="240" w:before="0" w:after="0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drawing>
                <wp:inline distT="0" distB="0" distL="0" distR="0">
                  <wp:extent cx="1238885" cy="260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rcRect l="-43" t="-204" r="-43" b="-2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885" cy="260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z w:val="18"/>
                <w:szCs w:val="18"/>
              </w:rPr>
              <w:t xml:space="preserve">где: НЦЕ – начальная цена единицы медицинского изделия, без учета НДС; ЦЕМ – цена единицы медицинского изделия, без учета НДС;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n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– количество значений информации о цене единицы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 xml:space="preserve">-го медицинского изделия;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– номер информации о цене; ц</w:t>
            </w:r>
            <w:r>
              <w:rPr>
                <w:rFonts w:ascii="PT Astra Serif" w:hAnsi="PT Astra Serif"/>
                <w:sz w:val="18"/>
                <w:szCs w:val="18"/>
                <w:vertAlign w:val="subscript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 xml:space="preserve">– цена единицы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>-го медицинского изделия, без учета НДС.</w:t>
            </w:r>
          </w:p>
          <w:p>
            <w:pPr>
              <w:pStyle w:val="Normal"/>
              <w:spacing w:lineRule="auto" w:line="240" w:before="0" w:after="0"/>
              <w:ind w:left="57"/>
              <w:rPr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 соответствии с п. 17 Приказа Минздрава России от 15.05.2020 №450н расчет начальной (максимальной) цены контракта (НМЦК), в том числе при осуществлении закупки у единственного поставщика (подрядчика, исполнителя), осуществляется по формуле:</w:t>
            </w:r>
          </w:p>
          <w:p>
            <w:pPr>
              <w:pStyle w:val="Normal"/>
              <w:spacing w:lineRule="auto" w:line="240" w:before="0" w:after="0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drawing>
                <wp:inline distT="0" distB="0" distL="0" distR="0">
                  <wp:extent cx="1791335" cy="179070"/>
                  <wp:effectExtent l="0" t="0" r="0" b="0"/>
                  <wp:docPr id="2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-29" t="-291" r="-29" b="-2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335" cy="179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z w:val="18"/>
                <w:szCs w:val="18"/>
              </w:rPr>
              <w:t xml:space="preserve">где: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n</w:t>
            </w:r>
            <w:r>
              <w:rPr>
                <w:rFonts w:ascii="PT Astra Serif" w:hAnsi="PT Astra Serif"/>
                <w:sz w:val="18"/>
                <w:szCs w:val="18"/>
              </w:rPr>
              <w:t>- количество позиций закупаемых медицинских изделий; НЦЕ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– начальная цена единицы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>-й позиции медицинского изделия, определяемая в соответствии с настоящим порядком (по применимости); НДС – налог на добавленную стоимость (</w:t>
            </w:r>
            <w:r>
              <w:rPr>
                <w:rFonts w:eastAsia="BatangChe" w:ascii="PT Astra Serif" w:hAnsi="PT Astra Serif"/>
                <w:i/>
                <w:sz w:val="18"/>
                <w:szCs w:val="18"/>
              </w:rPr>
              <w:t>в соответствии с постановлением Правительства Российской Федерации от 30 сентября 2015 г. №1042 данные медицинские изделия не облагаются НДС</w:t>
            </w:r>
            <w:r>
              <w:rPr>
                <w:rFonts w:ascii="PT Astra Serif" w:hAnsi="PT Astra Serif"/>
                <w:sz w:val="18"/>
                <w:szCs w:val="18"/>
              </w:rPr>
              <w:t xml:space="preserve">); </w:t>
            </w:r>
          </w:p>
          <w:p>
            <w:pPr>
              <w:pStyle w:val="Normal"/>
              <w:spacing w:lineRule="auto" w:line="240" w:before="0" w:after="0"/>
              <w:ind w:left="57"/>
              <w:rPr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Vi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– количество (объем)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>-й позиции закупаемого медицинского изделия.</w:t>
            </w:r>
          </w:p>
          <w:p>
            <w:pPr>
              <w:pStyle w:val="Normal"/>
              <w:spacing w:lineRule="auto" w:line="240" w:before="0" w:after="0"/>
              <w:ind w:left="57"/>
              <w:jc w:val="both"/>
              <w:rPr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Для формирования НМЦК было получено 3 коммерческих предложения на поставку товара. Применение корректирующих коэффициентов не требуется.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Поставщик №1 – коммерческое предложение б/н (вх 705 от 27.07.2026 г. на исх 2463/39-25 от 17.07.2026 г.);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Поставщик №2 – коммерческое предложение №1747 от 09.07.2026 г. (вх 657 от 10.07.2026 г. на исх 2235/39-25 от 08.07.2026 г.);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Поставщик №3 – коммерческое предложение б/н от 02.06.2026 г. (вх 687 от 17.07.2026 г. на исх 2460/39-25 от 17.07.2026 г.).</w:t>
            </w:r>
          </w:p>
          <w:p>
            <w:pPr>
              <w:pStyle w:val="ListParagraph"/>
              <w:spacing w:lineRule="auto" w:line="240" w:before="0" w:after="0"/>
              <w:ind w:left="417"/>
              <w:contextualSpacing/>
              <w:rPr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Коэффициент вариации не превышает 33%. </w:t>
            </w:r>
          </w:p>
          <w:tbl>
            <w:tblPr>
              <w:tblW w:w="13683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000"/>
            </w:tblPr>
            <w:tblGrid>
              <w:gridCol w:w="576"/>
              <w:gridCol w:w="2829"/>
              <w:gridCol w:w="840"/>
              <w:gridCol w:w="630"/>
              <w:gridCol w:w="960"/>
              <w:gridCol w:w="975"/>
              <w:gridCol w:w="960"/>
              <w:gridCol w:w="795"/>
              <w:gridCol w:w="960"/>
              <w:gridCol w:w="1080"/>
              <w:gridCol w:w="960"/>
              <w:gridCol w:w="2118"/>
            </w:tblGrid>
            <w:tr>
              <w:trPr>
                <w:trHeight w:val="23" w:hRule="atLeast"/>
              </w:trPr>
              <w:tc>
                <w:tcPr>
                  <w:tcW w:w="57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 xml:space="preserve">№ </w:t>
                  </w: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п/п</w:t>
                  </w:r>
                </w:p>
              </w:tc>
              <w:tc>
                <w:tcPr>
                  <w:tcW w:w="282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Наименование товара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Кол-во</w:t>
                  </w:r>
                </w:p>
              </w:tc>
              <w:tc>
                <w:tcPr>
                  <w:tcW w:w="63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Ед. изм.</w:t>
                  </w:r>
                </w:p>
              </w:tc>
              <w:tc>
                <w:tcPr>
                  <w:tcW w:w="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Пост. №1</w:t>
                  </w: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Пост. №2</w:t>
                  </w:r>
                </w:p>
              </w:tc>
              <w:tc>
                <w:tcPr>
                  <w:tcW w:w="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Пост. №3</w:t>
                  </w:r>
                </w:p>
              </w:tc>
              <w:tc>
                <w:tcPr>
                  <w:tcW w:w="79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НЦЕ,</w:t>
                  </w: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 xml:space="preserve"> руб.</w:t>
                  </w:r>
                </w:p>
              </w:tc>
              <w:tc>
                <w:tcPr>
                  <w:tcW w:w="96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Коэф.</w:t>
                  </w:r>
                </w:p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вариации</w:t>
                  </w:r>
                </w:p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цены, %</w:t>
                  </w:r>
                </w:p>
              </w:tc>
              <w:tc>
                <w:tcPr>
                  <w:tcW w:w="108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 xml:space="preserve">НМЦК, руб. </w:t>
                  </w:r>
                </w:p>
              </w:tc>
              <w:tc>
                <w:tcPr>
                  <w:tcW w:w="96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НЦЕ сниж.,</w:t>
                  </w: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 xml:space="preserve"> руб.</w:t>
                  </w:r>
                </w:p>
              </w:tc>
              <w:tc>
                <w:tcPr>
                  <w:tcW w:w="211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 xml:space="preserve">НМЦК по </w:t>
                  </w:r>
                  <w:r>
                    <w:rPr>
                      <w:rFonts w:eastAsia="BatangChe" w:ascii="PT Astra Serif" w:hAnsi="PT Astra Serif"/>
                      <w:sz w:val="18"/>
                      <w:szCs w:val="18"/>
                    </w:rPr>
                    <w:t xml:space="preserve">п. 18 </w:t>
                  </w:r>
                  <w:r>
                    <w:rPr>
                      <w:rFonts w:ascii="PT Astra Serif" w:hAnsi="PT Astra Serif"/>
                      <w:sz w:val="18"/>
                      <w:szCs w:val="18"/>
                    </w:rPr>
                    <w:t>Приказа МЗ РФ от 15.05.2020 №450н</w:t>
                  </w: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, руб.</w:t>
                  </w:r>
                </w:p>
              </w:tc>
            </w:tr>
            <w:tr>
              <w:trPr>
                <w:trHeight w:val="23" w:hRule="atLeast"/>
              </w:trPr>
              <w:tc>
                <w:tcPr>
                  <w:tcW w:w="576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2829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840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630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ЦЕМ, руб.</w:t>
                  </w: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ЦЕМ, руб.</w:t>
                  </w:r>
                </w:p>
              </w:tc>
              <w:tc>
                <w:tcPr>
                  <w:tcW w:w="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ЦЕМ, руб.</w:t>
                  </w:r>
                </w:p>
              </w:tc>
              <w:tc>
                <w:tcPr>
                  <w:tcW w:w="795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960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1080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960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2118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r>
                </w:p>
              </w:tc>
            </w:tr>
            <w:tr>
              <w:trPr>
                <w:trHeight w:val="23" w:hRule="atLeast"/>
              </w:trPr>
              <w:tc>
                <w:tcPr>
                  <w:tcW w:w="5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8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western"/>
                    <w:spacing w:lineRule="auto" w:line="240" w:before="0" w:after="0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pacing w:val="-6"/>
                      <w:sz w:val="18"/>
                      <w:szCs w:val="18"/>
                      <w:shd w:fill="FFFFFF" w:val="clear"/>
                    </w:rPr>
                    <w:t>Проволока костная ортопедическая</w:t>
                  </w:r>
                </w:p>
              </w:tc>
              <w:tc>
                <w:tcPr>
                  <w:tcW w:w="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300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шт</w:t>
                  </w:r>
                </w:p>
              </w:tc>
              <w:tc>
                <w:tcPr>
                  <w:tcW w:w="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cs="Arial" w:ascii="PT Astra Serif" w:hAnsi="PT Astra Serif"/>
                      <w:sz w:val="18"/>
                      <w:szCs w:val="18"/>
                    </w:rPr>
                    <w:t>190,00</w:t>
                  </w: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cs="Arial" w:ascii="PT Astra Serif" w:hAnsi="PT Astra Serif"/>
                      <w:sz w:val="18"/>
                      <w:szCs w:val="18"/>
                    </w:rPr>
                    <w:t>216,00</w:t>
                  </w:r>
                </w:p>
              </w:tc>
              <w:tc>
                <w:tcPr>
                  <w:tcW w:w="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cs="Arial" w:ascii="PT Astra Serif" w:hAnsi="PT Astra Serif"/>
                      <w:sz w:val="18"/>
                      <w:szCs w:val="18"/>
                    </w:rPr>
                    <w:t>187,00</w:t>
                  </w:r>
                </w:p>
              </w:tc>
              <w:tc>
                <w:tcPr>
                  <w:tcW w:w="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cs="Arial" w:ascii="PT Astra Serif" w:hAnsi="PT Astra Serif"/>
                      <w:sz w:val="18"/>
                      <w:szCs w:val="18"/>
                    </w:rPr>
                    <w:t>197,67</w:t>
                  </w:r>
                </w:p>
              </w:tc>
              <w:tc>
                <w:tcPr>
                  <w:tcW w:w="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cs="Arial" w:ascii="PT Astra Serif" w:hAnsi="PT Astra Serif"/>
                      <w:sz w:val="18"/>
                      <w:szCs w:val="18"/>
                    </w:rPr>
                    <w:t>8,07</w:t>
                  </w:r>
                </w:p>
              </w:tc>
              <w:tc>
                <w:tcPr>
                  <w:tcW w:w="1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cs="Arial" w:ascii="PT Astra Serif" w:hAnsi="PT Astra Serif"/>
                      <w:sz w:val="18"/>
                      <w:szCs w:val="18"/>
                    </w:rPr>
                    <w:t>59 301,00</w:t>
                  </w:r>
                </w:p>
              </w:tc>
              <w:tc>
                <w:tcPr>
                  <w:tcW w:w="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cs="Arial" w:ascii="PT Astra Serif" w:hAnsi="PT Astra Serif"/>
                      <w:sz w:val="18"/>
                      <w:szCs w:val="18"/>
                    </w:rPr>
                    <w:t>188,87</w:t>
                  </w:r>
                </w:p>
              </w:tc>
              <w:tc>
                <w:tcPr>
                  <w:tcW w:w="2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cs="Arial" w:ascii="PT Astra Serif" w:hAnsi="PT Astra Serif"/>
                      <w:sz w:val="18"/>
                      <w:szCs w:val="18"/>
                    </w:rPr>
                    <w:t>56661,00</w:t>
                  </w:r>
                </w:p>
              </w:tc>
            </w:tr>
            <w:tr>
              <w:trPr>
                <w:trHeight w:val="23" w:hRule="atLeast"/>
              </w:trPr>
              <w:tc>
                <w:tcPr>
                  <w:tcW w:w="5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8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western"/>
                    <w:spacing w:lineRule="auto" w:line="240" w:before="0" w:after="0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pacing w:val="-6"/>
                      <w:sz w:val="18"/>
                      <w:szCs w:val="18"/>
                      <w:shd w:fill="FFFFFF" w:val="clear"/>
                    </w:rPr>
                    <w:t>Проволока костная ортопедическая</w:t>
                  </w:r>
                </w:p>
              </w:tc>
              <w:tc>
                <w:tcPr>
                  <w:tcW w:w="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300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шт</w:t>
                  </w:r>
                </w:p>
              </w:tc>
              <w:tc>
                <w:tcPr>
                  <w:tcW w:w="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cs="Arial" w:ascii="PT Astra Serif" w:hAnsi="PT Astra Serif"/>
                      <w:sz w:val="18"/>
                      <w:szCs w:val="18"/>
                    </w:rPr>
                    <w:t>185,00</w:t>
                  </w: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cs="Arial" w:ascii="PT Astra Serif" w:hAnsi="PT Astra Serif"/>
                      <w:sz w:val="18"/>
                      <w:szCs w:val="18"/>
                    </w:rPr>
                    <w:t>180,00</w:t>
                  </w:r>
                </w:p>
              </w:tc>
              <w:tc>
                <w:tcPr>
                  <w:tcW w:w="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cs="Arial" w:ascii="PT Astra Serif" w:hAnsi="PT Astra Serif"/>
                      <w:sz w:val="18"/>
                      <w:szCs w:val="18"/>
                    </w:rPr>
                    <w:t>187,00</w:t>
                  </w:r>
                </w:p>
              </w:tc>
              <w:tc>
                <w:tcPr>
                  <w:tcW w:w="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cs="Arial" w:ascii="PT Astra Serif" w:hAnsi="PT Astra Serif"/>
                      <w:sz w:val="18"/>
                      <w:szCs w:val="18"/>
                    </w:rPr>
                    <w:t>184,00</w:t>
                  </w:r>
                </w:p>
              </w:tc>
              <w:tc>
                <w:tcPr>
                  <w:tcW w:w="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cs="Arial" w:ascii="PT Astra Serif" w:hAnsi="PT Astra Serif"/>
                      <w:sz w:val="18"/>
                      <w:szCs w:val="18"/>
                    </w:rPr>
                    <w:t>1,96</w:t>
                  </w:r>
                </w:p>
              </w:tc>
              <w:tc>
                <w:tcPr>
                  <w:tcW w:w="1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cs="Arial" w:ascii="PT Astra Serif" w:hAnsi="PT Astra Serif"/>
                      <w:sz w:val="18"/>
                      <w:szCs w:val="18"/>
                    </w:rPr>
                    <w:t>55 200,00</w:t>
                  </w:r>
                </w:p>
              </w:tc>
              <w:tc>
                <w:tcPr>
                  <w:tcW w:w="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cs="Arial" w:ascii="PT Astra Serif" w:hAnsi="PT Astra Serif"/>
                      <w:sz w:val="18"/>
                      <w:szCs w:val="18"/>
                    </w:rPr>
                    <w:t>175,81</w:t>
                  </w:r>
                </w:p>
              </w:tc>
              <w:tc>
                <w:tcPr>
                  <w:tcW w:w="2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cs="Arial" w:ascii="PT Astra Serif" w:hAnsi="PT Astra Serif"/>
                      <w:sz w:val="18"/>
                      <w:szCs w:val="18"/>
                    </w:rPr>
                    <w:t>52743,00</w:t>
                  </w:r>
                </w:p>
              </w:tc>
            </w:tr>
            <w:tr>
              <w:trPr>
                <w:trHeight w:val="23" w:hRule="atLeast"/>
              </w:trPr>
              <w:tc>
                <w:tcPr>
                  <w:tcW w:w="5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8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western"/>
                    <w:spacing w:lineRule="auto" w:line="240" w:before="0" w:after="0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pacing w:val="-6"/>
                      <w:sz w:val="18"/>
                      <w:szCs w:val="18"/>
                      <w:shd w:fill="FFFFFF" w:val="clear"/>
                    </w:rPr>
                    <w:t>Проволока костная ортопедическая</w:t>
                  </w:r>
                </w:p>
              </w:tc>
              <w:tc>
                <w:tcPr>
                  <w:tcW w:w="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шт</w:t>
                  </w:r>
                </w:p>
              </w:tc>
              <w:tc>
                <w:tcPr>
                  <w:tcW w:w="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cs="Arial" w:ascii="PT Astra Serif" w:hAnsi="PT Astra Serif"/>
                      <w:sz w:val="18"/>
                      <w:szCs w:val="18"/>
                    </w:rPr>
                    <w:t>140,00</w:t>
                  </w: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cs="Arial" w:ascii="PT Astra Serif" w:hAnsi="PT Astra Serif"/>
                      <w:sz w:val="18"/>
                      <w:szCs w:val="18"/>
                    </w:rPr>
                    <w:t>130,00</w:t>
                  </w:r>
                </w:p>
              </w:tc>
              <w:tc>
                <w:tcPr>
                  <w:tcW w:w="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cs="Arial" w:ascii="PT Astra Serif" w:hAnsi="PT Astra Serif"/>
                      <w:sz w:val="18"/>
                      <w:szCs w:val="18"/>
                    </w:rPr>
                    <w:t>142,00</w:t>
                  </w:r>
                </w:p>
              </w:tc>
              <w:tc>
                <w:tcPr>
                  <w:tcW w:w="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cs="Arial" w:ascii="PT Astra Serif" w:hAnsi="PT Astra Serif"/>
                      <w:sz w:val="18"/>
                      <w:szCs w:val="18"/>
                    </w:rPr>
                    <w:t>137,33</w:t>
                  </w:r>
                </w:p>
              </w:tc>
              <w:tc>
                <w:tcPr>
                  <w:tcW w:w="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cs="Arial" w:ascii="PT Astra Serif" w:hAnsi="PT Astra Serif"/>
                      <w:sz w:val="18"/>
                      <w:szCs w:val="18"/>
                    </w:rPr>
                    <w:t>4,68</w:t>
                  </w:r>
                </w:p>
              </w:tc>
              <w:tc>
                <w:tcPr>
                  <w:tcW w:w="1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cs="Arial" w:ascii="PT Astra Serif" w:hAnsi="PT Astra Serif"/>
                      <w:sz w:val="18"/>
                      <w:szCs w:val="18"/>
                    </w:rPr>
                    <w:t>13 733,00</w:t>
                  </w:r>
                </w:p>
              </w:tc>
              <w:tc>
                <w:tcPr>
                  <w:tcW w:w="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cs="Arial" w:ascii="PT Astra Serif" w:hAnsi="PT Astra Serif"/>
                      <w:sz w:val="18"/>
                      <w:szCs w:val="18"/>
                    </w:rPr>
                    <w:t>131,22</w:t>
                  </w:r>
                </w:p>
              </w:tc>
              <w:tc>
                <w:tcPr>
                  <w:tcW w:w="2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cs="Arial" w:ascii="PT Astra Serif" w:hAnsi="PT Astra Serif"/>
                      <w:sz w:val="18"/>
                      <w:szCs w:val="18"/>
                    </w:rPr>
                    <w:t>13122,00</w:t>
                  </w:r>
                </w:p>
              </w:tc>
            </w:tr>
            <w:tr>
              <w:trPr>
                <w:trHeight w:val="23" w:hRule="atLeast"/>
              </w:trPr>
              <w:tc>
                <w:tcPr>
                  <w:tcW w:w="5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8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western"/>
                    <w:spacing w:lineRule="auto" w:line="240" w:before="0" w:after="0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pacing w:val="-6"/>
                      <w:sz w:val="18"/>
                      <w:szCs w:val="18"/>
                      <w:shd w:fill="FFFFFF" w:val="clear"/>
                    </w:rPr>
                    <w:t>Проволока костная ортопедическая</w:t>
                  </w:r>
                </w:p>
              </w:tc>
              <w:tc>
                <w:tcPr>
                  <w:tcW w:w="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шт</w:t>
                  </w:r>
                </w:p>
              </w:tc>
              <w:tc>
                <w:tcPr>
                  <w:tcW w:w="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cs="Arial" w:ascii="PT Astra Serif" w:hAnsi="PT Astra Serif"/>
                      <w:sz w:val="18"/>
                      <w:szCs w:val="18"/>
                    </w:rPr>
                    <w:t>140,00</w:t>
                  </w: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cs="Arial" w:ascii="PT Astra Serif" w:hAnsi="PT Astra Serif"/>
                      <w:sz w:val="18"/>
                      <w:szCs w:val="18"/>
                    </w:rPr>
                    <w:t>194,00</w:t>
                  </w:r>
                </w:p>
              </w:tc>
              <w:tc>
                <w:tcPr>
                  <w:tcW w:w="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cs="Arial" w:ascii="PT Astra Serif" w:hAnsi="PT Astra Serif"/>
                      <w:sz w:val="18"/>
                      <w:szCs w:val="18"/>
                    </w:rPr>
                    <w:t>142,00</w:t>
                  </w:r>
                </w:p>
              </w:tc>
              <w:tc>
                <w:tcPr>
                  <w:tcW w:w="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cs="Arial" w:ascii="PT Astra Serif" w:hAnsi="PT Astra Serif"/>
                      <w:sz w:val="18"/>
                      <w:szCs w:val="18"/>
                    </w:rPr>
                    <w:t>158,67</w:t>
                  </w:r>
                </w:p>
              </w:tc>
              <w:tc>
                <w:tcPr>
                  <w:tcW w:w="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cs="Arial" w:ascii="PT Astra Serif" w:hAnsi="PT Astra Serif"/>
                      <w:sz w:val="18"/>
                      <w:szCs w:val="18"/>
                    </w:rPr>
                    <w:t>19,30</w:t>
                  </w:r>
                </w:p>
              </w:tc>
              <w:tc>
                <w:tcPr>
                  <w:tcW w:w="1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cs="Arial" w:ascii="PT Astra Serif" w:hAnsi="PT Astra Serif"/>
                      <w:sz w:val="18"/>
                      <w:szCs w:val="18"/>
                    </w:rPr>
                    <w:t>7 933,50</w:t>
                  </w:r>
                </w:p>
              </w:tc>
              <w:tc>
                <w:tcPr>
                  <w:tcW w:w="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cs="Arial" w:ascii="PT Astra Serif" w:hAnsi="PT Astra Serif"/>
                      <w:sz w:val="18"/>
                      <w:szCs w:val="18"/>
                    </w:rPr>
                    <w:t>151,61</w:t>
                  </w:r>
                </w:p>
              </w:tc>
              <w:tc>
                <w:tcPr>
                  <w:tcW w:w="2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cs="Arial" w:ascii="PT Astra Serif" w:hAnsi="PT Astra Serif"/>
                      <w:sz w:val="18"/>
                      <w:szCs w:val="18"/>
                    </w:rPr>
                    <w:t>7580,50</w:t>
                  </w:r>
                </w:p>
              </w:tc>
            </w:tr>
            <w:tr>
              <w:trPr>
                <w:trHeight w:val="23" w:hRule="atLeast"/>
              </w:trPr>
              <w:tc>
                <w:tcPr>
                  <w:tcW w:w="5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28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BodyText"/>
                    <w:spacing w:lineRule="auto" w:line="240" w:before="0"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  <w:shd w:fill="FFFFFF" w:val="clear"/>
                      <w:lang w:eastAsia="ru-RU"/>
                    </w:rPr>
                    <w:t>ИТОГО</w:t>
                  </w:r>
                </w:p>
              </w:tc>
              <w:tc>
                <w:tcPr>
                  <w:tcW w:w="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PT Astra Serif" w:hAnsi="PT Astra Serif" w:cs="Arial"/>
                      <w:sz w:val="18"/>
                      <w:szCs w:val="18"/>
                    </w:rPr>
                  </w:pPr>
                  <w:r>
                    <w:rPr>
                      <w:rFonts w:cs="Arial"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PT Astra Serif" w:hAnsi="PT Astra Serif" w:cs="Arial"/>
                      <w:sz w:val="18"/>
                      <w:szCs w:val="18"/>
                    </w:rPr>
                  </w:pPr>
                  <w:r>
                    <w:rPr>
                      <w:rFonts w:cs="Arial"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1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cs="Arial" w:ascii="PT Astra Serif" w:hAnsi="PT Astra Serif"/>
                      <w:sz w:val="18"/>
                      <w:szCs w:val="18"/>
                    </w:rPr>
                    <w:t>136 167,50</w:t>
                  </w:r>
                </w:p>
              </w:tc>
              <w:tc>
                <w:tcPr>
                  <w:tcW w:w="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PT Astra Serif" w:hAnsi="PT Astra Serif" w:cs="Arial"/>
                      <w:sz w:val="18"/>
                      <w:szCs w:val="18"/>
                    </w:rPr>
                  </w:pPr>
                  <w:r>
                    <w:rPr>
                      <w:rFonts w:cs="Arial"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2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cs="Arial" w:ascii="PT Astra Serif" w:hAnsi="PT Astra Serif"/>
                      <w:sz w:val="18"/>
                      <w:szCs w:val="18"/>
                    </w:rPr>
                    <w:t>130106,50</w:t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ind w:left="57"/>
              <w:rPr>
                <w:sz w:val="18"/>
                <w:szCs w:val="18"/>
              </w:rPr>
            </w:pPr>
            <w:r>
              <w:rPr>
                <w:rFonts w:eastAsia="BatangChe" w:ascii="PT Astra Serif" w:hAnsi="PT Astra Serif"/>
                <w:sz w:val="18"/>
                <w:szCs w:val="18"/>
              </w:rPr>
              <w:t>В соответствии с п. 18</w:t>
            </w:r>
            <w:r>
              <w:rPr>
                <w:rFonts w:ascii="PT Astra Serif" w:hAnsi="PT Astra Serif"/>
                <w:sz w:val="18"/>
                <w:szCs w:val="18"/>
              </w:rPr>
              <w:t xml:space="preserve">Приказа Минздрава России от 15.05.2020 №450н НМЦК снижена заказчиком по сравнению с НМЦК, определенной в соответствии с настоящим порядком, исходя из имеющегося у заказчика объема финансового обеспечения для осуществления соответствующей закупки, с пропорциональным снижением начальных цен единиц закупаемых медицинских изделий на 4,45% и определена в размере </w:t>
            </w:r>
            <w:r>
              <w:rPr>
                <w:rFonts w:ascii="PT Astra Serif" w:hAnsi="PT Astra Serif"/>
                <w:b/>
                <w:sz w:val="18"/>
                <w:szCs w:val="18"/>
              </w:rPr>
              <w:t>130106,50руб.</w:t>
            </w:r>
          </w:p>
        </w:tc>
      </w:tr>
      <w:tr>
        <w:trPr>
          <w:trHeight w:val="121" w:hRule="atLeast"/>
        </w:trPr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57" w:right="57"/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</w:r>
          </w:p>
        </w:tc>
        <w:tc>
          <w:tcPr>
            <w:tcW w:w="1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Дата подготовки обоснования: 27.07.2026 г.</w:t>
            </w:r>
          </w:p>
        </w:tc>
      </w:tr>
    </w:tbl>
    <w:p>
      <w:pPr>
        <w:pStyle w:val="11"/>
        <w:spacing w:lineRule="auto" w:line="240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>Руководитель контрактной службы:</w:t>
      </w:r>
    </w:p>
    <w:tbl>
      <w:tblPr>
        <w:tblW w:w="6209" w:type="dxa"/>
        <w:jc w:val="left"/>
        <w:tblInd w:w="56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1698"/>
        <w:gridCol w:w="170"/>
        <w:gridCol w:w="2721"/>
        <w:gridCol w:w="1620"/>
      </w:tblGrid>
      <w:tr>
        <w:trPr/>
        <w:tc>
          <w:tcPr>
            <w:tcW w:w="6209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pStyle w:val="11"/>
              <w:snapToGrid w:val="false"/>
              <w:spacing w:lineRule="auto" w:line="24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Заместитель главного врача по экономическим вопросам</w:t>
            </w:r>
          </w:p>
        </w:tc>
      </w:tr>
      <w:tr>
        <w:trPr>
          <w:trHeight w:val="264" w:hRule="atLeast"/>
        </w:trPr>
        <w:tc>
          <w:tcPr>
            <w:tcW w:w="1698" w:type="dxa"/>
            <w:tcBorders>
              <w:bottom w:val="single" w:sz="4" w:space="0" w:color="000000"/>
            </w:tcBorders>
            <w:vAlign w:val="bottom"/>
          </w:tcPr>
          <w:p>
            <w:pPr>
              <w:pStyle w:val="11"/>
              <w:snapToGrid w:val="false"/>
              <w:spacing w:lineRule="auto" w:line="24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170" w:type="dxa"/>
            <w:tcBorders/>
            <w:vAlign w:val="bottom"/>
          </w:tcPr>
          <w:p>
            <w:pPr>
              <w:pStyle w:val="11"/>
              <w:snapToGrid w:val="false"/>
              <w:spacing w:lineRule="auto" w:line="240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/</w:t>
            </w:r>
          </w:p>
        </w:tc>
        <w:tc>
          <w:tcPr>
            <w:tcW w:w="2721" w:type="dxa"/>
            <w:tcBorders>
              <w:bottom w:val="single" w:sz="4" w:space="0" w:color="000000"/>
            </w:tcBorders>
            <w:vAlign w:val="bottom"/>
          </w:tcPr>
          <w:p>
            <w:pPr>
              <w:pStyle w:val="11"/>
              <w:snapToGrid w:val="false"/>
              <w:spacing w:lineRule="auto" w:line="24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Е.Н.Стратонова</w:t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11"/>
              <w:snapToGrid w:val="false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/</w:t>
            </w:r>
          </w:p>
        </w:tc>
      </w:tr>
    </w:tbl>
    <w:p>
      <w:pPr>
        <w:pStyle w:val="Normal"/>
        <w:spacing w:lineRule="auto" w:line="240" w:before="0" w:after="0"/>
        <w:rPr>
          <w:rFonts w:ascii="PT Astra Serif" w:hAnsi="PT Astra Serif"/>
          <w:i/>
          <w:sz w:val="24"/>
          <w:szCs w:val="24"/>
        </w:rPr>
      </w:pPr>
      <w:r>
        <w:rPr>
          <w:rFonts w:ascii="PT Astra Serif" w:hAnsi="PT Astra Serif"/>
          <w:i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i/>
          <w:sz w:val="24"/>
          <w:szCs w:val="24"/>
        </w:rPr>
        <w:t xml:space="preserve">Ф.И.О. исполнителя/контактный телефон </w:t>
      </w:r>
    </w:p>
    <w:p>
      <w:pPr>
        <w:pStyle w:val="Normal"/>
        <w:spacing w:lineRule="auto" w:line="240" w:before="0" w:after="0"/>
        <w:rPr>
          <w:rFonts w:ascii="PT Astra Serif" w:hAnsi="PT Astra Serif"/>
          <w:i/>
          <w:sz w:val="24"/>
          <w:szCs w:val="24"/>
        </w:rPr>
      </w:pPr>
      <w:r>
        <w:rPr>
          <w:rFonts w:ascii="PT Astra Serif" w:hAnsi="PT Astra Serif"/>
          <w:i/>
          <w:sz w:val="24"/>
          <w:szCs w:val="24"/>
        </w:rPr>
        <w:t>Хашина Е.А.             /44-23-29</w:t>
      </w:r>
    </w:p>
    <w:sectPr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134" w:right="1134" w:gutter="0" w:header="0" w:top="993" w:footer="0" w:bottom="567"/>
      <w:pgNumType w:start="7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Verdana">
    <w:charset w:val="cc"/>
    <w:family w:val="swiss"/>
    <w:pitch w:val="variable"/>
  </w:font>
  <w:font w:name="PT Astra Serif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right"/>
      <w:rPr>
        <w:sz w:val="24"/>
        <w:szCs w:val="24"/>
      </w:rPr>
    </w:pPr>
    <w:r>
      <w:rPr>
        <w:sz w:val="24"/>
        <w:szCs w:val="24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right"/>
      <w:rPr>
        <w:sz w:val="24"/>
        <w:szCs w:val="24"/>
      </w:rPr>
    </w:pPr>
    <w:r>
      <w:rPr>
        <w:sz w:val="24"/>
        <w:szCs w:val="24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417" w:hanging="36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d6241"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bidi="ar-SA" w:val="ru-RU"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cd6241"/>
    <w:rPr/>
  </w:style>
  <w:style w:type="character" w:styleId="Style14" w:customStyle="1">
    <w:name w:val="Текст выноски Знак"/>
    <w:qFormat/>
    <w:rsid w:val="00cd6241"/>
    <w:rPr>
      <w:rFonts w:ascii="Tahoma" w:hAnsi="Tahoma" w:cs="Times New Roman"/>
      <w:sz w:val="16"/>
    </w:rPr>
  </w:style>
  <w:style w:type="character" w:styleId="Style15" w:customStyle="1">
    <w:name w:val="Верхний колонтитул Знак"/>
    <w:qFormat/>
    <w:rsid w:val="00cd6241"/>
    <w:rPr>
      <w:rFonts w:cs="Times New Roman"/>
      <w:sz w:val="22"/>
      <w:szCs w:val="22"/>
    </w:rPr>
  </w:style>
  <w:style w:type="character" w:styleId="Style16" w:customStyle="1">
    <w:name w:val="Нижний колонтитул Знак"/>
    <w:qFormat/>
    <w:rsid w:val="00cd6241"/>
    <w:rPr>
      <w:rFonts w:cs="Times New Roman"/>
      <w:sz w:val="22"/>
      <w:szCs w:val="22"/>
    </w:rPr>
  </w:style>
  <w:style w:type="character" w:styleId="Hyperlink">
    <w:name w:val="Hyperlink"/>
    <w:rsid w:val="00cd6241"/>
    <w:rPr>
      <w:color w:val="0000FF"/>
      <w:u w:val="single"/>
    </w:rPr>
  </w:style>
  <w:style w:type="character" w:styleId="FollowedHyperlink">
    <w:name w:val="FollowedHyperlink"/>
    <w:rsid w:val="00cd6241"/>
    <w:rPr>
      <w:color w:val="954F72"/>
      <w:u w:val="single"/>
    </w:rPr>
  </w:style>
  <w:style w:type="character" w:styleId="Style17" w:customStyle="1">
    <w:name w:val="Основной текст Знак"/>
    <w:qFormat/>
    <w:rsid w:val="00cd6241"/>
    <w:rPr>
      <w:rFonts w:ascii="Calibri" w:hAnsi="Calibri" w:eastAsia="Calibri" w:cs="Times New Roman"/>
      <w:sz w:val="22"/>
      <w:szCs w:val="22"/>
    </w:rPr>
  </w:style>
  <w:style w:type="character" w:styleId="hl" w:customStyle="1">
    <w:name w:val="hl"/>
    <w:basedOn w:val="DefaultParagraphFont"/>
    <w:qFormat/>
    <w:rsid w:val="00cd6241"/>
    <w:rPr/>
  </w:style>
  <w:style w:type="character" w:styleId="cardmaininfopurchaselink2" w:customStyle="1">
    <w:name w:val="cardmaininfo__purchaselink2"/>
    <w:qFormat/>
    <w:rsid w:val="00cd6241"/>
    <w:rPr>
      <w:color w:val="0065DD"/>
    </w:rPr>
  </w:style>
  <w:style w:type="character" w:styleId="CommentReference">
    <w:name w:val="annotation reference"/>
    <w:qFormat/>
    <w:rsid w:val="00cd6241"/>
    <w:rPr>
      <w:sz w:val="16"/>
      <w:szCs w:val="16"/>
    </w:rPr>
  </w:style>
  <w:style w:type="character" w:styleId="Style18" w:customStyle="1">
    <w:name w:val="Текст примечания Знак"/>
    <w:qFormat/>
    <w:rsid w:val="00cd6241"/>
    <w:rPr>
      <w:rFonts w:ascii="Times New Roman" w:hAnsi="Times New Roman" w:cs="Times New Roman"/>
    </w:rPr>
  </w:style>
  <w:style w:type="character" w:styleId="Style19" w:customStyle="1">
    <w:name w:val="Тема примечания Знак"/>
    <w:qFormat/>
    <w:rsid w:val="00cd6241"/>
    <w:rPr>
      <w:rFonts w:ascii="Times New Roman" w:hAnsi="Times New Roman" w:cs="Times New Roman"/>
      <w:b/>
      <w:bCs/>
    </w:rPr>
  </w:style>
  <w:style w:type="character" w:styleId="highlightcolor" w:customStyle="1">
    <w:name w:val="highlightcolor"/>
    <w:basedOn w:val="DefaultParagraphFont"/>
    <w:qFormat/>
    <w:rsid w:val="00cd6241"/>
    <w:rPr/>
  </w:style>
  <w:style w:type="paragraph" w:styleId="Style20" w:customStyle="1">
    <w:name w:val="Заголовок"/>
    <w:basedOn w:val="Normal"/>
    <w:next w:val="BodyText"/>
    <w:qFormat/>
    <w:rsid w:val="00cd6241"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rsid w:val="00cd6241"/>
    <w:pPr>
      <w:spacing w:before="0" w:after="120"/>
    </w:pPr>
    <w:rPr>
      <w:rFonts w:ascii="Calibri" w:hAnsi="Calibri" w:eastAsia="Calibri"/>
    </w:rPr>
  </w:style>
  <w:style w:type="paragraph" w:styleId="List">
    <w:name w:val="List"/>
    <w:basedOn w:val="BodyText"/>
    <w:rsid w:val="00cd6241"/>
    <w:pPr/>
    <w:rPr>
      <w:rFonts w:cs="Arial"/>
    </w:rPr>
  </w:style>
  <w:style w:type="paragraph" w:styleId="Caption">
    <w:name w:val="caption"/>
    <w:basedOn w:val="Normal"/>
    <w:qFormat/>
    <w:rsid w:val="00cd624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user" w:customStyle="1">
    <w:name w:val="Заголовок (user)"/>
    <w:basedOn w:val="Normal"/>
    <w:next w:val="BodyText"/>
    <w:qFormat/>
    <w:rsid w:val="00cd6241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xHeading">
    <w:name w:val="index heading"/>
    <w:basedOn w:val="Normal"/>
    <w:rsid w:val="00cd6241"/>
    <w:pPr>
      <w:suppressLineNumbers/>
    </w:pPr>
    <w:rPr>
      <w:rFonts w:cs="Arial"/>
    </w:rPr>
  </w:style>
  <w:style w:type="paragraph" w:styleId="1" w:customStyle="1">
    <w:name w:val="Заголовок1"/>
    <w:basedOn w:val="Normal"/>
    <w:next w:val="BodyText"/>
    <w:qFormat/>
    <w:rsid w:val="00cd6241"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WW-1" w:customStyle="1">
    <w:name w:val="WW-Заголовок1"/>
    <w:basedOn w:val="Normal"/>
    <w:next w:val="BodyText"/>
    <w:qFormat/>
    <w:rsid w:val="00cd6241"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xl66" w:customStyle="1">
    <w:name w:val="xl66"/>
    <w:basedOn w:val="Normal"/>
    <w:qFormat/>
    <w:rsid w:val="00cd624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center"/>
    </w:pPr>
    <w:rPr>
      <w:sz w:val="20"/>
      <w:szCs w:val="20"/>
    </w:rPr>
  </w:style>
  <w:style w:type="paragraph" w:styleId="BalloonText">
    <w:name w:val="Balloon Text"/>
    <w:basedOn w:val="Normal"/>
    <w:qFormat/>
    <w:rsid w:val="00cd624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2" w:customStyle="1">
    <w:name w:val="Колонтитулы"/>
    <w:basedOn w:val="Normal"/>
    <w:qFormat/>
    <w:rsid w:val="00cd6241"/>
    <w:pPr/>
    <w:rPr/>
  </w:style>
  <w:style w:type="paragraph" w:styleId="user1" w:customStyle="1">
    <w:name w:val="Колонтитулы (user)"/>
    <w:basedOn w:val="Normal"/>
    <w:qFormat/>
    <w:rsid w:val="00cd6241"/>
    <w:pPr/>
    <w:rPr/>
  </w:style>
  <w:style w:type="paragraph" w:styleId="Header">
    <w:name w:val="header"/>
    <w:basedOn w:val="Normal"/>
    <w:rsid w:val="00cd6241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rsid w:val="00cd6241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3" w:customStyle="1">
    <w:name w:val="Знак Знак Знак Знак Знак Знак Знак Знак Знак"/>
    <w:basedOn w:val="Normal"/>
    <w:qFormat/>
    <w:rsid w:val="00cd6241"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xl64" w:customStyle="1">
    <w:name w:val="xl64"/>
    <w:basedOn w:val="Normal"/>
    <w:qFormat/>
    <w:rsid w:val="00cd624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top"/>
    </w:pPr>
    <w:rPr>
      <w:sz w:val="24"/>
      <w:szCs w:val="24"/>
    </w:rPr>
  </w:style>
  <w:style w:type="paragraph" w:styleId="xl65" w:customStyle="1">
    <w:name w:val="xl65"/>
    <w:basedOn w:val="Normal"/>
    <w:qFormat/>
    <w:rsid w:val="00cd624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textAlignment w:val="top"/>
    </w:pPr>
    <w:rPr>
      <w:sz w:val="24"/>
      <w:szCs w:val="24"/>
    </w:rPr>
  </w:style>
  <w:style w:type="paragraph" w:styleId="xl67" w:customStyle="1">
    <w:name w:val="xl67"/>
    <w:basedOn w:val="Normal"/>
    <w:qFormat/>
    <w:rsid w:val="00cd624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top"/>
    </w:pPr>
    <w:rPr>
      <w:sz w:val="24"/>
      <w:szCs w:val="24"/>
    </w:rPr>
  </w:style>
  <w:style w:type="paragraph" w:styleId="xl68" w:customStyle="1">
    <w:name w:val="xl68"/>
    <w:basedOn w:val="Normal"/>
    <w:qFormat/>
    <w:rsid w:val="00cd624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top"/>
    </w:pPr>
    <w:rPr>
      <w:b/>
      <w:bCs/>
      <w:sz w:val="24"/>
      <w:szCs w:val="24"/>
    </w:rPr>
  </w:style>
  <w:style w:type="paragraph" w:styleId="xl69" w:customStyle="1">
    <w:name w:val="xl69"/>
    <w:basedOn w:val="Normal"/>
    <w:qFormat/>
    <w:rsid w:val="00cd6241"/>
    <w:pPr>
      <w:spacing w:lineRule="auto" w:line="240" w:before="280" w:after="280"/>
    </w:pPr>
    <w:rPr>
      <w:color w:val="000000"/>
      <w:sz w:val="18"/>
      <w:szCs w:val="18"/>
    </w:rPr>
  </w:style>
  <w:style w:type="paragraph" w:styleId="xl70" w:customStyle="1">
    <w:name w:val="xl70"/>
    <w:basedOn w:val="Normal"/>
    <w:qFormat/>
    <w:rsid w:val="00cd624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center"/>
    </w:pPr>
    <w:rPr>
      <w:sz w:val="18"/>
      <w:szCs w:val="18"/>
    </w:rPr>
  </w:style>
  <w:style w:type="paragraph" w:styleId="xl71" w:customStyle="1">
    <w:name w:val="xl71"/>
    <w:basedOn w:val="Normal"/>
    <w:qFormat/>
    <w:rsid w:val="00cd624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top"/>
    </w:pPr>
    <w:rPr>
      <w:color w:val="000000"/>
      <w:sz w:val="24"/>
      <w:szCs w:val="24"/>
    </w:rPr>
  </w:style>
  <w:style w:type="paragraph" w:styleId="xl72" w:customStyle="1">
    <w:name w:val="xl72"/>
    <w:basedOn w:val="Normal"/>
    <w:qFormat/>
    <w:rsid w:val="00cd624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top"/>
    </w:pPr>
    <w:rPr>
      <w:color w:val="000000"/>
      <w:sz w:val="24"/>
      <w:szCs w:val="24"/>
    </w:rPr>
  </w:style>
  <w:style w:type="paragraph" w:styleId="xl74" w:customStyle="1">
    <w:name w:val="xl74"/>
    <w:basedOn w:val="Normal"/>
    <w:qFormat/>
    <w:rsid w:val="00cd624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</w:pPr>
    <w:rPr>
      <w:sz w:val="24"/>
      <w:szCs w:val="24"/>
    </w:rPr>
  </w:style>
  <w:style w:type="paragraph" w:styleId="xl75" w:customStyle="1">
    <w:name w:val="xl75"/>
    <w:basedOn w:val="Normal"/>
    <w:qFormat/>
    <w:rsid w:val="00cd624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center"/>
    </w:pPr>
    <w:rPr>
      <w:b/>
      <w:bCs/>
      <w:sz w:val="18"/>
      <w:szCs w:val="18"/>
    </w:rPr>
  </w:style>
  <w:style w:type="paragraph" w:styleId="xl76" w:customStyle="1">
    <w:name w:val="xl76"/>
    <w:basedOn w:val="Normal"/>
    <w:qFormat/>
    <w:rsid w:val="00cd624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center"/>
    </w:pPr>
    <w:rPr>
      <w:b/>
      <w:bCs/>
      <w:sz w:val="18"/>
      <w:szCs w:val="18"/>
    </w:rPr>
  </w:style>
  <w:style w:type="paragraph" w:styleId="xl77" w:customStyle="1">
    <w:name w:val="xl77"/>
    <w:basedOn w:val="Normal"/>
    <w:qFormat/>
    <w:rsid w:val="00cd624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="280" w:after="280"/>
      <w:textAlignment w:val="top"/>
    </w:pPr>
    <w:rPr>
      <w:sz w:val="24"/>
      <w:szCs w:val="24"/>
    </w:rPr>
  </w:style>
  <w:style w:type="paragraph" w:styleId="xl78" w:customStyle="1">
    <w:name w:val="xl78"/>
    <w:basedOn w:val="Normal"/>
    <w:qFormat/>
    <w:rsid w:val="00cd6241"/>
    <w:pPr>
      <w:pBdr>
        <w:top w:val="single" w:sz="4" w:space="0" w:color="000000"/>
        <w:bottom w:val="single" w:sz="4" w:space="0" w:color="000000"/>
      </w:pBdr>
      <w:spacing w:lineRule="auto" w:line="240" w:before="280" w:after="280"/>
      <w:textAlignment w:val="top"/>
    </w:pPr>
    <w:rPr>
      <w:sz w:val="24"/>
      <w:szCs w:val="24"/>
    </w:rPr>
  </w:style>
  <w:style w:type="paragraph" w:styleId="xl79" w:customStyle="1">
    <w:name w:val="xl79"/>
    <w:basedOn w:val="Normal"/>
    <w:qFormat/>
    <w:rsid w:val="00cd624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center"/>
    </w:pPr>
    <w:rPr>
      <w:sz w:val="18"/>
      <w:szCs w:val="18"/>
    </w:rPr>
  </w:style>
  <w:style w:type="paragraph" w:styleId="xl80" w:customStyle="1">
    <w:name w:val="xl80"/>
    <w:basedOn w:val="Normal"/>
    <w:qFormat/>
    <w:rsid w:val="00cd624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center"/>
    </w:pPr>
    <w:rPr>
      <w:sz w:val="18"/>
      <w:szCs w:val="18"/>
    </w:rPr>
  </w:style>
  <w:style w:type="paragraph" w:styleId="ListParagraph">
    <w:name w:val="List Paragraph"/>
    <w:basedOn w:val="Normal"/>
    <w:qFormat/>
    <w:rsid w:val="00cd6241"/>
    <w:pPr>
      <w:spacing w:before="0" w:after="200"/>
      <w:ind w:left="720"/>
      <w:contextualSpacing/>
    </w:pPr>
    <w:rPr/>
  </w:style>
  <w:style w:type="paragraph" w:styleId="NoSpacing">
    <w:name w:val="No Spacing"/>
    <w:qFormat/>
    <w:rsid w:val="00cd6241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bidi="ar-SA" w:val="ru-RU" w:eastAsia="zh-CN"/>
    </w:rPr>
  </w:style>
  <w:style w:type="paragraph" w:styleId="11" w:customStyle="1">
    <w:name w:val="Обычный1"/>
    <w:qFormat/>
    <w:rsid w:val="00cd6241"/>
    <w:pPr>
      <w:widowControl/>
      <w:suppressAutoHyphens w:val="true"/>
      <w:bidi w:val="0"/>
      <w:spacing w:lineRule="atLeast" w:line="10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bidi="ar-SA" w:val="ru-RU" w:eastAsia="zh-CN"/>
    </w:rPr>
  </w:style>
  <w:style w:type="paragraph" w:styleId="user2" w:customStyle="1">
    <w:name w:val="Содержимое врезки (user)"/>
    <w:basedOn w:val="Normal"/>
    <w:qFormat/>
    <w:rsid w:val="00cd6241"/>
    <w:pPr/>
    <w:rPr/>
  </w:style>
  <w:style w:type="paragraph" w:styleId="user3" w:customStyle="1">
    <w:name w:val="Содержимое таблицы (user)"/>
    <w:basedOn w:val="Normal"/>
    <w:qFormat/>
    <w:rsid w:val="00cd6241"/>
    <w:pPr>
      <w:widowControl w:val="false"/>
      <w:suppressLineNumbers/>
    </w:pPr>
    <w:rPr/>
  </w:style>
  <w:style w:type="paragraph" w:styleId="user4" w:customStyle="1">
    <w:name w:val="Заголовок таблицы (user)"/>
    <w:basedOn w:val="user3"/>
    <w:qFormat/>
    <w:rsid w:val="00cd6241"/>
    <w:pPr>
      <w:jc w:val="center"/>
    </w:pPr>
    <w:rPr>
      <w:b/>
      <w:bCs/>
    </w:rPr>
  </w:style>
  <w:style w:type="paragraph" w:styleId="CommentText">
    <w:name w:val="annotation text"/>
    <w:basedOn w:val="Normal"/>
    <w:qFormat/>
    <w:rsid w:val="00cd6241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qFormat/>
    <w:rsid w:val="00cd6241"/>
    <w:pPr/>
    <w:rPr>
      <w:b/>
      <w:bCs/>
    </w:rPr>
  </w:style>
  <w:style w:type="paragraph" w:styleId="Style24" w:customStyle="1">
    <w:name w:val="Содержимое врезки"/>
    <w:basedOn w:val="Normal"/>
    <w:qFormat/>
    <w:rsid w:val="00cd6241"/>
    <w:pPr/>
    <w:rPr/>
  </w:style>
  <w:style w:type="paragraph" w:styleId="western" w:customStyle="1">
    <w:name w:val="western"/>
    <w:basedOn w:val="Normal"/>
    <w:qFormat/>
    <w:rsid w:val="00cd6241"/>
    <w:pPr>
      <w:suppressAutoHyphens w:val="false"/>
      <w:spacing w:lineRule="auto" w:line="240" w:before="280" w:after="119"/>
    </w:pPr>
    <w:rPr>
      <w:color w:val="000000"/>
      <w:sz w:val="24"/>
      <w:szCs w:val="24"/>
    </w:rPr>
  </w:style>
  <w:style w:type="numbering" w:styleId="Style25" w:default="1">
    <w:name w:val="Без списка"/>
    <w:uiPriority w:val="99"/>
    <w:semiHidden/>
    <w:unhideWhenUsed/>
    <w:qFormat/>
  </w:style>
  <w:style w:type="numbering" w:styleId="WW8Num1" w:customStyle="1">
    <w:name w:val="WW8Num1"/>
    <w:qFormat/>
    <w:rsid w:val="00cd6241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roszdravnadzor.gov.ru/services/mi_prices" TargetMode="External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LibreOffice/26.2.4.2$Windows_X86_64 LibreOffice_project/0229ac93fcf0d7cbc6376066c6f35021cef002dc</Application>
  <AppVersion>15.0000</AppVersion>
  <Pages>1</Pages>
  <Words>568</Words>
  <Characters>3760</Characters>
  <CharactersWithSpaces>4259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2026-07-27T13:23:00Z</dcterms:created>
  <dc:creator>Костюков А.А.</dc:creator>
  <dc:description/>
  <dc:language>ru-RU</dc:language>
  <cp:lastModifiedBy/>
  <cp:lastPrinted>2024-12-10T14:46:00Z</cp:lastPrinted>
  <dcterms:modified xsi:type="dcterms:W3CDTF">2026-07-27T17:26:15Z</dcterms:modified>
  <cp:revision>3</cp:revision>
  <dc:subject>автозапчасти</dc:subject>
  <dc:title>Приложение №2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