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wmf" ContentType="image/x-wmf"/>
  <Override PartName="/word/media/image3.wmf" ContentType="image/x-wmf"/>
  <Override PartName="/word/media/image1.wmf" ContentType="image/x-wm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tabs>
          <w:tab w:val="clear" w:pos="408"/>
          <w:tab w:val="center" w:pos="4590" w:leader="none"/>
        </w:tabs>
        <w:spacing w:lineRule="auto" w:line="240" w:before="0" w:after="0"/>
        <w:ind w:left="0" w:right="0" w:firstLine="567"/>
        <w:jc w:val="center"/>
        <w:outlineLvl w:val="1"/>
        <w:rPr>
          <w:rFonts w:ascii="Liberation Serif" w:hAnsi="Liberation Serif" w:eastAsia="Calibri" w:cs="Times New Roman"/>
          <w:b/>
          <w:i/>
          <w:i/>
          <w:sz w:val="24"/>
          <w:szCs w:val="24"/>
          <w:lang w:eastAsia="ru-RU"/>
        </w:rPr>
      </w:pPr>
      <w:r>
        <w:rPr>
          <w:rFonts w:eastAsia="Calibri" w:cs="Times New Roman" w:ascii="Liberation Serif" w:hAnsi="Liberation Serif"/>
          <w:b/>
          <w:i/>
          <w:sz w:val="24"/>
          <w:szCs w:val="24"/>
          <w:lang w:eastAsia="ru-RU"/>
        </w:rPr>
        <w:t>ОБОСНОВАНИЕ НАЧАЛЬНОЙ (МАКСИМАЛЬНОЙ) ЦЕНЫ КОНТРАКТА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408"/>
          <w:tab w:val="center" w:pos="4590" w:leader="none"/>
        </w:tabs>
        <w:spacing w:lineRule="auto" w:line="240" w:before="0" w:after="0"/>
        <w:ind w:left="0" w:right="0" w:firstLine="567"/>
        <w:jc w:val="center"/>
        <w:outlineLvl w:val="1"/>
        <w:rPr>
          <w:rFonts w:ascii="Liberation Serif" w:hAnsi="Liberation Serif" w:eastAsia="Calibri" w:cs="Times New Roman"/>
          <w:b/>
          <w:i/>
          <w:i/>
          <w:sz w:val="24"/>
          <w:szCs w:val="24"/>
          <w:lang w:eastAsia="ru-RU"/>
        </w:rPr>
      </w:pPr>
      <w:r>
        <w:rPr>
          <w:rFonts w:eastAsia="Calibri" w:cs="Times New Roman" w:ascii="Liberation Serif" w:hAnsi="Liberation Serif"/>
          <w:b/>
          <w:i/>
          <w:sz w:val="24"/>
          <w:szCs w:val="24"/>
          <w:lang w:eastAsia="ru-RU"/>
        </w:rPr>
      </w:r>
    </w:p>
    <w:tbl>
      <w:tblPr>
        <w:tblW w:w="15587" w:type="dxa"/>
        <w:jc w:val="left"/>
        <w:tblInd w:w="123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68"/>
        <w:gridCol w:w="1677"/>
        <w:gridCol w:w="1187"/>
        <w:gridCol w:w="913"/>
        <w:gridCol w:w="1964"/>
        <w:gridCol w:w="1977"/>
        <w:gridCol w:w="1950"/>
        <w:gridCol w:w="1282"/>
        <w:gridCol w:w="1350"/>
        <w:gridCol w:w="1377"/>
        <w:gridCol w:w="1542"/>
      </w:tblGrid>
      <w:tr>
        <w:trPr>
          <w:trHeight w:val="1186" w:hRule="atLeast"/>
        </w:trPr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993" w:leader="none"/>
              </w:tabs>
              <w:spacing w:lineRule="auto" w:line="240" w:before="0" w:after="0"/>
              <w:jc w:val="left"/>
              <w:rPr>
                <w:rFonts w:ascii="Liberation Serif" w:hAnsi="Liberation Serif" w:eastAsia="Calibri" w:cs="Times New Roman"/>
                <w:lang w:eastAsia="ru-RU"/>
              </w:rPr>
            </w:pPr>
            <w:r>
              <w:rPr>
                <w:rFonts w:eastAsia="Calibri" w:cs="Times New Roman" w:ascii="Liberation Serif" w:hAnsi="Liberation Serif"/>
                <w:lang w:eastAsia="ru-RU"/>
              </w:rPr>
              <w:t>Используемый метод определения НМЦК</w:t>
              <w:br/>
              <w:t>с обоснованием:</w:t>
            </w:r>
          </w:p>
        </w:tc>
        <w:tc>
          <w:tcPr>
            <w:tcW w:w="13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lang w:eastAsia="ru-RU"/>
              </w:rPr>
            </w:pPr>
            <w:r>
              <w:rPr>
                <w:rFonts w:eastAsia="Calibri" w:cs="Times New Roman" w:ascii="Liberation Serif" w:hAnsi="Liberation Serif"/>
                <w:lang w:eastAsia="ru-RU"/>
              </w:rPr>
              <w:t>Метод сопоставимых рыночных цен (анализа рынка), данный метод определения НМЦК является приоритетным.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993" w:leader="none"/>
              </w:tabs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lang w:eastAsia="ru-RU"/>
              </w:rPr>
            </w:pPr>
            <w:r>
              <w:rPr>
                <w:rFonts w:eastAsia="Calibri" w:cs="Times New Roman" w:ascii="Liberation Serif" w:hAnsi="Liberation Serif"/>
                <w:lang w:eastAsia="ru-RU"/>
              </w:rPr>
              <w:t>В целях определения начальной (максимальной) цены контракта в порядке, установленном Законом и приказом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осуществлена процедура получения ценовой информации путем направления запросов о предоставлении ценовой информации исполнителям, обладающих опытом выполнения аналогичных работ (оказания услуг).</w:t>
            </w:r>
          </w:p>
        </w:tc>
      </w:tr>
      <w:tr>
        <w:trPr>
          <w:trHeight w:val="326" w:hRule="atLeast"/>
        </w:trPr>
        <w:tc>
          <w:tcPr>
            <w:tcW w:w="1558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993" w:leader="none"/>
              </w:tabs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 xml:space="preserve">Расчет начальной (максимальной) цены контракта </w:t>
            </w:r>
            <w:r>
              <w:rPr>
                <w:rFonts w:eastAsia="Calibri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на поставку источника бесперебойного питания (серверный)</w:t>
            </w:r>
          </w:p>
        </w:tc>
      </w:tr>
      <w:tr>
        <w:trPr>
          <w:trHeight w:val="685" w:hRule="atLeast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93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 w:ascii="Liberation Serif" w:hAnsi="Liberation Serif"/>
                <w:sz w:val="22"/>
                <w:szCs w:val="22"/>
                <w:lang w:eastAsia="ru-RU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8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93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 w:ascii="Liberation Serif" w:hAnsi="Liberation Serif"/>
                <w:sz w:val="22"/>
                <w:szCs w:val="22"/>
                <w:lang w:eastAsia="ru-RU"/>
              </w:rPr>
              <w:t>Наименование товара, работы, услуги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hd w:fill="auto" w:val="clear"/>
              </w:rPr>
            </w:pPr>
            <w:r>
              <w:rPr>
                <w:rFonts w:ascii="Liberation Serif" w:hAnsi="Liberation Serif"/>
                <w:shd w:fill="auto" w:val="clear"/>
              </w:rPr>
              <w:t>Кол-во (шт.)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Коммерческое предложение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от 22.04.2026</w:t>
              <w:br/>
              <w:t>№ 09-05/26-01/2398</w:t>
              <w:br/>
              <w:t>цена за ед. (руб.)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Коммерческое предложение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от 23.04.2026</w:t>
              <w:br/>
              <w:t>№ 09-05/26-01/2429</w:t>
              <w:br/>
              <w:t>цена за ед. (руб.)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Коммерческое предложение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hd w:fill="auto" w:val="clear"/>
              </w:rPr>
            </w:pPr>
            <w:r>
              <w:rPr>
                <w:rFonts w:ascii="Liberation Serif" w:hAnsi="Liberation Serif"/>
                <w:shd w:fill="auto" w:val="clear"/>
              </w:rPr>
              <w:t>от 18.05.2026</w:t>
              <w:br/>
              <w:t>№ 09-05/26-01/2982</w:t>
              <w:br/>
              <w:t>цена за ед. (руб.)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hd w:fill="auto" w:val="clear"/>
              </w:rPr>
            </w:pPr>
            <w:r>
              <w:rPr>
                <w:rFonts w:ascii="Liberation Serif" w:hAnsi="Liberation Serif"/>
                <w:sz w:val="22"/>
                <w:szCs w:val="22"/>
                <w:shd w:fill="auto" w:val="clear"/>
              </w:rPr>
              <w:t xml:space="preserve">Средняя </w:t>
            </w:r>
            <w:r>
              <w:rPr>
                <w:rFonts w:eastAsia="Calibri" w:cs="Times New Roman" w:ascii="Liberation Serif" w:hAnsi="Liberation Serif"/>
                <w:color w:val="000000"/>
                <w:sz w:val="22"/>
                <w:szCs w:val="22"/>
                <w:shd w:fill="auto" w:val="clear"/>
                <w:lang w:eastAsia="ru-RU"/>
              </w:rPr>
              <w:t>цена за ед. (руб.)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93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Calibri" w:cs="Times New Roman"/>
                <w:color w:val="000000"/>
                <w:sz w:val="22"/>
                <w:szCs w:val="22"/>
                <w:shd w:fill="FFFFFF" w:val="clear"/>
                <w:lang w:eastAsia="ru-RU"/>
              </w:rPr>
            </w:pPr>
            <w:r>
              <w:rPr>
                <w:rFonts w:eastAsia="Calibri" w:cs="Times New Roman" w:ascii="Liberation Serif" w:hAnsi="Liberation Serif"/>
                <w:color w:val="000000"/>
                <w:sz w:val="22"/>
                <w:szCs w:val="22"/>
                <w:shd w:fill="FFFFFF" w:val="clear"/>
                <w:lang w:eastAsia="ru-RU"/>
              </w:rPr>
              <w:t>Итоговая цена (руб.)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93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 w:ascii="Liberation Serif" w:hAnsi="Liberation Serif"/>
                <w:sz w:val="22"/>
                <w:szCs w:val="22"/>
                <w:lang w:eastAsia="ru-RU"/>
              </w:rPr>
              <w:t>Среднее квадратичное отклонение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 w:ascii="Liberation Serif" w:hAnsi="Liberation Serif"/>
                <w:sz w:val="22"/>
                <w:szCs w:val="22"/>
                <w:lang w:eastAsia="ru-RU"/>
              </w:rPr>
              <w:t>Коэффициент вариации (%)*</w:t>
            </w:r>
          </w:p>
        </w:tc>
      </w:tr>
      <w:tr>
        <w:trPr>
          <w:trHeight w:val="483" w:hRule="atLeast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93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 w:ascii="Liberation Serif" w:hAnsi="Liberation Serif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8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93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cs="Times New Roman"/>
                <w:lang w:eastAsia="ru-RU"/>
              </w:rPr>
            </w:pPr>
            <w:r>
              <w:rPr>
                <w:rFonts w:cs="Times New Roman" w:ascii="Liberation Serif" w:hAnsi="Liberation Serif"/>
                <w:lang w:eastAsia="ru-RU"/>
              </w:rPr>
              <w:t>Источник бесперебойного питания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29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Noto Sans CJK SC Regular" w:cs="FreeSans"/>
                <w:sz w:val="22"/>
                <w:szCs w:val="22"/>
                <w:lang w:eastAsia="zh-CN" w:bidi="hi-IN"/>
              </w:rPr>
            </w:pPr>
            <w:r>
              <w:rPr>
                <w:rFonts w:eastAsia="Noto Sans CJK SC Regular" w:cs="FreeSans" w:ascii="Liberation Serif" w:hAnsi="Liberation Serif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29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118 620,00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29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107 279,30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29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107 798,08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29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111 232,46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29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222 464,92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Calibri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Calibri" w:cs="Times New Roman" w:ascii="Liberation Serif" w:hAnsi="Liberation Serif"/>
                <w:sz w:val="22"/>
                <w:szCs w:val="22"/>
                <w:lang w:val="en-US" w:eastAsia="ru-RU"/>
              </w:rPr>
              <w:t>6 403.05346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Calibri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Calibri" w:cs="Times New Roman" w:ascii="Liberation Serif" w:hAnsi="Liberation Serif"/>
                <w:sz w:val="22"/>
                <w:szCs w:val="22"/>
                <w:lang w:val="en-US" w:eastAsia="ru-RU"/>
              </w:rPr>
              <w:t>5,76 %</w:t>
            </w:r>
          </w:p>
        </w:tc>
      </w:tr>
      <w:tr>
        <w:trPr>
          <w:trHeight w:val="304" w:hRule="atLeast"/>
        </w:trPr>
        <w:tc>
          <w:tcPr>
            <w:tcW w:w="11318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93" w:leader="none"/>
              </w:tabs>
              <w:spacing w:lineRule="auto" w:line="240" w:before="0" w:after="0"/>
              <w:ind w:left="0" w:right="0" w:hanging="0"/>
              <w:jc w:val="right"/>
              <w:rPr>
                <w:rFonts w:ascii="Liberation Serif" w:hAnsi="Liberation Serif" w:eastAsia="Calibri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Calibri" w:cs="Times New Roman" w:ascii="Liberation Serif" w:hAnsi="Liberation Serif"/>
                <w:b/>
                <w:sz w:val="22"/>
                <w:szCs w:val="22"/>
                <w:lang w:eastAsia="ru-RU"/>
              </w:rPr>
              <w:t>Итого, руб.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29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222 464,92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Calibri" w:cs="DejaVu Sans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DejaVu Sans" w:ascii="Liberation Serif" w:hAnsi="Liberation Serif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Calibri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Calibri" w:cs="Times New Roman" w:ascii="Liberation Serif" w:hAnsi="Liberation Serif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4" w:hRule="atLeast"/>
        </w:trPr>
        <w:tc>
          <w:tcPr>
            <w:tcW w:w="1558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В целях определения однородности совокупности значений выявленных цен, используемых в расчете начальной (максимальной) цены контракта, по указанной ниже формуле, был рассчитан коэффициент вариации: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1209675" cy="41910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, где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V — коэффициент вариации;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1590675" cy="542925"/>
                  <wp:effectExtent l="0" t="0" r="0" b="0"/>
                  <wp:docPr id="2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 xml:space="preserve"> — </w:t>
            </w: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среднее квадратичное отклонение;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ц</w:t>
            </w:r>
            <w:r>
              <w:rPr>
                <w:rFonts w:eastAsia="Calibri" w:cs="Times New Roman" w:ascii="Liberation Serif" w:hAnsi="Liberation Serif"/>
                <w:sz w:val="24"/>
                <w:szCs w:val="24"/>
                <w:vertAlign w:val="superscript"/>
                <w:lang w:eastAsia="ru-RU"/>
              </w:rPr>
              <w:t>i</w:t>
            </w: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 xml:space="preserve"> — цена работ, указанная в источнике с номером i;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&lt;ц&gt; — средняя арифметическая величина цены работ;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n — количество значений, используемых в расчете.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Коэффициент вариации цены составляет</w:t>
            </w:r>
            <w:r>
              <w:rPr>
                <w:rFonts w:eastAsia="Calibri" w:cs="Times New Roman" w:ascii="Liberation Serif" w:hAnsi="Liberation Serif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5,76 %, что не превышает 33%, в связи с чем, совокупность значений, используемых в расчете при определении начальной (максимальной) цены контракта, является однородной</w:t>
            </w:r>
            <w:r>
              <w:rPr>
                <w:rFonts w:eastAsia="Calibri" w:cs="Times New Roman" w:ascii="Liberation Serif" w:hAnsi="Liberation Serif"/>
                <w:b w:val="false"/>
                <w:bCs w:val="false"/>
                <w:color w:val="000000"/>
                <w:kern w:val="0"/>
                <w:sz w:val="24"/>
                <w:szCs w:val="24"/>
                <w:lang w:eastAsia="ru-RU" w:bidi="ar-SA"/>
              </w:rPr>
              <w:t>.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sz w:val="24"/>
                <w:szCs w:val="24"/>
                <w:lang w:eastAsia="ru-RU"/>
              </w:rPr>
              <w:t>Расчет начальной (максимальной) цены контракта</w:t>
            </w: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1619250" cy="400050"/>
                  <wp:effectExtent l="0" t="0" r="0" b="0"/>
                  <wp:docPr id="3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, где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color w:val="auto"/>
                <w:kern w:val="0"/>
                <w:sz w:val="24"/>
                <w:szCs w:val="24"/>
                <w:lang w:val="ru-RU" w:eastAsia="ru-RU" w:bidi="ar-SA"/>
              </w:rPr>
              <w:t>НМЦК</w:t>
            </w:r>
            <w:r>
              <w:rPr>
                <w:rFonts w:eastAsia="Calibri" w:cs="Times New Roman" w:ascii="Liberation Serif" w:hAnsi="Liberation Serif"/>
                <w:color w:val="auto"/>
                <w:kern w:val="0"/>
                <w:sz w:val="24"/>
                <w:szCs w:val="24"/>
                <w:vertAlign w:val="superscript"/>
                <w:lang w:val="ru-RU" w:eastAsia="ru-RU" w:bidi="ar-SA"/>
              </w:rPr>
              <w:t>рын</w:t>
            </w:r>
            <w:r>
              <w:rPr>
                <w:rFonts w:eastAsia="Calibri" w:cs="Times New Roman" w:ascii="Liberation Serif" w:hAnsi="Liberation Serif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— нач</w:t>
            </w: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альная (максимальная) цена контракта, определяемая методом сопоставимых рыночных цен (анализа рынка);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v — объем работ;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n — количество значений, используемых в расчете;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i — номер источника ценовой информации;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ц</w:t>
            </w:r>
            <w:r>
              <w:rPr>
                <w:rFonts w:eastAsia="Calibri" w:cs="Times New Roman" w:ascii="Liberation Serif" w:hAnsi="Liberation Serif"/>
                <w:sz w:val="24"/>
                <w:szCs w:val="24"/>
                <w:vertAlign w:val="superscript"/>
                <w:lang w:eastAsia="ru-RU"/>
              </w:rPr>
              <w:t>i</w:t>
            </w: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 xml:space="preserve"> — цена работ, представленная в источнике с номером i,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sz w:val="24"/>
                <w:szCs w:val="24"/>
                <w:lang w:eastAsia="ru-RU"/>
              </w:rPr>
              <w:t>Начальная (максимальная) цена контракта</w:t>
            </w: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>НМЦК</w:t>
            </w:r>
            <w:r>
              <w:rPr>
                <w:rFonts w:eastAsia="Calibri" w:cs="Times New Roman" w:ascii="Liberation Serif" w:hAnsi="Liberation Serif"/>
                <w:sz w:val="24"/>
                <w:szCs w:val="24"/>
                <w:vertAlign w:val="superscript"/>
                <w:lang w:eastAsia="ru-RU"/>
              </w:rPr>
              <w:t>рын</w:t>
            </w: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 xml:space="preserve"> = ((118 620,00 + 107 279,30 + 107 798,08)/</w:t>
            </w:r>
            <w:r>
              <w:rPr>
                <w:rFonts w:eastAsia="Calibri" w:cs="Times New Roman" w:ascii="Liberation Serif" w:hAnsi="Liberation Serif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Calibri" w:cs="Times New Roman" w:ascii="Liberation Serif" w:hAnsi="Liberation Serif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*2)</w:t>
            </w:r>
            <w:r>
              <w:rPr>
                <w:rFonts w:eastAsia="Calibri" w:cs="Times New Roman" w:ascii="Liberation Serif" w:hAnsi="Liberation Serif"/>
                <w:sz w:val="24"/>
                <w:szCs w:val="24"/>
                <w:lang w:eastAsia="ru-RU"/>
              </w:rPr>
              <w:t xml:space="preserve"> = 222 464,92 рублей.</w:t>
            </w:r>
          </w:p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Начальная (максимальная) цена контракта сформирована исходя из учета среднего значения стоимости оказания услуг, включает в себя стоимость оказания услуг, все расходы на оказание услуг, и все предусмотренные действующим законодательством Российской Федерации налоги, сборы и другие обязательные платежи и составляет 222 464 (двести двадцать две тысячи четыреста шестьдесят четыре) рубля 92 копейки.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 учетом лимитов бюджетных обязательств, доведенных Заказчику на 2026 год, итоговая начальная (максимальная) цена контракта снижена</w:t>
              <w:br/>
              <w:t>и составляет 165 000 (сто шестьдесят пять тысяч) руб. 00 копеек.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  <w:tbl>
            <w:tblPr>
              <w:tblW w:w="5000" w:type="pct"/>
              <w:jc w:val="left"/>
              <w:tblInd w:w="-5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718"/>
              <w:gridCol w:w="10670"/>
              <w:gridCol w:w="988"/>
              <w:gridCol w:w="1553"/>
              <w:gridCol w:w="1544"/>
            </w:tblGrid>
            <w:tr>
              <w:trPr>
                <w:trHeight w:val="304" w:hRule="atLeast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408"/>
                      <w:tab w:val="left" w:pos="993" w:leader="none"/>
                    </w:tabs>
                    <w:spacing w:lineRule="auto" w:line="240" w:before="0" w:after="0"/>
                    <w:ind w:left="0" w:right="0" w:hanging="0"/>
                    <w:jc w:val="center"/>
                    <w:rPr/>
                  </w:pPr>
                  <w:r>
                    <w:rPr>
                      <w:rFonts w:eastAsia="Calibri" w:cs="Liberation Serif;Times New Roman" w:ascii="Liberation Serif;Times New Roman" w:hAnsi="Liberation Serif;Times New Roman"/>
                      <w:sz w:val="22"/>
                      <w:szCs w:val="22"/>
                    </w:rPr>
                    <w:t>№</w:t>
                  </w:r>
                  <w:r>
                    <w:rPr>
                      <w:rFonts w:eastAsia="Liberation Serif;Times New Roman" w:cs="Liberation Serif;Times New Roman" w:ascii="Liberation Serif;Times New Roman" w:hAnsi="Liberation Serif;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 w:cs="Liberation Serif;Times New Roman" w:ascii="Liberation Serif;Times New Roman" w:hAnsi="Liberation Serif;Times New Roman"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10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408"/>
                      <w:tab w:val="left" w:pos="993" w:leader="none"/>
                    </w:tabs>
                    <w:spacing w:lineRule="auto" w:line="240" w:before="0" w:after="0"/>
                    <w:ind w:left="0" w:right="0" w:hanging="0"/>
                    <w:jc w:val="center"/>
                    <w:rPr>
                      <w:rFonts w:ascii="Liberation Serif" w:hAnsi="Liberation Serif" w:eastAsia="Calibri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eastAsia="Calibri" w:cs="Times New Roman" w:ascii="Liberation Serif" w:hAnsi="Liberation Serif"/>
                      <w:sz w:val="22"/>
                      <w:szCs w:val="22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0" w:right="0" w:hanging="0"/>
                    <w:jc w:val="center"/>
                    <w:rPr>
                      <w:rFonts w:ascii="Liberation Serif;Times New Roman" w:hAnsi="Liberation Serif;Times New Roman" w:eastAsia="Calibri" w:cs="Liberation Serif;Times New Roman"/>
                      <w:color w:val="000000"/>
                      <w:sz w:val="22"/>
                      <w:szCs w:val="22"/>
                      <w:shd w:fill="auto" w:val="clear"/>
                      <w:lang w:eastAsia="ru-RU"/>
                    </w:rPr>
                  </w:pPr>
                  <w:r>
                    <w:rPr>
                      <w:rFonts w:eastAsia="Calibri" w:cs="Liberation Serif;Times New Roman" w:ascii="Liberation Serif;Times New Roman" w:hAnsi="Liberation Serif;Times New Roman"/>
                      <w:color w:val="000000"/>
                      <w:sz w:val="22"/>
                      <w:szCs w:val="22"/>
                      <w:shd w:fill="auto" w:val="clear"/>
                      <w:lang w:eastAsia="ru-RU"/>
                    </w:rPr>
                    <w:t>Кол-во (</w:t>
                  </w:r>
                  <w:r>
                    <w:rPr>
                      <w:rFonts w:eastAsia="Calibri" w:cs="Liberation Serif;Times New Roman" w:ascii="Liberation Serif;Times New Roman" w:hAnsi="Liberation Serif;Times New Roman"/>
                      <w:color w:val="000000"/>
                      <w:sz w:val="22"/>
                      <w:szCs w:val="22"/>
                      <w:shd w:fill="auto" w:val="clear"/>
                      <w:lang w:eastAsia="ru-RU"/>
                    </w:rPr>
                    <w:t>шт</w:t>
                  </w:r>
                  <w:r>
                    <w:rPr>
                      <w:rFonts w:eastAsia="Calibri" w:cs="Liberation Serif;Times New Roman" w:ascii="Liberation Serif;Times New Roman" w:hAnsi="Liberation Serif;Times New Roman"/>
                      <w:color w:val="000000"/>
                      <w:sz w:val="22"/>
                      <w:szCs w:val="22"/>
                      <w:shd w:fill="auto" w:val="clear"/>
                      <w:lang w:eastAsia="ru-RU"/>
                    </w:rPr>
                    <w:t>.)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0" w:right="0" w:hanging="0"/>
                    <w:jc w:val="center"/>
                    <w:rPr/>
                  </w:pPr>
                  <w:r>
                    <w:rPr>
                      <w:rFonts w:cs="Liberation Serif;Times New Roman" w:ascii="Liberation Serif;Times New Roman" w:hAnsi="Liberation Serif;Times New Roman"/>
                      <w:sz w:val="22"/>
                      <w:szCs w:val="22"/>
                      <w:shd w:fill="auto" w:val="clear"/>
                    </w:rPr>
                    <w:t xml:space="preserve">Средняя </w:t>
                  </w:r>
                  <w:r>
                    <w:rPr>
                      <w:rFonts w:eastAsia="Calibri" w:cs="Liberation Serif;Times New Roman" w:ascii="Liberation Serif;Times New Roman" w:hAnsi="Liberation Serif;Times New Roman"/>
                      <w:color w:val="000000"/>
                      <w:sz w:val="22"/>
                      <w:szCs w:val="22"/>
                      <w:shd w:fill="auto" w:val="clear"/>
                      <w:lang w:eastAsia="ru-RU"/>
                    </w:rPr>
                    <w:t>цена за ед. (руб.)</w:t>
                  </w: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408"/>
                      <w:tab w:val="left" w:pos="993" w:leader="none"/>
                    </w:tabs>
                    <w:spacing w:lineRule="auto" w:line="240" w:before="0" w:after="0"/>
                    <w:ind w:left="0" w:right="0" w:hanging="0"/>
                    <w:jc w:val="center"/>
                    <w:rPr>
                      <w:rFonts w:ascii="Liberation Serif;Times New Roman" w:hAnsi="Liberation Serif;Times New Roman" w:eastAsia="Calibri" w:cs="Liberation Serif;Times New Roman"/>
                      <w:color w:val="000000"/>
                      <w:sz w:val="22"/>
                      <w:szCs w:val="22"/>
                      <w:shd w:fill="FFFFFF" w:val="clear"/>
                      <w:lang w:eastAsia="ru-RU"/>
                    </w:rPr>
                  </w:pPr>
                  <w:r>
                    <w:rPr>
                      <w:rFonts w:eastAsia="Calibri" w:cs="Liberation Serif;Times New Roman" w:ascii="Liberation Serif;Times New Roman" w:hAnsi="Liberation Serif;Times New Roman"/>
                      <w:color w:val="000000"/>
                      <w:sz w:val="22"/>
                      <w:szCs w:val="22"/>
                      <w:shd w:fill="FFFFFF" w:val="clear"/>
                      <w:lang w:eastAsia="ru-RU"/>
                    </w:rPr>
                    <w:t>Итоговая цена (руб.)</w:t>
                  </w:r>
                </w:p>
              </w:tc>
            </w:tr>
            <w:tr>
              <w:trPr>
                <w:trHeight w:val="304" w:hRule="atLeast"/>
              </w:trPr>
              <w:tc>
                <w:tcPr>
                  <w:tcW w:w="71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Lines/>
                    <w:widowControl w:val="false"/>
                    <w:spacing w:lineRule="auto" w:line="240" w:before="0" w:after="0"/>
                    <w:ind w:left="0" w:right="0" w:hanging="0"/>
                    <w:jc w:val="center"/>
                    <w:rPr>
                      <w:rFonts w:ascii="Liberation Serif;Times New Roman" w:hAnsi="Liberation Serif;Times New Roman" w:eastAsia="Calibri" w:cs="Liberation Serif;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eastAsia="Calibri" w:cs="Liberation Serif;Times New Roman" w:ascii="Liberation Serif;Times New Roman" w:hAnsi="Liberation Serif;Times New Roman"/>
                      <w:sz w:val="22"/>
                      <w:szCs w:val="22"/>
                      <w:lang w:eastAsia="ru-RU"/>
                    </w:rPr>
                    <w:t>2.</w:t>
                  </w:r>
                </w:p>
              </w:tc>
              <w:tc>
                <w:tcPr>
                  <w:tcW w:w="1067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408"/>
                      <w:tab w:val="left" w:pos="993" w:leader="none"/>
                    </w:tabs>
                    <w:spacing w:lineRule="auto" w:line="240" w:before="0" w:after="0"/>
                    <w:ind w:left="0" w:right="0" w:hanging="0"/>
                    <w:jc w:val="center"/>
                    <w:rPr>
                      <w:rFonts w:ascii="Liberation Serif" w:hAnsi="Liberation Serif" w:cs="Times New Roman"/>
                      <w:lang w:eastAsia="ru-RU"/>
                    </w:rPr>
                  </w:pPr>
                  <w:r>
                    <w:rPr>
                      <w:rFonts w:cs="Times New Roman" w:ascii="Liberation Serif" w:hAnsi="Liberation Serif"/>
                      <w:lang w:eastAsia="ru-RU"/>
                    </w:rPr>
                    <w:t>Источник бесперебойного питания</w:t>
                  </w:r>
                </w:p>
              </w:tc>
              <w:tc>
                <w:tcPr>
                  <w:tcW w:w="98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9"/>
                    <w:widowControl w:val="false"/>
                    <w:spacing w:lineRule="auto" w:line="240" w:before="0" w:after="0"/>
                    <w:ind w:left="0" w:right="0" w:hanging="0"/>
                    <w:jc w:val="center"/>
                    <w:rPr>
                      <w:rFonts w:ascii="Liberation Serif;Times New Roman" w:hAnsi="Liberation Serif;Times New Roman" w:eastAsia="Noto Sans CJK SC Regular" w:cs="Liberation Serif;Times New Roman"/>
                      <w:sz w:val="22"/>
                      <w:szCs w:val="22"/>
                      <w:lang w:eastAsia="zh-CN" w:bidi="hi-IN"/>
                    </w:rPr>
                  </w:pPr>
                  <w:r>
                    <w:rPr>
                      <w:rFonts w:eastAsia="Noto Sans CJK SC Regular" w:cs="Liberation Serif;Times New Roman" w:ascii="Liberation Serif;Times New Roman" w:hAnsi="Liberation Serif;Times New Roman"/>
                      <w:sz w:val="22"/>
                      <w:szCs w:val="22"/>
                      <w:lang w:eastAsia="zh-CN" w:bidi="hi-IN"/>
                    </w:rPr>
                    <w:t>2</w:t>
                  </w:r>
                </w:p>
              </w:tc>
              <w:tc>
                <w:tcPr>
                  <w:tcW w:w="155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9"/>
                    <w:widowControl w:val="false"/>
                    <w:snapToGrid w:val="false"/>
                    <w:spacing w:lineRule="auto" w:line="240" w:before="0" w:after="0"/>
                    <w:ind w:left="0" w:right="0" w:hanging="0"/>
                    <w:jc w:val="center"/>
                    <w:rPr>
                      <w:rFonts w:ascii="Liberation Serif;Times New Roman" w:hAnsi="Liberation Serif;Times New Roman" w:cs="Liberation Serif;Times New Roman"/>
                      <w:sz w:val="22"/>
                      <w:szCs w:val="22"/>
                    </w:rPr>
                  </w:pPr>
                  <w:r>
                    <w:rPr>
                      <w:rFonts w:cs="Liberation Serif;Times New Roman" w:ascii="Liberation Serif;Times New Roman" w:hAnsi="Liberation Serif;Times New Roman"/>
                      <w:sz w:val="22"/>
                      <w:szCs w:val="22"/>
                    </w:rPr>
                    <w:t>82 500,00</w:t>
                  </w:r>
                </w:p>
              </w:tc>
              <w:tc>
                <w:tcPr>
                  <w:tcW w:w="15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29"/>
                    <w:widowControl w:val="false"/>
                    <w:snapToGrid w:val="false"/>
                    <w:spacing w:lineRule="auto" w:line="240" w:before="0" w:after="0"/>
                    <w:ind w:left="0" w:right="0" w:hanging="0"/>
                    <w:jc w:val="center"/>
                    <w:rPr>
                      <w:rFonts w:ascii="Liberation Serif;Times New Roman" w:hAnsi="Liberation Serif;Times New Roman" w:cs="Liberation Serif;Times New Roman"/>
                      <w:sz w:val="22"/>
                      <w:szCs w:val="22"/>
                    </w:rPr>
                  </w:pPr>
                  <w:r>
                    <w:rPr>
                      <w:rFonts w:cs="Liberation Serif;Times New Roman" w:ascii="Liberation Serif;Times New Roman" w:hAnsi="Liberation Serif;Times New Roman"/>
                      <w:sz w:val="22"/>
                      <w:szCs w:val="22"/>
                    </w:rPr>
                    <w:t>165 000,00</w:t>
                  </w:r>
                </w:p>
              </w:tc>
            </w:tr>
            <w:tr>
              <w:trPr>
                <w:trHeight w:val="304" w:hRule="atLeast"/>
              </w:trPr>
              <w:tc>
                <w:tcPr>
                  <w:tcW w:w="13929" w:type="dxa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Lines/>
                    <w:widowControl w:val="false"/>
                    <w:spacing w:lineRule="auto" w:line="240" w:before="0" w:after="0"/>
                    <w:ind w:left="0" w:right="0" w:hanging="0"/>
                    <w:jc w:val="right"/>
                    <w:rPr>
                      <w:rFonts w:ascii="Liberation Serif;Times New Roman" w:hAnsi="Liberation Serif;Times New Roman" w:eastAsia="Calibri" w:cs="Liberation Serif;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eastAsia="Calibri" w:cs="Liberation Serif;Times New Roman" w:ascii="Liberation Serif;Times New Roman" w:hAnsi="Liberation Serif;Times New Roman"/>
                      <w:sz w:val="22"/>
                      <w:szCs w:val="22"/>
                      <w:lang w:eastAsia="ru-RU"/>
                    </w:rPr>
                    <w:t>Итого:</w:t>
                  </w:r>
                </w:p>
              </w:tc>
              <w:tc>
                <w:tcPr>
                  <w:tcW w:w="15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29"/>
                    <w:widowControl w:val="false"/>
                    <w:snapToGrid w:val="false"/>
                    <w:spacing w:lineRule="auto" w:line="240" w:before="0" w:after="0"/>
                    <w:ind w:left="0" w:right="0" w:hanging="0"/>
                    <w:jc w:val="center"/>
                    <w:rPr>
                      <w:rFonts w:ascii="Liberation Serif;Times New Roman" w:hAnsi="Liberation Serif;Times New Roman" w:cs="Liberation Serif;Times New Roman"/>
                      <w:sz w:val="22"/>
                      <w:szCs w:val="22"/>
                    </w:rPr>
                  </w:pPr>
                  <w:r>
                    <w:rPr>
                      <w:rFonts w:cs="Liberation Serif;Times New Roman" w:ascii="Liberation Serif;Times New Roman" w:hAnsi="Liberation Serif;Times New Roman"/>
                      <w:sz w:val="22"/>
                      <w:szCs w:val="22"/>
                    </w:rPr>
                    <w:t>165 000,00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Все показатели, требования, условные обозначения и терминология, касающиеся характеристик объекта закупки, установлены в соответствии с потребностями заказчика и являются широко используемыми на современном рынке данного вида услуг.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Расчет выполнен «25» мая 2026 г.</w:t>
            </w:r>
          </w:p>
        </w:tc>
      </w:tr>
    </w:tbl>
    <w:p>
      <w:pPr>
        <w:pStyle w:val="Normal"/>
        <w:widowControl w:val="false"/>
        <w:spacing w:lineRule="auto" w:line="276" w:before="0" w:after="200"/>
        <w:rPr>
          <w:rFonts w:ascii="Liberation Serif" w:hAnsi="Liberation Serif"/>
        </w:rPr>
      </w:pPr>
      <w:r>
        <w:rPr/>
      </w:r>
    </w:p>
    <w:sectPr>
      <w:headerReference w:type="default" r:id="rId5"/>
      <w:type w:val="nextPage"/>
      <w:pgSz w:orient="landscape" w:w="16838" w:h="11906"/>
      <w:pgMar w:left="567" w:right="567" w:gutter="0" w:header="1134" w:top="1701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spacing w:lineRule="auto" w:line="240" w:before="0" w:after="0"/>
      <w:jc w:val="center"/>
      <w:rPr>
        <w:rFonts w:ascii="Liberation Serif" w:hAnsi="Liberation Serif"/>
        <w:sz w:val="24"/>
        <w:szCs w:val="24"/>
      </w:rPr>
    </w:pPr>
    <w:r>
      <w:rPr>
        <w:rFonts w:ascii="Liberation Serif" w:hAnsi="Liberation Serif"/>
        <w:sz w:val="24"/>
        <w:szCs w:val="24"/>
      </w:rPr>
      <w:fldChar w:fldCharType="begin"/>
    </w:r>
    <w:r>
      <w:rPr>
        <w:sz w:val="24"/>
        <w:szCs w:val="24"/>
        <w:rFonts w:ascii="Liberation Serif" w:hAnsi="Liberation Serif"/>
      </w:rPr>
      <w:instrText xml:space="preserve"> PAGE </w:instrText>
    </w:r>
    <w:r>
      <w:rPr>
        <w:sz w:val="24"/>
        <w:szCs w:val="24"/>
        <w:rFonts w:ascii="Liberation Serif" w:hAnsi="Liberation Serif"/>
      </w:rPr>
      <w:fldChar w:fldCharType="separate"/>
    </w:r>
    <w:r>
      <w:rPr>
        <w:sz w:val="24"/>
        <w:szCs w:val="24"/>
        <w:rFonts w:ascii="Liberation Serif" w:hAnsi="Liberation Serif"/>
      </w:rPr>
      <w:t>2</w:t>
    </w:r>
    <w:r>
      <w:rPr>
        <w:sz w:val="24"/>
        <w:szCs w:val="24"/>
        <w:rFonts w:ascii="Liberation Serif" w:hAnsi="Liberation Serif"/>
      </w:rPr>
      <w:fldChar w:fldCharType="end"/>
    </w:r>
  </w:p>
</w:hdr>
</file>

<file path=word/settings.xml><?xml version="1.0" encoding="utf-8"?>
<w:settings xmlns:w="http://schemas.openxmlformats.org/wordprocessingml/2006/main">
  <w:zoom w:percent="110"/>
  <w:defaultTabStop w:val="4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Символ сноски"/>
    <w:qFormat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Style16">
    <w:name w:val="Символ концевой сноски"/>
    <w:qFormat/>
    <w:rPr>
      <w:vertAlign w:val="superscript"/>
    </w:rPr>
  </w:style>
  <w:style w:type="character" w:styleId="Style17">
    <w:name w:val="Endnote Reference"/>
    <w:rPr>
      <w:vertAlign w:val="superscript"/>
    </w:rPr>
  </w:style>
  <w:style w:type="character" w:styleId="-">
    <w:name w:val="Hyperlink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4">
    <w:name w:val="Footnote Text"/>
    <w:basedOn w:val="Normal"/>
    <w:pPr/>
    <w:rPr/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>
      <w:rFonts w:ascii="Calibri" w:hAnsi="Calibri" w:cs="Calibri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408"/>
        <w:tab w:val="center" w:pos="7285" w:leader="none"/>
        <w:tab w:val="right" w:pos="14570" w:leader="none"/>
      </w:tabs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Style25"/>
    <w:pPr/>
    <w:rPr/>
  </w:style>
  <w:style w:type="paragraph" w:styleId="Style28">
    <w:name w:val="Footer"/>
    <w:basedOn w:val="Normal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andardWW">
    <w:name w:val="Standard (WW)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Application>LibreOffice/7.5.2.1$Linux_X86_64 LibreOffice_project/50$Build-1</Application>
  <AppVersion>15.0000</AppVersion>
  <Pages>2</Pages>
  <Words>456</Words>
  <Characters>3049</Characters>
  <CharactersWithSpaces>3452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2022-02-22T13:22:00Z</dcterms:created>
  <dc:creator>Учетная запись Майкрософт</dc:creator>
  <dc:description/>
  <dc:language>ru-RU</dc:language>
  <cp:lastModifiedBy/>
  <dcterms:modified xsi:type="dcterms:W3CDTF">2026-06-02T11:51:51Z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