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jc w:val="center"/>
        <w:rPr>
          <w:rFonts w:ascii="Times New Roman" w:hAnsi="Times New Roman" w:eastAsia="Times New Roman" w:cs="Times New Roman"/>
          <w:b/>
          <w:bCs/>
          <w:sz w:val="22"/>
        </w:rPr>
      </w:pPr>
      <w:r>
        <w:rPr>
          <w:b/>
          <w:bCs/>
          <w:sz w:val="22"/>
        </w:rPr>
        <w:t xml:space="preserve">ДОГОВОР № </w:t>
      </w:r>
      <w:r>
        <w:rPr>
          <w:b/>
          <w:bCs/>
          <w:sz w:val="22"/>
        </w:rPr>
        <w:t xml:space="preserve">_________</w:t>
      </w:r>
      <w:r>
        <w:rPr>
          <w:rFonts w:ascii="Times New Roman" w:hAnsi="Times New Roman" w:eastAsia="Times New Roman" w:cs="Times New Roman"/>
          <w:b/>
          <w:bCs/>
          <w:sz w:val="22"/>
        </w:rPr>
      </w:r>
      <w:r>
        <w:rPr>
          <w:rFonts w:ascii="Times New Roman" w:hAnsi="Times New Roman" w:eastAsia="Times New Roman" w:cs="Times New Roman"/>
          <w:b/>
          <w:bCs/>
          <w:sz w:val="22"/>
        </w:rPr>
      </w:r>
    </w:p>
    <w:p>
      <w:pPr>
        <w:pBdr/>
        <w:spacing/>
        <w:ind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ИКЗ: </w:t>
      </w:r>
      <w:r>
        <w:rPr>
          <w:rFonts w:ascii="Tahoma" w:hAnsi="Tahoma" w:eastAsia="Tahoma" w:cs="Tahoma"/>
          <w:color w:val="000000"/>
          <w:sz w:val="20"/>
          <w:highlight w:val="none"/>
        </w:rPr>
        <w:t xml:space="preserve">261434600765643450100100290000000244</w:t>
      </w:r>
      <w:r>
        <w:rPr>
          <w:b/>
          <w:bCs/>
          <w:sz w:val="22"/>
        </w:rPr>
      </w:r>
      <w:r>
        <w:rPr>
          <w:b/>
          <w:bCs/>
          <w:sz w:val="22"/>
        </w:rPr>
      </w:r>
    </w:p>
    <w:p>
      <w:pPr>
        <w:pBdr/>
        <w:spacing w:after="120" w:before="120"/>
        <w:ind/>
        <w:jc w:val="both"/>
        <w:rPr>
          <w:sz w:val="22"/>
        </w:rPr>
      </w:pPr>
      <w:r>
        <w:rPr>
          <w:sz w:val="22"/>
        </w:rPr>
        <w:t xml:space="preserve">г</w:t>
      </w:r>
      <w:r>
        <w:rPr>
          <w:sz w:val="22"/>
        </w:rPr>
        <w:t xml:space="preserve">. Киров                                                                                                                                   «</w:t>
      </w:r>
      <w:r>
        <w:rPr>
          <w:sz w:val="22"/>
        </w:rPr>
        <w:t xml:space="preserve">___</w:t>
      </w:r>
      <w:r>
        <w:rPr>
          <w:sz w:val="22"/>
        </w:rPr>
        <w:t xml:space="preserve"> » </w:t>
      </w:r>
      <w:r>
        <w:rPr>
          <w:sz w:val="22"/>
        </w:rPr>
        <w:t xml:space="preserve">_________</w:t>
      </w:r>
      <w:r>
        <w:rPr>
          <w:sz w:val="22"/>
        </w:rPr>
        <w:t xml:space="preserve"> 2026  г.</w:t>
      </w:r>
      <w:r>
        <w:rPr>
          <w:sz w:val="22"/>
        </w:rPr>
      </w:r>
    </w:p>
    <w:p>
      <w:pPr>
        <w:pBdr/>
        <w:spacing w:after="120"/>
        <w:ind/>
        <w:jc w:val="both"/>
        <w:rPr>
          <w:sz w:val="22"/>
        </w:rPr>
      </w:pPr>
      <w:r>
        <w:rPr>
          <w:sz w:val="22"/>
        </w:rPr>
        <w:t xml:space="preserve">______________________,</w:t>
      </w:r>
      <w:r>
        <w:rPr>
          <w:sz w:val="22"/>
        </w:rPr>
        <w:t xml:space="preserve"> </w:t>
      </w:r>
      <w:r>
        <w:rPr>
          <w:sz w:val="22"/>
        </w:rPr>
        <w:t xml:space="preserve">именуемый в дальнейшем «Поставщик», </w:t>
      </w:r>
      <w:r>
        <w:rPr>
          <w:sz w:val="22"/>
        </w:rPr>
        <w:t xml:space="preserve">д</w:t>
      </w:r>
      <w:r>
        <w:rPr>
          <w:sz w:val="22"/>
        </w:rPr>
        <w:t xml:space="preserve">ействующий на основании </w:t>
      </w:r>
      <w:r>
        <w:rPr>
          <w:sz w:val="22"/>
        </w:rPr>
        <w:t xml:space="preserve">__________________________________.,</w:t>
      </w:r>
      <w:r>
        <w:rPr>
          <w:sz w:val="22"/>
        </w:rPr>
        <w:t xml:space="preserve"> </w:t>
      </w:r>
      <w:r>
        <w:rPr>
          <w:sz w:val="22"/>
        </w:rPr>
        <w:t xml:space="preserve">с</w:t>
      </w:r>
      <w:r>
        <w:rPr>
          <w:sz w:val="22"/>
        </w:rPr>
        <w:t xml:space="preserve"> одной стороны, и</w:t>
      </w:r>
      <w:r>
        <w:rPr>
          <w:sz w:val="22"/>
        </w:rPr>
      </w:r>
    </w:p>
    <w:p>
      <w:pPr>
        <w:pBdr/>
        <w:spacing w:after="120" w:before="120"/>
        <w:ind/>
        <w:jc w:val="both"/>
        <w:rPr>
          <w:sz w:val="22"/>
        </w:rPr>
      </w:pPr>
      <w:r>
        <w:rPr>
          <w:b/>
          <w:sz w:val="22"/>
        </w:rPr>
        <w:t xml:space="preserve">Федеральное государственное бюджетное учреждение науки "Кировский научно-исследовательский институт гематологии и перелива</w:t>
      </w:r>
      <w:r>
        <w:rPr>
          <w:b/>
          <w:sz w:val="22"/>
        </w:rPr>
        <w:t xml:space="preserve">ния крови Федерального медико-биологического агентства" (ФГБУН </w:t>
      </w:r>
      <w:r>
        <w:rPr>
          <w:b/>
          <w:sz w:val="22"/>
        </w:rPr>
        <w:t xml:space="preserve">КНИИГиПК</w:t>
      </w:r>
      <w:r>
        <w:rPr>
          <w:b/>
          <w:sz w:val="22"/>
        </w:rPr>
        <w:t xml:space="preserve"> ФМБА России)</w:t>
      </w:r>
      <w:r>
        <w:rPr>
          <w:sz w:val="22"/>
        </w:rPr>
        <w:t xml:space="preserve">,</w:t>
      </w:r>
      <w:r>
        <w:rPr>
          <w:sz w:val="22"/>
        </w:rPr>
        <w:t xml:space="preserve"> именуемое в дальнейшем «</w:t>
      </w:r>
      <w:r>
        <w:rPr>
          <w:sz w:val="22"/>
        </w:rPr>
        <w:t xml:space="preserve">Покупатель</w:t>
      </w:r>
      <w:r>
        <w:rPr>
          <w:sz w:val="22"/>
        </w:rPr>
        <w:t xml:space="preserve">»,</w:t>
      </w:r>
      <w:r>
        <w:rPr>
          <w:sz w:val="22"/>
        </w:rPr>
        <w:t xml:space="preserve"> в лице директора Парамонова Игоря Владимировича, действующего на основании Устава, </w:t>
      </w:r>
      <w:r>
        <w:rPr>
          <w:sz w:val="22"/>
        </w:rPr>
        <w:t xml:space="preserve">с другой стороны,</w:t>
      </w:r>
      <w:r>
        <w:rPr>
          <w:sz w:val="22"/>
        </w:rPr>
      </w:r>
    </w:p>
    <w:p>
      <w:pPr>
        <w:pBdr/>
        <w:spacing w:before="120"/>
        <w:ind/>
        <w:jc w:val="both"/>
        <w:rPr>
          <w:b/>
          <w:sz w:val="22"/>
        </w:rPr>
      </w:pPr>
      <w:r>
        <w:rPr>
          <w:sz w:val="22"/>
        </w:rPr>
        <w:t xml:space="preserve">в соответствии с </w:t>
      </w:r>
      <w:r>
        <w:rPr>
          <w:b/>
          <w:sz w:val="22"/>
        </w:rPr>
        <w:t xml:space="preserve">п.4 ч.1 ст.93 </w:t>
      </w:r>
      <w:r>
        <w:rPr>
          <w:sz w:val="22"/>
        </w:rPr>
        <w:t xml:space="preserve">Фед</w:t>
      </w:r>
      <w:r>
        <w:rPr>
          <w:sz w:val="22"/>
        </w:rPr>
        <w:t xml:space="preserve">ерального закона от 05.04.2013 г. № 44-ФЗ "О контрактной системе в сфере закупок товаров, работ, услуг для обеспечения государственных и муниципальных нужд" (далее - Федеральный закон о контрактной системе), заключили настоящий Договор (далее - Контракт) о</w:t>
      </w:r>
      <w:r>
        <w:rPr>
          <w:sz w:val="22"/>
        </w:rPr>
        <w:t xml:space="preserve"> нижеследующем:</w:t>
      </w:r>
      <w:r>
        <w:rPr>
          <w:b/>
          <w:sz w:val="22"/>
        </w:rPr>
        <w:t xml:space="preserve"> </w:t>
      </w:r>
      <w:r>
        <w:rPr>
          <w:b/>
          <w:sz w:val="22"/>
        </w:rPr>
      </w:r>
    </w:p>
    <w:p>
      <w:pPr>
        <w:pBdr/>
        <w:spacing w:after="120"/>
        <w:ind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1. Предмет договора</w:t>
      </w:r>
      <w:r>
        <w:rPr>
          <w:b/>
          <w:bCs/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1.1.</w:t>
      </w:r>
      <w:r>
        <w:rPr>
          <w:sz w:val="22"/>
        </w:rPr>
        <w:t xml:space="preserve"> </w:t>
      </w:r>
      <w:r>
        <w:rPr>
          <w:sz w:val="22"/>
        </w:rPr>
        <w:t xml:space="preserve">Покупатель</w:t>
      </w:r>
      <w:r>
        <w:rPr>
          <w:sz w:val="22"/>
        </w:rPr>
        <w:t xml:space="preserve"> поручает, а </w:t>
      </w:r>
      <w:r>
        <w:rPr>
          <w:sz w:val="22"/>
        </w:rPr>
        <w:t xml:space="preserve">Поставщик</w:t>
      </w:r>
      <w:r>
        <w:rPr>
          <w:sz w:val="22"/>
        </w:rPr>
        <w:t xml:space="preserve"> принимает на себя обязательства по </w:t>
      </w:r>
      <w:r>
        <w:rPr>
          <w:sz w:val="22"/>
        </w:rPr>
        <w:t xml:space="preserve">поставке </w:t>
      </w:r>
      <w:r>
        <w:rPr>
          <w:rFonts w:cs="Times New Roman"/>
          <w:sz w:val="22"/>
          <w:lang w:eastAsia="ru-RU"/>
        </w:rPr>
        <w:t xml:space="preserve">полигр</w:t>
      </w:r>
      <w:r>
        <w:rPr>
          <w:rFonts w:cs="Times New Roman"/>
          <w:sz w:val="22"/>
          <w:lang w:eastAsia="ru-RU"/>
        </w:rPr>
        <w:t xml:space="preserve">а</w:t>
      </w:r>
      <w:r>
        <w:rPr>
          <w:rFonts w:cs="Times New Roman"/>
          <w:sz w:val="22"/>
          <w:lang w:eastAsia="ru-RU"/>
        </w:rPr>
        <w:t xml:space="preserve">фической продукции</w:t>
      </w:r>
      <w:r>
        <w:rPr>
          <w:sz w:val="22"/>
        </w:rPr>
        <w:t xml:space="preserve"> (далее, </w:t>
      </w:r>
      <w:r>
        <w:rPr>
          <w:sz w:val="22"/>
        </w:rPr>
        <w:t xml:space="preserve">Товар</w:t>
      </w:r>
      <w:r>
        <w:rPr>
          <w:sz w:val="22"/>
        </w:rPr>
        <w:t xml:space="preserve">) </w:t>
      </w:r>
      <w:r>
        <w:rPr>
          <w:b/>
          <w:sz w:val="22"/>
        </w:rPr>
        <w:t xml:space="preserve">согласно прилагаемой к Договору спецификации</w:t>
      </w:r>
      <w:r>
        <w:rPr>
          <w:sz w:val="22"/>
        </w:rPr>
        <w:t xml:space="preserve">.</w:t>
      </w:r>
      <w:r>
        <w:rPr>
          <w:sz w:val="22"/>
        </w:rPr>
        <w:t xml:space="preserve"> </w:t>
      </w:r>
      <w:r>
        <w:rPr>
          <w:sz w:val="22"/>
        </w:rPr>
        <w:t xml:space="preserve">Покупатель</w:t>
      </w:r>
      <w:r>
        <w:rPr>
          <w:sz w:val="22"/>
        </w:rPr>
        <w:t xml:space="preserve"> обязуется своеврем</w:t>
      </w:r>
      <w:r>
        <w:rPr>
          <w:sz w:val="22"/>
        </w:rPr>
        <w:t xml:space="preserve">енно оплатить данн</w:t>
      </w:r>
      <w:r>
        <w:rPr>
          <w:sz w:val="22"/>
        </w:rPr>
        <w:t xml:space="preserve">ый</w:t>
      </w:r>
      <w:r>
        <w:rPr>
          <w:sz w:val="22"/>
        </w:rPr>
        <w:t xml:space="preserve"> </w:t>
      </w:r>
      <w:r>
        <w:rPr>
          <w:sz w:val="22"/>
        </w:rPr>
        <w:t xml:space="preserve">Товар</w:t>
      </w:r>
      <w:r>
        <w:rPr>
          <w:sz w:val="22"/>
        </w:rPr>
        <w:t xml:space="preserve">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1.2.</w:t>
      </w:r>
      <w:r>
        <w:rPr>
          <w:sz w:val="22"/>
        </w:rPr>
        <w:t xml:space="preserve"> Вид, наименование, формат, плотность</w:t>
      </w:r>
      <w:r>
        <w:rPr>
          <w:sz w:val="22"/>
        </w:rPr>
        <w:t xml:space="preserve"> бумаги</w:t>
      </w:r>
      <w:r>
        <w:rPr>
          <w:sz w:val="22"/>
        </w:rPr>
        <w:t xml:space="preserve">, иные требования к </w:t>
      </w:r>
      <w:r>
        <w:rPr>
          <w:sz w:val="22"/>
        </w:rPr>
        <w:t xml:space="preserve">Товару</w:t>
      </w:r>
      <w:r>
        <w:rPr>
          <w:sz w:val="22"/>
        </w:rPr>
        <w:t xml:space="preserve"> указываются в</w:t>
      </w:r>
      <w:r>
        <w:rPr>
          <w:sz w:val="22"/>
        </w:rPr>
        <w:t xml:space="preserve"> </w:t>
      </w:r>
      <w:r>
        <w:rPr>
          <w:sz w:val="22"/>
        </w:rPr>
        <w:t xml:space="preserve">прилагаемой к </w:t>
      </w:r>
      <w:r>
        <w:rPr>
          <w:sz w:val="22"/>
        </w:rPr>
        <w:t xml:space="preserve">настоящему </w:t>
      </w:r>
      <w:r>
        <w:rPr>
          <w:sz w:val="22"/>
        </w:rPr>
        <w:t xml:space="preserve">Договору </w:t>
      </w:r>
      <w:r>
        <w:rPr>
          <w:sz w:val="22"/>
        </w:rPr>
        <w:t xml:space="preserve">с</w:t>
      </w:r>
      <w:r>
        <w:rPr>
          <w:sz w:val="22"/>
        </w:rPr>
        <w:t xml:space="preserve">пецификации (Приложение-спецификация № 1).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1.3.</w:t>
      </w:r>
      <w:r>
        <w:rPr>
          <w:sz w:val="22"/>
        </w:rPr>
        <w:t xml:space="preserve"> Срок поставки </w:t>
      </w:r>
      <w:r>
        <w:rPr>
          <w:sz w:val="22"/>
        </w:rPr>
        <w:t xml:space="preserve">Товара</w:t>
      </w:r>
      <w:r>
        <w:rPr>
          <w:sz w:val="22"/>
        </w:rPr>
        <w:t xml:space="preserve">: </w:t>
      </w:r>
      <w:r>
        <w:rPr>
          <w:b/>
          <w:sz w:val="22"/>
        </w:rPr>
        <w:t xml:space="preserve">в течение 10 (десяти) рабочих дней с момента заключения Договора</w:t>
      </w:r>
      <w:r>
        <w:rPr>
          <w:sz w:val="22"/>
        </w:rPr>
        <w:t xml:space="preserve">.</w:t>
      </w:r>
      <w:r>
        <w:rPr>
          <w:sz w:val="22"/>
        </w:rPr>
      </w:r>
    </w:p>
    <w:p>
      <w:pPr>
        <w:pBdr/>
        <w:spacing w:after="120" w:before="120"/>
        <w:ind w:firstLine="28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2. Условия осуществления </w:t>
      </w:r>
      <w:r>
        <w:rPr>
          <w:b/>
          <w:bCs/>
          <w:sz w:val="22"/>
        </w:rPr>
        <w:t xml:space="preserve">поставки </w:t>
      </w:r>
      <w:r>
        <w:rPr>
          <w:b/>
          <w:bCs/>
          <w:sz w:val="22"/>
        </w:rPr>
        <w:t xml:space="preserve">Товара</w:t>
      </w:r>
      <w:r>
        <w:rPr>
          <w:b/>
          <w:bCs/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2.1.</w:t>
      </w:r>
      <w:r>
        <w:rPr>
          <w:sz w:val="22"/>
        </w:rPr>
        <w:t xml:space="preserve"> </w:t>
      </w:r>
      <w:r>
        <w:rPr>
          <w:sz w:val="22"/>
        </w:rPr>
        <w:t xml:space="preserve">Поставщик</w:t>
      </w:r>
      <w:r>
        <w:rPr>
          <w:sz w:val="22"/>
        </w:rPr>
        <w:t xml:space="preserve"> </w:t>
      </w:r>
      <w:r>
        <w:rPr>
          <w:sz w:val="22"/>
        </w:rPr>
        <w:t xml:space="preserve">выполняет поставку </w:t>
      </w:r>
      <w:r>
        <w:rPr>
          <w:sz w:val="22"/>
        </w:rPr>
        <w:t xml:space="preserve">Товара</w:t>
      </w:r>
      <w:r>
        <w:rPr>
          <w:sz w:val="22"/>
        </w:rPr>
        <w:t xml:space="preserve"> по Спецификации от </w:t>
      </w:r>
      <w:r>
        <w:rPr>
          <w:sz w:val="22"/>
        </w:rPr>
        <w:t xml:space="preserve">Покупателя</w:t>
      </w:r>
      <w:r>
        <w:rPr>
          <w:sz w:val="22"/>
        </w:rPr>
        <w:t xml:space="preserve"> в соответствии с прилагаемыми образцами или оригинал-макетами (в электронной версии). </w:t>
      </w:r>
      <w:r>
        <w:rPr>
          <w:sz w:val="22"/>
        </w:rPr>
        <w:t xml:space="preserve">Поставщик</w:t>
      </w:r>
      <w:r>
        <w:rPr>
          <w:sz w:val="22"/>
        </w:rPr>
        <w:t xml:space="preserve"> не несет ответственности за</w:t>
      </w:r>
      <w:r>
        <w:rPr>
          <w:sz w:val="22"/>
        </w:rPr>
        <w:t xml:space="preserve"> </w:t>
      </w:r>
      <w:r>
        <w:rPr>
          <w:sz w:val="22"/>
        </w:rPr>
        <w:t xml:space="preserve">достоверность и правильность информации и материалов, предоставленных </w:t>
      </w:r>
      <w:r>
        <w:rPr>
          <w:sz w:val="22"/>
        </w:rPr>
        <w:t xml:space="preserve">Покупателем</w:t>
      </w:r>
      <w:r>
        <w:rPr>
          <w:sz w:val="22"/>
        </w:rPr>
        <w:t xml:space="preserve">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2.2.</w:t>
      </w:r>
      <w:r>
        <w:rPr>
          <w:sz w:val="22"/>
        </w:rPr>
        <w:t xml:space="preserve"> Право собственности на </w:t>
      </w:r>
      <w:r>
        <w:rPr>
          <w:sz w:val="22"/>
        </w:rPr>
        <w:t xml:space="preserve">Товар</w:t>
      </w:r>
      <w:r>
        <w:rPr>
          <w:sz w:val="22"/>
        </w:rPr>
        <w:t xml:space="preserve"> переходит от </w:t>
      </w:r>
      <w:r>
        <w:rPr>
          <w:sz w:val="22"/>
        </w:rPr>
        <w:t xml:space="preserve">Поставщика</w:t>
      </w:r>
      <w:r>
        <w:rPr>
          <w:sz w:val="22"/>
        </w:rPr>
        <w:t xml:space="preserve"> к </w:t>
      </w:r>
      <w:r>
        <w:rPr>
          <w:sz w:val="22"/>
        </w:rPr>
        <w:t xml:space="preserve">Покупателю</w:t>
      </w:r>
      <w:r>
        <w:rPr>
          <w:sz w:val="22"/>
        </w:rPr>
        <w:t xml:space="preserve"> с момента отгрузки </w:t>
      </w:r>
      <w:r>
        <w:rPr>
          <w:sz w:val="22"/>
        </w:rPr>
        <w:t xml:space="preserve">Товара</w:t>
      </w:r>
      <w:r>
        <w:rPr>
          <w:sz w:val="22"/>
        </w:rPr>
        <w:t xml:space="preserve"> со</w:t>
      </w:r>
      <w:r>
        <w:rPr>
          <w:sz w:val="22"/>
        </w:rPr>
        <w:t xml:space="preserve"> </w:t>
      </w:r>
      <w:r>
        <w:rPr>
          <w:sz w:val="22"/>
        </w:rPr>
        <w:t xml:space="preserve">склада </w:t>
      </w:r>
      <w:r>
        <w:rPr>
          <w:sz w:val="22"/>
        </w:rPr>
        <w:t xml:space="preserve">Поставщика</w:t>
      </w:r>
      <w:r>
        <w:rPr>
          <w:sz w:val="22"/>
        </w:rPr>
        <w:t xml:space="preserve">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2.3.</w:t>
      </w:r>
      <w:r>
        <w:rPr>
          <w:sz w:val="22"/>
        </w:rPr>
        <w:t xml:space="preserve"> Доставка </w:t>
      </w:r>
      <w:r>
        <w:rPr>
          <w:sz w:val="22"/>
        </w:rPr>
        <w:t xml:space="preserve">Товара</w:t>
      </w:r>
      <w:r>
        <w:rPr>
          <w:sz w:val="22"/>
        </w:rPr>
        <w:t xml:space="preserve"> со склада </w:t>
      </w:r>
      <w:r>
        <w:rPr>
          <w:sz w:val="22"/>
        </w:rPr>
        <w:t xml:space="preserve">Поставщика</w:t>
      </w:r>
      <w:r>
        <w:rPr>
          <w:sz w:val="22"/>
        </w:rPr>
        <w:t xml:space="preserve"> осуществляется транспортом </w:t>
      </w:r>
      <w:r>
        <w:rPr>
          <w:sz w:val="22"/>
        </w:rPr>
        <w:t xml:space="preserve">Покупателя</w:t>
      </w:r>
      <w:r>
        <w:rPr>
          <w:sz w:val="22"/>
        </w:rPr>
        <w:t xml:space="preserve"> либо по</w:t>
      </w:r>
      <w:r>
        <w:rPr>
          <w:sz w:val="22"/>
        </w:rPr>
        <w:t xml:space="preserve"> </w:t>
      </w:r>
      <w:r>
        <w:rPr>
          <w:sz w:val="22"/>
        </w:rPr>
        <w:t xml:space="preserve">соглашению </w:t>
      </w:r>
      <w:r>
        <w:rPr>
          <w:sz w:val="22"/>
        </w:rPr>
        <w:t xml:space="preserve">С</w:t>
      </w:r>
      <w:r>
        <w:rPr>
          <w:sz w:val="22"/>
        </w:rPr>
        <w:t xml:space="preserve">торон – транспортом </w:t>
      </w:r>
      <w:r>
        <w:rPr>
          <w:sz w:val="22"/>
        </w:rPr>
        <w:t xml:space="preserve">Поставщика</w:t>
      </w:r>
      <w:r>
        <w:rPr>
          <w:sz w:val="22"/>
        </w:rPr>
        <w:t xml:space="preserve">. </w:t>
      </w:r>
      <w:r>
        <w:rPr>
          <w:sz w:val="22"/>
        </w:rPr>
      </w:r>
    </w:p>
    <w:p>
      <w:pPr>
        <w:pBdr/>
        <w:spacing w:after="120" w:before="120"/>
        <w:ind w:firstLine="28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3. Цена и порядок расчетов</w:t>
      </w:r>
      <w:r>
        <w:rPr>
          <w:b/>
          <w:bCs/>
          <w:sz w:val="22"/>
        </w:rPr>
      </w:r>
    </w:p>
    <w:p>
      <w:pPr>
        <w:pBdr/>
        <w:spacing/>
        <w:ind/>
        <w:jc w:val="both"/>
        <w:rPr>
          <w:color w:val="000000"/>
          <w:sz w:val="22"/>
          <w:szCs w:val="22"/>
        </w:rPr>
      </w:pPr>
      <w:r/>
      <w:bookmarkStart w:id="0" w:name="OCRUncertain271"/>
      <w:r/>
      <w:bookmarkEnd w:id="0"/>
      <w:r>
        <w:rPr>
          <w:b/>
          <w:sz w:val="22"/>
        </w:rPr>
        <w:t xml:space="preserve">3.1.</w:t>
      </w:r>
      <w:r>
        <w:rPr>
          <w:sz w:val="22"/>
        </w:rPr>
        <w:t xml:space="preserve"> Стоимость поставляемо</w:t>
      </w:r>
      <w:r>
        <w:rPr>
          <w:sz w:val="22"/>
        </w:rPr>
        <w:t xml:space="preserve">го</w:t>
      </w:r>
      <w:r>
        <w:rPr>
          <w:sz w:val="22"/>
        </w:rPr>
        <w:t xml:space="preserve"> </w:t>
      </w:r>
      <w:r>
        <w:rPr>
          <w:sz w:val="22"/>
        </w:rPr>
        <w:t xml:space="preserve">Товара</w:t>
      </w:r>
      <w:r>
        <w:rPr>
          <w:sz w:val="22"/>
        </w:rPr>
        <w:t xml:space="preserve"> по данному Договору составляет _____________________., в </w:t>
      </w:r>
      <w:r>
        <w:rPr>
          <w:sz w:val="22"/>
        </w:rPr>
        <w:t xml:space="preserve">т.ч</w:t>
      </w:r>
      <w:r>
        <w:rPr>
          <w:sz w:val="22"/>
        </w:rPr>
        <w:t xml:space="preserve">. НДС – ________________________.  </w:t>
      </w:r>
      <w:r>
        <w:rPr>
          <w:sz w:val="22"/>
        </w:rPr>
      </w:r>
      <w:r>
        <w:rPr>
          <w:color w:val="000000"/>
          <w:sz w:val="23"/>
          <w:szCs w:val="23"/>
        </w:rPr>
      </w:r>
      <w:r>
        <w:rPr>
          <w:rFonts w:eastAsia="Arial"/>
          <w:color w:val="000000"/>
          <w:sz w:val="23"/>
          <w:szCs w:val="23"/>
        </w:rPr>
        <w:t xml:space="preserve">Оплата по договору осуществляется в течение 7 (семи) рабочих дней с момента принятия товара и подписания Заказчиком документов о приемке товара. </w:t>
      </w:r>
      <w:r>
        <w:rPr>
          <w:color w:val="000000"/>
          <w:sz w:val="22"/>
          <w:szCs w:val="22"/>
        </w:rPr>
        <w:t xml:space="preserve"> Оплата по договору за поставленный и принятый товар осуществляется Заказчиком после представления Поставщиком следующих документов: </w:t>
      </w:r>
      <w:r>
        <w:rPr>
          <w:color w:val="000000"/>
          <w:sz w:val="22"/>
          <w:szCs w:val="22"/>
        </w:rPr>
        <w:br/>
      </w:r>
      <w:r>
        <w:rPr>
          <w:color w:val="000000"/>
          <w:sz w:val="22"/>
          <w:szCs w:val="22"/>
        </w:rPr>
      </w:r>
      <w:r>
        <w:rPr>
          <w:color w:val="000000"/>
          <w:sz w:val="22"/>
          <w:szCs w:val="22"/>
        </w:rPr>
        <w:t xml:space="preserve">счета/-счета-фактуры;</w:t>
      </w:r>
      <w:r/>
      <w:r>
        <w:rPr>
          <w:color w:val="000000"/>
          <w:sz w:val="22"/>
          <w:szCs w:val="22"/>
        </w:rPr>
      </w:r>
      <w:r/>
    </w:p>
    <w:p w14:paraId="15DDFC72">
      <w:pPr>
        <w:pBdr/>
        <w:spacing/>
        <w:ind/>
        <w:jc w:val="both"/>
        <w:rPr/>
      </w:pPr>
      <w:r>
        <w:rPr>
          <w:color w:val="000000"/>
          <w:sz w:val="22"/>
          <w:szCs w:val="22"/>
        </w:rPr>
        <w:t xml:space="preserve">- товарной накладной (товарных накладных) или УПД.</w:t>
      </w:r>
      <w:r/>
      <w:r/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3.2.</w:t>
      </w:r>
      <w:r>
        <w:rPr>
          <w:sz w:val="22"/>
        </w:rPr>
        <w:t xml:space="preserve"> Любое изменение цены допускается только по соглашению Сторон.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3.3.</w:t>
      </w:r>
      <w:r>
        <w:rPr>
          <w:sz w:val="22"/>
        </w:rPr>
        <w:t xml:space="preserve"> Товар отпускается только по доверенности.</w:t>
      </w:r>
      <w:r>
        <w:rPr>
          <w:sz w:val="22"/>
        </w:rPr>
      </w:r>
    </w:p>
    <w:p>
      <w:pPr>
        <w:pBdr/>
        <w:spacing w:before="120"/>
        <w:ind w:firstLine="28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4. Приемка </w:t>
      </w:r>
      <w:r>
        <w:rPr>
          <w:b/>
          <w:bCs/>
          <w:sz w:val="22"/>
        </w:rPr>
        <w:t xml:space="preserve">Т</w:t>
      </w:r>
      <w:r>
        <w:rPr>
          <w:b/>
          <w:bCs/>
          <w:sz w:val="22"/>
        </w:rPr>
        <w:t xml:space="preserve">овара</w:t>
      </w:r>
      <w:r>
        <w:rPr>
          <w:b/>
          <w:bCs/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4.1.</w:t>
      </w:r>
      <w:r>
        <w:rPr>
          <w:sz w:val="22"/>
        </w:rPr>
        <w:t xml:space="preserve"> </w:t>
      </w:r>
      <w:r>
        <w:rPr>
          <w:sz w:val="22"/>
        </w:rPr>
        <w:t xml:space="preserve">Приемка по количеству и качеству осуществляется представителем </w:t>
      </w:r>
      <w:r>
        <w:rPr>
          <w:sz w:val="22"/>
        </w:rPr>
        <w:t xml:space="preserve">Покупателя</w:t>
      </w:r>
      <w:r>
        <w:rPr>
          <w:sz w:val="22"/>
        </w:rPr>
        <w:t xml:space="preserve"> при получении </w:t>
      </w:r>
      <w:r>
        <w:rPr>
          <w:sz w:val="22"/>
        </w:rPr>
        <w:t xml:space="preserve">Товара</w:t>
      </w:r>
      <w:r>
        <w:rPr>
          <w:sz w:val="22"/>
        </w:rPr>
        <w:t xml:space="preserve"> со</w:t>
      </w:r>
      <w:r>
        <w:rPr>
          <w:sz w:val="22"/>
        </w:rPr>
        <w:t xml:space="preserve"> </w:t>
      </w:r>
      <w:r>
        <w:rPr>
          <w:sz w:val="22"/>
        </w:rPr>
        <w:t xml:space="preserve">склада </w:t>
      </w:r>
      <w:r>
        <w:rPr>
          <w:sz w:val="22"/>
        </w:rPr>
        <w:t xml:space="preserve">Поставщика</w:t>
      </w:r>
      <w:r>
        <w:rPr>
          <w:sz w:val="22"/>
        </w:rPr>
        <w:t xml:space="preserve"> в соответствии с выписанными накладными документами.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4.2.</w:t>
      </w:r>
      <w:r>
        <w:rPr>
          <w:sz w:val="22"/>
        </w:rPr>
        <w:t xml:space="preserve"> В случае обнаружения в поставляемо</w:t>
      </w:r>
      <w:r>
        <w:rPr>
          <w:sz w:val="22"/>
        </w:rPr>
        <w:t xml:space="preserve">м</w:t>
      </w:r>
      <w:r>
        <w:rPr>
          <w:sz w:val="22"/>
        </w:rPr>
        <w:t xml:space="preserve"> </w:t>
      </w:r>
      <w:r>
        <w:rPr>
          <w:sz w:val="22"/>
        </w:rPr>
        <w:t xml:space="preserve">Товаре</w:t>
      </w:r>
      <w:r>
        <w:rPr>
          <w:sz w:val="22"/>
        </w:rPr>
        <w:t xml:space="preserve"> недостатков или иных несоответств</w:t>
      </w:r>
      <w:r>
        <w:rPr>
          <w:sz w:val="22"/>
        </w:rPr>
        <w:t xml:space="preserve">ий условиям Договора </w:t>
      </w:r>
      <w:r>
        <w:rPr>
          <w:sz w:val="22"/>
        </w:rPr>
        <w:t xml:space="preserve">Покупатель</w:t>
      </w:r>
      <w:r>
        <w:rPr>
          <w:sz w:val="22"/>
        </w:rPr>
        <w:t xml:space="preserve"> не позднее чем в пятидневный срок с момента получения </w:t>
      </w:r>
      <w:r>
        <w:rPr>
          <w:sz w:val="22"/>
        </w:rPr>
        <w:t xml:space="preserve">Товара</w:t>
      </w:r>
      <w:r>
        <w:rPr>
          <w:sz w:val="22"/>
        </w:rPr>
        <w:t xml:space="preserve"> в письменном виде уведомляет об этом </w:t>
      </w:r>
      <w:r>
        <w:rPr>
          <w:sz w:val="22"/>
        </w:rPr>
        <w:t xml:space="preserve">Поставщика</w:t>
      </w:r>
      <w:r>
        <w:rPr>
          <w:sz w:val="22"/>
        </w:rPr>
        <w:t xml:space="preserve">. В случае несоблюдения указанного срока, </w:t>
      </w:r>
      <w:r>
        <w:rPr>
          <w:sz w:val="22"/>
        </w:rPr>
        <w:t xml:space="preserve">Товар</w:t>
      </w:r>
      <w:r>
        <w:rPr>
          <w:sz w:val="22"/>
        </w:rPr>
        <w:t xml:space="preserve"> считается принят</w:t>
      </w:r>
      <w:r>
        <w:rPr>
          <w:sz w:val="22"/>
        </w:rPr>
        <w:t xml:space="preserve">ым</w:t>
      </w:r>
      <w:r>
        <w:rPr>
          <w:sz w:val="22"/>
        </w:rPr>
        <w:t xml:space="preserve"> </w:t>
      </w:r>
      <w:r>
        <w:rPr>
          <w:sz w:val="22"/>
        </w:rPr>
        <w:t xml:space="preserve">Покупателем</w:t>
      </w:r>
      <w:r>
        <w:rPr>
          <w:sz w:val="22"/>
        </w:rPr>
        <w:t xml:space="preserve"> в</w:t>
      </w:r>
      <w:r>
        <w:rPr>
          <w:sz w:val="22"/>
        </w:rPr>
        <w:t xml:space="preserve"> </w:t>
      </w:r>
      <w:r>
        <w:rPr>
          <w:sz w:val="22"/>
        </w:rPr>
        <w:t xml:space="preserve">полном объеме.</w:t>
      </w:r>
      <w:r>
        <w:rPr>
          <w:sz w:val="22"/>
        </w:rPr>
      </w:r>
    </w:p>
    <w:p>
      <w:pPr>
        <w:pBdr/>
        <w:spacing/>
        <w:ind w:firstLine="28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5. Ответственн</w:t>
      </w:r>
      <w:r>
        <w:rPr>
          <w:b/>
          <w:bCs/>
          <w:sz w:val="22"/>
        </w:rPr>
        <w:t xml:space="preserve">ость Сторон</w:t>
      </w:r>
      <w:r>
        <w:rPr>
          <w:b/>
          <w:bCs/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5.1.</w:t>
      </w:r>
      <w:r>
        <w:rPr>
          <w:sz w:val="22"/>
        </w:rPr>
        <w:t xml:space="preserve"> </w:t>
      </w:r>
      <w:r>
        <w:rPr>
          <w:sz w:val="22"/>
        </w:rPr>
        <w:t xml:space="preserve"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РФ.</w:t>
      </w:r>
      <w:r>
        <w:rPr>
          <w:sz w:val="22"/>
        </w:rPr>
      </w:r>
    </w:p>
    <w:p>
      <w:pPr>
        <w:pBdr/>
        <w:spacing w:before="120"/>
        <w:ind w:firstLine="28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6. Порядок разрешения споров</w:t>
      </w:r>
      <w:r>
        <w:rPr>
          <w:b/>
          <w:bCs/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6.1.</w:t>
      </w:r>
      <w:r>
        <w:rPr>
          <w:sz w:val="22"/>
        </w:rPr>
        <w:t xml:space="preserve"> Все споры и разногласия, которые могут возникнут</w:t>
      </w:r>
      <w:r>
        <w:rPr>
          <w:sz w:val="22"/>
        </w:rPr>
        <w:t xml:space="preserve">ь по настоящему Договору, Стороны будут стремиться разрешить путем переговоров в претензионном порядке. Срок рассмотрения претензии 10 дней. 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6.2.</w:t>
      </w:r>
      <w:r>
        <w:rPr>
          <w:sz w:val="22"/>
        </w:rPr>
        <w:t xml:space="preserve"> В случае если указанные споры и разногласия не смогут быть решены путем переговоров, они подлежат рассмотрени</w:t>
      </w:r>
      <w:r>
        <w:rPr>
          <w:sz w:val="22"/>
        </w:rPr>
        <w:t xml:space="preserve">ю Арбитражным судом Кировской области.</w:t>
      </w:r>
      <w:r>
        <w:rPr>
          <w:sz w:val="22"/>
        </w:rPr>
      </w:r>
    </w:p>
    <w:p>
      <w:pPr>
        <w:pBdr/>
        <w:spacing w:before="120"/>
        <w:ind w:firstLine="284"/>
        <w:jc w:val="center"/>
        <w:rPr>
          <w:b/>
          <w:bCs/>
          <w:sz w:val="22"/>
        </w:rPr>
      </w:pPr>
      <w:r>
        <w:rPr>
          <w:b/>
          <w:bCs/>
          <w:sz w:val="22"/>
        </w:rPr>
        <w:t xml:space="preserve">7. Заключительные положения</w:t>
      </w:r>
      <w:r>
        <w:rPr>
          <w:b/>
          <w:bCs/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7.1.</w:t>
      </w:r>
      <w:r>
        <w:rPr>
          <w:sz w:val="22"/>
        </w:rPr>
        <w:t xml:space="preserve"> Настоящий Договор вступает в силу со дня подписания и действует до 31.12.2026 г.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7.2.</w:t>
      </w:r>
      <w:r>
        <w:rPr>
          <w:sz w:val="22"/>
        </w:rPr>
        <w:t xml:space="preserve"> Все изменения и дополнения к настоящему Договору должны быть составлены в письменной форме и подпи</w:t>
      </w:r>
      <w:r>
        <w:rPr>
          <w:sz w:val="22"/>
        </w:rPr>
        <w:t xml:space="preserve">саны уполномоченными представителями Сторон. 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7.3.</w:t>
      </w:r>
      <w:r>
        <w:rPr>
          <w:sz w:val="22"/>
        </w:rPr>
        <w:t xml:space="preserve"> Основания </w:t>
      </w:r>
      <w:r>
        <w:rPr>
          <w:sz w:val="22"/>
        </w:rPr>
        <w:t xml:space="preserve">для </w:t>
      </w:r>
      <w:r>
        <w:rPr>
          <w:sz w:val="22"/>
        </w:rPr>
        <w:t xml:space="preserve">расторжения и прекращения настоящего Договора определяются в соответствии с действующим законодательством. 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7.4.</w:t>
      </w:r>
      <w:r>
        <w:rPr>
          <w:sz w:val="22"/>
        </w:rPr>
        <w:t xml:space="preserve"> Настоящий договор составлен в 2 экземплярах, имеющих одинаковую юридическую силу, </w:t>
      </w:r>
      <w:r>
        <w:rPr>
          <w:sz w:val="22"/>
        </w:rPr>
        <w:t xml:space="preserve">по одному экземпляру для каждой Стороны.</w:t>
      </w:r>
      <w:r>
        <w:rPr>
          <w:sz w:val="22"/>
        </w:rPr>
      </w:r>
    </w:p>
    <w:p>
      <w:pPr>
        <w:pBdr/>
        <w:spacing/>
        <w:ind/>
        <w:jc w:val="both"/>
        <w:rPr>
          <w:sz w:val="22"/>
        </w:rPr>
      </w:pPr>
      <w:r>
        <w:rPr>
          <w:b/>
          <w:sz w:val="22"/>
        </w:rPr>
        <w:t xml:space="preserve">7.5.</w:t>
      </w:r>
      <w:r>
        <w:rPr>
          <w:sz w:val="22"/>
        </w:rPr>
        <w:t xml:space="preserve"> Права требования по настоящему Договору могут быть переданы третьим лицам одной Стороной только с письменного согласия другой Стороны.</w:t>
      </w:r>
      <w:r>
        <w:rPr>
          <w:sz w:val="22"/>
        </w:rPr>
      </w:r>
    </w:p>
    <w:p>
      <w:pPr>
        <w:pBdr/>
        <w:spacing w:after="120" w:before="120"/>
        <w:ind/>
        <w:rPr>
          <w:b/>
          <w:bCs/>
          <w:sz w:val="22"/>
        </w:rPr>
      </w:pPr>
      <w:r>
        <w:rPr>
          <w:b/>
          <w:bCs/>
          <w:sz w:val="22"/>
        </w:rPr>
        <w:t xml:space="preserve">                                                           8. Адреса и банк</w:t>
      </w:r>
      <w:r>
        <w:rPr>
          <w:b/>
          <w:bCs/>
          <w:sz w:val="22"/>
        </w:rPr>
        <w:t xml:space="preserve">овские реквизиты </w:t>
      </w:r>
      <w:r>
        <w:rPr>
          <w:b/>
          <w:bCs/>
          <w:sz w:val="22"/>
        </w:rPr>
        <w:t xml:space="preserve">С</w:t>
      </w:r>
      <w:r>
        <w:rPr>
          <w:b/>
          <w:bCs/>
          <w:sz w:val="22"/>
        </w:rPr>
        <w:t xml:space="preserve">торон:</w:t>
      </w:r>
      <w:r>
        <w:rPr>
          <w:b/>
          <w:bCs/>
          <w:sz w:val="22"/>
        </w:rPr>
      </w:r>
    </w:p>
    <w:tbl>
      <w:tblPr>
        <w:tblW w:w="10682" w:type="dxa"/>
        <w:tblBorders/>
        <w:tblLayout w:type="fixed"/>
        <w:tblLook w:val="04A0" w:firstRow="1" w:lastRow="0" w:firstColumn="1" w:lastColumn="0" w:noHBand="0" w:noVBand="1"/>
      </w:tblPr>
      <w:tblGrid>
        <w:gridCol w:w="5341"/>
        <w:gridCol w:w="5341"/>
      </w:tblGrid>
      <w:tr>
        <w:trPr/>
        <w:tc>
          <w:tcPr>
            <w:tcBorders/>
            <w:tcW w:w="5341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Поставщик</w:t>
            </w:r>
            <w:r>
              <w:rPr>
                <w:b/>
                <w:bCs/>
                <w:sz w:val="22"/>
              </w:rPr>
            </w:r>
          </w:p>
        </w:tc>
        <w:tc>
          <w:tcPr>
            <w:tcBorders/>
            <w:tcW w:w="5341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Покупатель</w:t>
            </w:r>
            <w:r>
              <w:rPr>
                <w:b/>
                <w:sz w:val="22"/>
              </w:rPr>
            </w:r>
          </w:p>
          <w:p>
            <w:pPr>
              <w:pBdr/>
              <w:spacing/>
              <w:ind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Федеральное государственное бюджетное учреждение науки «Кировский научно-исследовательский институт гематологии и переливания крови Федерального медико-биологического агентства»</w:t>
            </w:r>
            <w:r>
              <w:rPr>
                <w:b/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610027, </w:t>
            </w:r>
            <w:r>
              <w:rPr>
                <w:sz w:val="22"/>
              </w:rPr>
              <w:t xml:space="preserve">Кировская</w:t>
            </w:r>
            <w:r>
              <w:rPr>
                <w:sz w:val="22"/>
              </w:rPr>
              <w:t xml:space="preserve"> обл., г. Киров,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ул. </w:t>
            </w:r>
            <w:r>
              <w:rPr>
                <w:sz w:val="22"/>
              </w:rPr>
              <w:t xml:space="preserve">Красноармейская</w:t>
            </w:r>
            <w:r>
              <w:rPr>
                <w:sz w:val="22"/>
              </w:rPr>
              <w:t xml:space="preserve">, дом 72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ОГРН 1034316521051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ИНН/КПП 4346007656/434501001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УФК по Кировской области (ФГБУН  </w:t>
            </w:r>
            <w:r>
              <w:rPr>
                <w:sz w:val="22"/>
              </w:rPr>
              <w:t xml:space="preserve">КНИИГиПК</w:t>
            </w:r>
            <w:r>
              <w:rPr>
                <w:sz w:val="22"/>
              </w:rPr>
              <w:t xml:space="preserve"> ФМБА </w:t>
            </w:r>
            <w:r>
              <w:rPr>
                <w:sz w:val="22"/>
              </w:rPr>
              <w:t xml:space="preserve">России лицевой счет № 20406Ц17940, 21406Ц17940, 22406Ц17940)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р</w:t>
            </w:r>
            <w:r>
              <w:rPr>
                <w:sz w:val="22"/>
              </w:rPr>
              <w:t xml:space="preserve">/</w:t>
            </w:r>
            <w:r>
              <w:rPr>
                <w:sz w:val="22"/>
              </w:rPr>
              <w:t xml:space="preserve">сч</w:t>
            </w:r>
            <w:r>
              <w:rPr>
                <w:sz w:val="22"/>
              </w:rPr>
              <w:t xml:space="preserve">  03214643000000014000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в 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ОКЦ № 4 ВВГУ Банка России//УФК по Кировской области, 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г</w:t>
            </w:r>
            <w:r>
              <w:rPr>
                <w:rFonts w:eastAsia="Times New Roman" w:cs="Times New Roman"/>
                <w:sz w:val="22"/>
                <w:szCs w:val="22"/>
              </w:rPr>
              <w:t xml:space="preserve"> Киров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кор</w:t>
            </w:r>
            <w:r>
              <w:rPr>
                <w:sz w:val="22"/>
              </w:rPr>
              <w:t xml:space="preserve">/</w:t>
            </w:r>
            <w:r>
              <w:rPr>
                <w:sz w:val="22"/>
              </w:rPr>
              <w:t xml:space="preserve">сч</w:t>
            </w:r>
            <w:r>
              <w:rPr>
                <w:sz w:val="22"/>
              </w:rPr>
              <w:t xml:space="preserve">   40102810345370000033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БИК 013304182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Директор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_______________________ /И.В. Парамонов/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м.п</w:t>
            </w:r>
            <w:r>
              <w:rPr>
                <w:b/>
                <w:bCs/>
                <w:sz w:val="22"/>
              </w:rPr>
              <w:t xml:space="preserve">.</w:t>
            </w:r>
            <w:r>
              <w:rPr>
                <w:b/>
                <w:bCs/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</w:tc>
      </w:tr>
    </w:tbl>
    <w:p>
      <w:pPr>
        <w:pBdr/>
        <w:tabs>
          <w:tab w:val="center" w:leader="none" w:pos="5233"/>
        </w:tabs>
        <w:spacing/>
        <w:ind/>
        <w:rPr>
          <w:b/>
          <w:bCs/>
          <w:sz w:val="22"/>
        </w:rPr>
      </w:pPr>
      <w:r>
        <w:rPr>
          <w:b/>
          <w:bCs/>
          <w:sz w:val="22"/>
        </w:rPr>
        <w:tab/>
      </w:r>
      <w:r>
        <w:br w:type="page" w:clear="all"/>
      </w:r>
      <w:r>
        <w:rPr>
          <w:b/>
          <w:bCs/>
          <w:sz w:val="22"/>
        </w:rPr>
      </w:r>
    </w:p>
    <w:p>
      <w:pPr>
        <w:pBdr/>
        <w:tabs>
          <w:tab w:val="center" w:leader="none" w:pos="5233"/>
        </w:tabs>
        <w:spacing/>
        <w:ind/>
        <w:rPr>
          <w:sz w:val="22"/>
          <w:szCs w:val="22"/>
        </w:rPr>
      </w:pPr>
      <w:r>
        <w:rPr>
          <w:sz w:val="22"/>
          <w:szCs w:val="22"/>
        </w:rPr>
        <w:t xml:space="preserve">Прило</w:t>
      </w:r>
      <w:r>
        <w:rPr>
          <w:sz w:val="22"/>
          <w:szCs w:val="22"/>
        </w:rPr>
        <w:t xml:space="preserve">жение-спецификация № 1</w:t>
      </w:r>
      <w:r>
        <w:rPr>
          <w:sz w:val="22"/>
          <w:szCs w:val="22"/>
        </w:rPr>
      </w:r>
    </w:p>
    <w:p>
      <w:pPr>
        <w:pBdr/>
        <w:spacing w:line="276" w:lineRule="auto"/>
        <w:ind w:right="30" w:left="6521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 Договору №</w:t>
      </w:r>
      <w:r>
        <w:rPr>
          <w:b/>
          <w:sz w:val="22"/>
          <w:szCs w:val="22"/>
        </w:rPr>
        <w:t xml:space="preserve">_____</w:t>
      </w:r>
      <w:r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</w:r>
    </w:p>
    <w:p>
      <w:pPr>
        <w:pBdr/>
        <w:spacing w:line="276" w:lineRule="auto"/>
        <w:ind w:right="30" w:left="6521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 «</w:t>
      </w:r>
      <w:r>
        <w:rPr>
          <w:b/>
          <w:sz w:val="22"/>
          <w:szCs w:val="22"/>
        </w:rPr>
        <w:t xml:space="preserve">____</w:t>
      </w:r>
      <w:r>
        <w:rPr>
          <w:b/>
          <w:sz w:val="22"/>
          <w:szCs w:val="22"/>
        </w:rPr>
        <w:t xml:space="preserve">  »  </w:t>
      </w:r>
      <w:r>
        <w:rPr>
          <w:b/>
          <w:sz w:val="22"/>
          <w:szCs w:val="22"/>
        </w:rPr>
        <w:t xml:space="preserve">__________</w:t>
      </w:r>
      <w:r>
        <w:rPr>
          <w:b/>
          <w:sz w:val="22"/>
          <w:szCs w:val="22"/>
        </w:rPr>
        <w:t xml:space="preserve">     2026 г.</w:t>
      </w:r>
      <w:r>
        <w:rPr>
          <w:b/>
          <w:sz w:val="22"/>
          <w:szCs w:val="22"/>
        </w:rPr>
      </w:r>
    </w:p>
    <w:p>
      <w:pPr>
        <w:pBdr/>
        <w:spacing/>
        <w:ind w:left="5245"/>
        <w:jc w:val="both"/>
        <w:rPr>
          <w:sz w:val="6"/>
          <w:szCs w:val="6"/>
        </w:rPr>
      </w:pP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Style w:val="962"/>
        <w:pBdr/>
        <w:spacing/>
        <w:ind w:hanging="57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Спецификация № 1</w:t>
      </w:r>
      <w:r>
        <w:rPr>
          <w:b/>
          <w:bCs/>
          <w:sz w:val="22"/>
          <w:szCs w:val="22"/>
        </w:rPr>
      </w:r>
    </w:p>
    <w:p>
      <w:pPr>
        <w:pBdr/>
        <w:spacing/>
        <w:ind/>
        <w:jc w:val="center"/>
        <w:rPr>
          <w:b/>
          <w:bCs/>
          <w:sz w:val="6"/>
          <w:szCs w:val="6"/>
        </w:rPr>
      </w:pPr>
      <w:r>
        <w:rPr>
          <w:b/>
          <w:bCs/>
          <w:sz w:val="6"/>
          <w:szCs w:val="6"/>
        </w:rPr>
      </w:r>
      <w:r>
        <w:rPr>
          <w:b/>
          <w:bCs/>
          <w:sz w:val="6"/>
          <w:szCs w:val="6"/>
        </w:rPr>
      </w:r>
    </w:p>
    <w:p>
      <w:pPr>
        <w:pBdr/>
        <w:spacing/>
        <w:ind/>
        <w:rPr>
          <w:sz w:val="22"/>
          <w:szCs w:val="22"/>
        </w:rPr>
      </w:pPr>
      <w:r>
        <w:rPr>
          <w:sz w:val="22"/>
          <w:szCs w:val="22"/>
        </w:rPr>
        <w:t xml:space="preserve">г. Киров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</w:t>
      </w:r>
      <w:r>
        <w:rPr>
          <w:sz w:val="22"/>
          <w:szCs w:val="22"/>
        </w:rPr>
        <w:tab/>
        <w:t xml:space="preserve">                 </w:t>
      </w:r>
      <w:r>
        <w:rPr>
          <w:sz w:val="22"/>
          <w:szCs w:val="22"/>
        </w:rPr>
        <w:t xml:space="preserve">«</w:t>
      </w:r>
      <w:r>
        <w:rPr>
          <w:sz w:val="22"/>
          <w:szCs w:val="22"/>
        </w:rPr>
        <w:t xml:space="preserve">___</w:t>
      </w:r>
      <w:r>
        <w:rPr>
          <w:sz w:val="22"/>
          <w:szCs w:val="22"/>
        </w:rPr>
        <w:t xml:space="preserve"> »</w:t>
      </w:r>
      <w:r>
        <w:rPr>
          <w:sz w:val="22"/>
          <w:szCs w:val="22"/>
        </w:rPr>
        <w:t xml:space="preserve"> _________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2026 г.</w:t>
      </w:r>
      <w:r>
        <w:rPr>
          <w:sz w:val="22"/>
          <w:szCs w:val="22"/>
        </w:rPr>
      </w:r>
    </w:p>
    <w:p>
      <w:pPr>
        <w:pBdr/>
        <w:spacing/>
        <w:ind/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Bdr/>
        <w:spacing/>
        <w:ind/>
        <w:rPr>
          <w:sz w:val="6"/>
          <w:szCs w:val="6"/>
        </w:rPr>
      </w:pPr>
      <w:r>
        <w:rPr>
          <w:sz w:val="6"/>
          <w:szCs w:val="6"/>
        </w:rPr>
      </w:r>
      <w:r>
        <w:rPr>
          <w:sz w:val="6"/>
          <w:szCs w:val="6"/>
        </w:rPr>
      </w:r>
    </w:p>
    <w:tbl>
      <w:tblPr>
        <w:jc w:val="center"/>
        <w:tblW w:w="10638" w:type="dxa"/>
        <w:tblBorders/>
        <w:tblLayout w:type="fixed"/>
        <w:tblLook w:val="01E0" w:firstRow="1" w:lastRow="1" w:firstColumn="1" w:lastColumn="1" w:noHBand="0" w:noVBand="0"/>
      </w:tblPr>
      <w:tblGrid>
        <w:gridCol w:w="568"/>
        <w:gridCol w:w="3062"/>
        <w:gridCol w:w="2942"/>
        <w:gridCol w:w="1495"/>
        <w:gridCol w:w="1234"/>
        <w:gridCol w:w="1337"/>
      </w:tblGrid>
      <w:tr>
        <w:trPr>
          <w:jc w:val="center"/>
          <w:trHeight w:val="5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№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п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/п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Тип бумаги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2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Формат бумаги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Кол-во, шт.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Цена,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руб./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кг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,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с НДС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Общая стоимость, руб.,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с 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НДС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</w:tr>
      <w:tr>
        <w:trPr>
          <w:jc w:val="center"/>
          <w:trHeight w:val="5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  <w:t xml:space="preserve">1</w:t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2" w:type="dxa"/>
            <w:vAlign w:val="center"/>
            <w:textDirection w:val="lrTb"/>
            <w:noWrap w:val="false"/>
          </w:tcPr>
          <w:p w14:paraId="343B09AB">
            <w:pPr>
              <w:pBdr/>
              <w:spacing/>
              <w:ind/>
              <w:rPr/>
            </w:pPr>
            <w:r/>
            <w:r>
              <w:t xml:space="preserve">Лист интенсивного наблюдения  </w:t>
            </w:r>
            <w:r/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2" w:type="dxa"/>
            <w:vAlign w:val="center"/>
            <w:textDirection w:val="lrTb"/>
            <w:noWrap w:val="false"/>
          </w:tcPr>
          <w:p w14:paraId="3FEC9ED5">
            <w:pPr>
              <w:pBdr/>
              <w:spacing/>
              <w:ind/>
              <w:rPr/>
            </w:pPr>
            <w:r/>
            <w:r>
              <w:t xml:space="preserve">Лист интенсивного наблюдения Формат А4, печать 1+0, бумага офсетная, пл. 65 гр., книжная ориентация </w:t>
            </w:r>
            <w:r/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textDirection w:val="lrTb"/>
            <w:noWrap w:val="false"/>
          </w:tcPr>
          <w:p w14:paraId="7A19B2F3">
            <w:pPr>
              <w:pBdr/>
              <w:spacing/>
              <w:ind/>
              <w:jc w:val="center"/>
              <w:rPr/>
            </w:pPr>
            <w:r>
              <w:t xml:space="preserve">1000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</w:tr>
      <w:tr>
        <w:trPr>
          <w:jc w:val="center"/>
          <w:trHeight w:val="5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  <w:t xml:space="preserve">2</w:t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2" w:type="dxa"/>
            <w:vAlign w:val="center"/>
            <w:textDirection w:val="lrTb"/>
            <w:noWrap w:val="false"/>
          </w:tcPr>
          <w:p w14:paraId="676295F0">
            <w:pPr>
              <w:pBdr/>
              <w:spacing/>
              <w:ind/>
              <w:rPr/>
            </w:pPr>
            <w:r/>
            <w:r>
              <w:t xml:space="preserve">Авансовый отчет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2" w:type="dxa"/>
            <w:vAlign w:val="center"/>
            <w:textDirection w:val="lrTb"/>
            <w:noWrap w:val="false"/>
          </w:tcPr>
          <w:p w14:paraId="5CC68BCF">
            <w:pPr>
              <w:pBdr/>
              <w:spacing/>
              <w:ind/>
              <w:rPr/>
            </w:pPr>
            <w:r/>
            <w:r>
              <w:t xml:space="preserve">Авансовый отчет Формат А4, печать 1+1, бумага газетная, пл. 48,8 гр., ориентация книжная</w:t>
            </w:r>
            <w:r/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textDirection w:val="lrTb"/>
            <w:noWrap w:val="false"/>
          </w:tcPr>
          <w:p w14:paraId="17CD5F5B">
            <w:pPr>
              <w:pBdr/>
              <w:spacing/>
              <w:ind/>
              <w:jc w:val="center"/>
              <w:rPr/>
            </w:pPr>
            <w:r>
              <w:t xml:space="preserve">500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</w:tr>
      <w:tr>
        <w:trPr>
          <w:jc w:val="center"/>
          <w:trHeight w:val="5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  <w:t xml:space="preserve">3</w:t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2" w:type="dxa"/>
            <w:vAlign w:val="center"/>
            <w:textDirection w:val="lrTb"/>
            <w:noWrap w:val="false"/>
          </w:tcPr>
          <w:p w14:paraId="30C9A692">
            <w:pPr>
              <w:pBdr/>
              <w:spacing/>
              <w:ind/>
              <w:rPr/>
            </w:pPr>
            <w:r/>
            <w:r>
              <w:t xml:space="preserve">Результаты мед. обследования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2" w:type="dxa"/>
            <w:vAlign w:val="center"/>
            <w:textDirection w:val="lrTb"/>
            <w:noWrap w:val="false"/>
          </w:tcPr>
          <w:p w14:paraId="10390AF0">
            <w:pPr>
              <w:pBdr/>
              <w:spacing/>
              <w:ind/>
              <w:rPr/>
            </w:pPr>
            <w:r/>
            <w:r>
              <w:t xml:space="preserve">Результаты мед. обследования Формат А4, печать 1+1, бумага офсетная, пл. 65 гр., книжная ориентация </w:t>
            </w:r>
            <w:r/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textDirection w:val="lrTb"/>
            <w:noWrap w:val="false"/>
          </w:tcPr>
          <w:p w14:paraId="35E6DA65">
            <w:pPr>
              <w:pBdr/>
              <w:spacing/>
              <w:ind/>
              <w:jc w:val="center"/>
              <w:rPr/>
            </w:pPr>
            <w:r>
              <w:t xml:space="preserve">4000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</w:tr>
      <w:tr>
        <w:trPr>
          <w:jc w:val="center"/>
          <w:trHeight w:val="57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8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  <w:t xml:space="preserve">4</w:t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2" w:type="dxa"/>
            <w:vAlign w:val="center"/>
            <w:textDirection w:val="lrTb"/>
            <w:noWrap w:val="false"/>
          </w:tcPr>
          <w:p w14:paraId="5D382AA3">
            <w:pPr>
              <w:pBdr/>
              <w:spacing/>
              <w:ind/>
              <w:rPr/>
            </w:pPr>
            <w:r/>
            <w:r>
              <w:t xml:space="preserve">ИДС на проведение обследования на ВИЧ-инфекцию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42" w:type="dxa"/>
            <w:vAlign w:val="center"/>
            <w:textDirection w:val="lrTb"/>
            <w:noWrap w:val="false"/>
          </w:tcPr>
          <w:p w14:paraId="7096F090">
            <w:pPr>
              <w:pBdr/>
              <w:spacing/>
              <w:ind/>
              <w:rPr/>
            </w:pPr>
            <w:r/>
            <w:r>
              <w:t xml:space="preserve">ИДС на проведение обследования на ВИЧинфекцию Формат А4, печать 1+0, бумага офсетная, пл. 65 гр., книжная ориентация</w:t>
            </w:r>
            <w:r/>
            <w:r>
              <w:rPr>
                <w:rFonts w:ascii="Times New Roman" w:hAnsi="Times New Roman" w:eastAsia="Times New Roman" w:cs="Times New Roman"/>
                <w:sz w:val="24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95" w:type="dxa"/>
            <w:vAlign w:val="center"/>
            <w:textDirection w:val="lrTb"/>
            <w:noWrap w:val="false"/>
          </w:tcPr>
          <w:p w14:paraId="2F136CF3">
            <w:pPr>
              <w:pBdr/>
              <w:spacing/>
              <w:ind/>
              <w:jc w:val="center"/>
              <w:rPr/>
            </w:pPr>
            <w:r>
              <w:t xml:space="preserve">2000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34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sz w:val="20"/>
                <w:szCs w:val="21"/>
                <w:lang w:eastAsia="en-US"/>
              </w:rPr>
            </w:pPr>
            <w:r>
              <w:rPr>
                <w:rFonts w:eastAsia="Calibri"/>
                <w:sz w:val="20"/>
                <w:szCs w:val="21"/>
                <w:lang w:eastAsia="en-US"/>
              </w:rPr>
            </w:r>
            <w:r>
              <w:rPr>
                <w:rFonts w:eastAsia="Calibri"/>
                <w:sz w:val="20"/>
                <w:szCs w:val="21"/>
                <w:lang w:eastAsia="en-US"/>
              </w:rPr>
            </w:r>
          </w:p>
        </w:tc>
      </w:tr>
      <w:tr>
        <w:trPr>
          <w:jc w:val="center"/>
          <w:trHeight w:val="575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301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right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  <w:t xml:space="preserve">ИТОГО:</w:t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7" w:type="dxa"/>
            <w:vAlign w:val="center"/>
            <w:textDirection w:val="lrTb"/>
            <w:noWrap w:val="false"/>
          </w:tcPr>
          <w:p>
            <w:pPr>
              <w:pBdr/>
              <w:spacing/>
              <w:ind/>
              <w:jc w:val="center"/>
              <w:rPr>
                <w:rFonts w:eastAsia="Calibri"/>
                <w:b/>
                <w:sz w:val="20"/>
                <w:szCs w:val="21"/>
                <w:lang w:eastAsia="en-US"/>
              </w:rPr>
            </w:pP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  <w:r>
              <w:rPr>
                <w:rFonts w:eastAsia="Calibri"/>
                <w:b/>
                <w:sz w:val="20"/>
                <w:szCs w:val="21"/>
                <w:lang w:eastAsia="en-US"/>
              </w:rPr>
            </w:r>
          </w:p>
        </w:tc>
      </w:tr>
    </w:tbl>
    <w:p>
      <w:pPr>
        <w:pBdr/>
        <w:spacing/>
        <w:ind/>
        <w:rPr>
          <w:sz w:val="6"/>
          <w:szCs w:val="6"/>
        </w:rPr>
      </w:pPr>
      <w:r>
        <w:rPr>
          <w:sz w:val="6"/>
          <w:szCs w:val="6"/>
        </w:rPr>
      </w:r>
      <w:r>
        <w:rPr>
          <w:sz w:val="6"/>
          <w:szCs w:val="6"/>
        </w:rPr>
      </w:r>
    </w:p>
    <w:p>
      <w:pPr>
        <w:pBdr/>
        <w:tabs>
          <w:tab w:val="left" w:leader="none" w:pos="1140"/>
        </w:tabs>
        <w:spacing/>
        <w:ind/>
        <w:jc w:val="both"/>
        <w:rPr>
          <w:sz w:val="22"/>
          <w:szCs w:val="22"/>
          <w:lang w:eastAsia="zh-CN" w:bidi="hi-IN"/>
        </w:rPr>
      </w:pPr>
      <w:r>
        <w:rPr>
          <w:rFonts w:eastAsia="Calibri"/>
          <w:sz w:val="22"/>
          <w:szCs w:val="22"/>
          <w:lang w:eastAsia="en-US"/>
        </w:rPr>
        <w:t xml:space="preserve">Общая стоимость полиграфической продукции</w:t>
      </w:r>
      <w:r>
        <w:rPr>
          <w:sz w:val="22"/>
          <w:szCs w:val="22"/>
          <w:lang w:eastAsia="zh-CN" w:bidi="hi-IN"/>
        </w:rPr>
        <w:t xml:space="preserve"> </w:t>
      </w:r>
      <w:bookmarkStart w:id="1" w:name="_GoBack"/>
      <w:r/>
      <w:bookmarkEnd w:id="1"/>
      <w:r>
        <w:rPr>
          <w:sz w:val="22"/>
          <w:szCs w:val="22"/>
          <w:lang w:eastAsia="zh-CN" w:bidi="hi-IN"/>
        </w:rPr>
        <w:t xml:space="preserve">составляет _________________., в </w:t>
      </w:r>
      <w:r>
        <w:rPr>
          <w:sz w:val="22"/>
          <w:szCs w:val="22"/>
          <w:lang w:eastAsia="zh-CN" w:bidi="hi-IN"/>
        </w:rPr>
        <w:t xml:space="preserve">т.ч</w:t>
      </w:r>
      <w:r>
        <w:rPr>
          <w:sz w:val="22"/>
          <w:szCs w:val="22"/>
          <w:lang w:eastAsia="zh-CN" w:bidi="hi-IN"/>
        </w:rPr>
        <w:t xml:space="preserve">. НДС – </w:t>
      </w:r>
      <w:r>
        <w:rPr>
          <w:sz w:val="22"/>
          <w:szCs w:val="22"/>
          <w:lang w:eastAsia="zh-CN" w:bidi="hi-IN"/>
        </w:rPr>
      </w:r>
    </w:p>
    <w:p>
      <w:pPr>
        <w:pBdr/>
        <w:tabs>
          <w:tab w:val="left" w:leader="none" w:pos="1140"/>
        </w:tabs>
        <w:spacing/>
        <w:ind/>
        <w:jc w:val="both"/>
        <w:rPr>
          <w:sz w:val="22"/>
          <w:szCs w:val="22"/>
          <w:lang w:eastAsia="zh-CN" w:bidi="hi-IN"/>
        </w:rPr>
      </w:pPr>
      <w:r>
        <w:rPr>
          <w:sz w:val="22"/>
          <w:szCs w:val="22"/>
          <w:lang w:eastAsia="zh-CN" w:bidi="hi-IN"/>
        </w:rPr>
        <w:t xml:space="preserve">Срок изготовления – 1</w:t>
      </w:r>
      <w:r>
        <w:rPr>
          <w:sz w:val="22"/>
          <w:szCs w:val="22"/>
          <w:lang w:eastAsia="zh-CN" w:bidi="hi-IN"/>
        </w:rPr>
        <w:t xml:space="preserve">0</w:t>
      </w:r>
      <w:r>
        <w:rPr>
          <w:sz w:val="22"/>
          <w:szCs w:val="22"/>
          <w:lang w:eastAsia="zh-CN" w:bidi="hi-IN"/>
        </w:rPr>
        <w:t xml:space="preserve"> </w:t>
      </w:r>
      <w:r>
        <w:rPr>
          <w:sz w:val="22"/>
          <w:szCs w:val="22"/>
          <w:lang w:eastAsia="zh-CN" w:bidi="hi-IN"/>
        </w:rPr>
        <w:t xml:space="preserve">(десять)</w:t>
      </w:r>
      <w:r>
        <w:rPr>
          <w:sz w:val="22"/>
          <w:szCs w:val="22"/>
          <w:lang w:eastAsia="zh-CN" w:bidi="hi-IN"/>
        </w:rPr>
        <w:t xml:space="preserve"> рабочих дней с момента</w:t>
      </w:r>
      <w:r>
        <w:rPr>
          <w:sz w:val="22"/>
          <w:szCs w:val="22"/>
          <w:lang w:eastAsia="zh-CN" w:bidi="hi-IN"/>
        </w:rPr>
        <w:t xml:space="preserve"> подписания договора при условии своевременного предоставления / согласования оригинала макета в работу.</w:t>
      </w:r>
      <w:r>
        <w:rPr>
          <w:sz w:val="22"/>
          <w:szCs w:val="22"/>
          <w:lang w:eastAsia="zh-CN" w:bidi="hi-IN"/>
        </w:rPr>
      </w:r>
    </w:p>
    <w:p>
      <w:pPr>
        <w:pBdr/>
        <w:tabs>
          <w:tab w:val="left" w:leader="none" w:pos="1140"/>
        </w:tabs>
        <w:spacing/>
        <w:ind/>
        <w:jc w:val="both"/>
        <w:rPr>
          <w:sz w:val="22"/>
          <w:szCs w:val="22"/>
          <w:lang w:eastAsia="zh-CN" w:bidi="hi-IN"/>
        </w:rPr>
      </w:pPr>
      <w:r>
        <w:rPr>
          <w:sz w:val="22"/>
          <w:szCs w:val="22"/>
          <w:lang w:eastAsia="zh-CN" w:bidi="hi-IN"/>
        </w:rPr>
        <w:t xml:space="preserve">Срок поставки – 2 </w:t>
      </w:r>
      <w:r>
        <w:rPr>
          <w:sz w:val="22"/>
          <w:szCs w:val="22"/>
          <w:lang w:eastAsia="zh-CN" w:bidi="hi-IN"/>
        </w:rPr>
        <w:t xml:space="preserve">(два)</w:t>
      </w:r>
      <w:r>
        <w:rPr>
          <w:sz w:val="22"/>
          <w:szCs w:val="22"/>
          <w:lang w:eastAsia="zh-CN" w:bidi="hi-IN"/>
        </w:rPr>
        <w:t xml:space="preserve"> дня с момента готовности продукции.</w:t>
      </w:r>
      <w:r>
        <w:rPr>
          <w:sz w:val="22"/>
          <w:szCs w:val="22"/>
          <w:lang w:eastAsia="zh-CN" w:bidi="hi-IN"/>
        </w:rPr>
      </w:r>
    </w:p>
    <w:p>
      <w:pPr>
        <w:pBdr/>
        <w:tabs>
          <w:tab w:val="left" w:leader="none" w:pos="1140"/>
        </w:tabs>
        <w:spacing/>
        <w:ind/>
        <w:jc w:val="both"/>
        <w:rPr>
          <w:sz w:val="22"/>
          <w:szCs w:val="22"/>
          <w:lang w:eastAsia="zh-CN" w:bidi="hi-IN"/>
        </w:rPr>
      </w:pPr>
      <w:r>
        <w:rPr>
          <w:sz w:val="22"/>
          <w:szCs w:val="22"/>
          <w:lang w:eastAsia="zh-CN" w:bidi="hi-IN"/>
        </w:rPr>
      </w:r>
      <w:r>
        <w:rPr>
          <w:sz w:val="22"/>
          <w:szCs w:val="22"/>
          <w:lang w:eastAsia="zh-CN" w:bidi="hi-IN"/>
        </w:rPr>
      </w:r>
    </w:p>
    <w:tbl>
      <w:tblPr>
        <w:tblW w:w="10682" w:type="dxa"/>
        <w:tblBorders/>
        <w:tblLayout w:type="fixed"/>
        <w:tblLook w:val="04A0" w:firstRow="1" w:lastRow="0" w:firstColumn="1" w:lastColumn="0" w:noHBand="0" w:noVBand="1"/>
      </w:tblPr>
      <w:tblGrid>
        <w:gridCol w:w="5342"/>
        <w:gridCol w:w="5340"/>
      </w:tblGrid>
      <w:tr>
        <w:trPr/>
        <w:tc>
          <w:tcPr>
            <w:tcBorders/>
            <w:tcW w:w="5341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Поставщик</w:t>
            </w:r>
            <w:r>
              <w:rPr>
                <w:b/>
                <w:bCs/>
                <w:sz w:val="22"/>
              </w:rPr>
            </w:r>
          </w:p>
          <w:p>
            <w:pPr>
              <w:pBdr/>
              <w:spacing/>
              <w:ind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  <w:p>
            <w:pPr>
              <w:pBdr/>
              <w:spacing/>
              <w:ind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Индивидуальный предприниматель</w:t>
            </w:r>
            <w:r>
              <w:rPr>
                <w:bCs/>
                <w:sz w:val="22"/>
              </w:rPr>
            </w:r>
          </w:p>
          <w:p>
            <w:pPr>
              <w:pBdr/>
              <w:spacing/>
              <w:ind/>
              <w:rPr>
                <w:bCs/>
                <w:sz w:val="22"/>
              </w:rPr>
            </w:pPr>
            <w:r>
              <w:rPr>
                <w:bCs/>
                <w:sz w:val="22"/>
              </w:rPr>
            </w:r>
            <w:r>
              <w:rPr>
                <w:bCs/>
                <w:sz w:val="22"/>
              </w:rPr>
            </w:r>
          </w:p>
          <w:p>
            <w:pPr>
              <w:pBdr/>
              <w:spacing/>
              <w:ind/>
              <w:rPr>
                <w:bCs/>
                <w:sz w:val="22"/>
              </w:rPr>
            </w:pPr>
            <w:r>
              <w:rPr>
                <w:bCs/>
                <w:sz w:val="22"/>
              </w:rPr>
              <w:t xml:space="preserve">_____________________________ /Н.А. Лузина/</w:t>
            </w:r>
            <w:r>
              <w:rPr>
                <w:bCs/>
                <w:sz w:val="22"/>
              </w:rPr>
            </w:r>
          </w:p>
          <w:p>
            <w:pPr>
              <w:pBdr/>
              <w:spacing/>
              <w:ind/>
              <w:rPr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м.п</w:t>
            </w:r>
            <w:r>
              <w:rPr>
                <w:b/>
                <w:bCs/>
                <w:sz w:val="22"/>
              </w:rPr>
              <w:t xml:space="preserve">.</w:t>
            </w:r>
            <w:r>
              <w:rPr>
                <w:bCs/>
                <w:sz w:val="22"/>
              </w:rPr>
            </w:r>
          </w:p>
        </w:tc>
        <w:tc>
          <w:tcPr>
            <w:tcBorders/>
            <w:tcW w:w="5340" w:type="dxa"/>
            <w:textDirection w:val="lrTb"/>
            <w:noWrap w:val="false"/>
          </w:tcPr>
          <w:p>
            <w:pPr>
              <w:pBdr/>
              <w:spacing/>
              <w:ind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Покупатель</w:t>
            </w:r>
            <w:r>
              <w:rPr>
                <w:b/>
                <w:sz w:val="22"/>
              </w:rPr>
            </w:r>
          </w:p>
          <w:p>
            <w:pPr>
              <w:pBdr/>
              <w:spacing/>
              <w:ind/>
              <w:rPr>
                <w:b/>
                <w:sz w:val="22"/>
              </w:rPr>
            </w:pPr>
            <w:r>
              <w:rPr>
                <w:b/>
                <w:sz w:val="22"/>
              </w:rPr>
            </w:r>
            <w:r>
              <w:rPr>
                <w:b/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Директор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  <w:t xml:space="preserve">_______________________ /И.В. Парамонов/</w:t>
            </w:r>
            <w:r>
              <w:rPr>
                <w:sz w:val="22"/>
              </w:rPr>
            </w:r>
          </w:p>
          <w:p>
            <w:pPr>
              <w:pBdr/>
              <w:spacing/>
              <w:ind/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 xml:space="preserve">м.п</w:t>
            </w:r>
            <w:r>
              <w:rPr>
                <w:b/>
                <w:bCs/>
                <w:sz w:val="22"/>
              </w:rPr>
              <w:t xml:space="preserve">.</w:t>
            </w:r>
            <w:r>
              <w:rPr>
                <w:b/>
                <w:bCs/>
                <w:sz w:val="22"/>
              </w:rPr>
            </w:r>
          </w:p>
          <w:p>
            <w:pPr>
              <w:pBdr/>
              <w:spacing/>
              <w:ind/>
              <w:rPr>
                <w:sz w:val="22"/>
              </w:rPr>
            </w:pPr>
            <w:r>
              <w:rPr>
                <w:sz w:val="22"/>
              </w:rPr>
            </w:r>
            <w:r>
              <w:rPr>
                <w:sz w:val="22"/>
              </w:rPr>
            </w:r>
          </w:p>
        </w:tc>
      </w:tr>
    </w:tbl>
    <w:p>
      <w:pPr>
        <w:pBdr/>
        <w:tabs>
          <w:tab w:val="left" w:leader="none" w:pos="1140"/>
        </w:tabs>
        <w:spacing/>
        <w:ind/>
        <w:jc w:val="both"/>
        <w:rPr>
          <w:sz w:val="22"/>
          <w:szCs w:val="22"/>
          <w:lang w:eastAsia="zh-CN" w:bidi="hi-IN"/>
        </w:rPr>
      </w:pPr>
      <w:r>
        <w:rPr>
          <w:sz w:val="22"/>
          <w:szCs w:val="22"/>
          <w:lang w:eastAsia="zh-CN" w:bidi="hi-IN"/>
        </w:rPr>
      </w:r>
      <w:r>
        <w:rPr>
          <w:sz w:val="22"/>
          <w:szCs w:val="22"/>
          <w:lang w:eastAsia="zh-CN" w:bidi="hi-IN"/>
        </w:rPr>
      </w:r>
    </w:p>
    <w:sectPr>
      <w:footerReference w:type="default" r:id="rId9"/>
      <w:footerReference w:type="even" r:id="rId10"/>
      <w:footerReference w:type="first" r:id="rId11"/>
      <w:footnotePr/>
      <w:endnotePr/>
      <w:type w:val="nextPage"/>
      <w:pgSz w:h="16838" w:orient="portrait" w:w="11906"/>
      <w:pgMar w:top="720" w:right="720" w:bottom="777" w:left="720" w:header="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ahoma">
    <w:panose1 w:val="020B0604030504040204"/>
  </w:font>
  <w:font w:name="Cambria">
    <w:panose1 w:val="02040503050406030204"/>
  </w:font>
  <w:font w:name="Arial Unicode MS">
    <w:panose1 w:val="020B0604020202020204"/>
  </w:font>
  <w:font w:name="NSimSun">
    <w:panose1 w:val="02010609030101010101"/>
  </w:font>
  <w:font w:name="Arial">
    <w:panose1 w:val="020B0604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pBdr/>
      <w:spacing/>
      <w:ind/>
      <w:jc w:val="right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3</w:t>
    </w:r>
    <w:r>
      <w:fldChar w:fldCharType="end"/>
    </w:r>
    <w:r/>
  </w:p>
  <w:p>
    <w:pPr>
      <w:pStyle w:val="941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pBdr/>
      <w:spacing/>
      <w:ind/>
      <w:jc w:val="right"/>
      <w:rPr/>
    </w:pPr>
    <w:r>
      <w:fldChar w:fldCharType="begin"/>
    </w:r>
    <w:r>
      <w:instrText xml:space="preserve"> PAGE </w:instrText>
    </w:r>
    <w:r>
      <w:fldChar w:fldCharType="separate"/>
    </w:r>
    <w:r>
      <w:t xml:space="preserve">1</w:t>
    </w:r>
    <w:r>
      <w:fldChar w:fldCharType="end"/>
    </w:r>
    <w:r/>
  </w:p>
  <w:p>
    <w:pPr>
      <w:pStyle w:val="94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432" w:left="432"/>
      </w:pPr>
      <w:pStyle w:val="877"/>
      <w:rPr/>
      <w:start w:val="1"/>
      <w:suff w:val="nothing"/>
    </w:lvl>
    <w:lvl w:ilvl="1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576" w:left="576"/>
      </w:pPr>
      <w:rPr/>
      <w:start w:val="1"/>
      <w:suff w:val="nothing"/>
    </w:lvl>
    <w:lvl w:ilvl="2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720" w:left="720"/>
      </w:pPr>
      <w:rPr/>
      <w:start w:val="1"/>
      <w:suff w:val="nothing"/>
    </w:lvl>
    <w:lvl w:ilvl="3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864" w:left="864"/>
      </w:pPr>
      <w:rPr/>
      <w:start w:val="1"/>
      <w:suff w:val="nothing"/>
    </w:lvl>
    <w:lvl w:ilvl="4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1008" w:left="1008"/>
      </w:pPr>
      <w:rPr/>
      <w:start w:val="1"/>
      <w:suff w:val="nothing"/>
    </w:lvl>
    <w:lvl w:ilvl="5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1152" w:left="1152"/>
      </w:pPr>
      <w:rPr/>
      <w:start w:val="1"/>
      <w:suff w:val="nothing"/>
    </w:lvl>
    <w:lvl w:ilvl="6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1296" w:left="1296"/>
      </w:pPr>
      <w:rPr/>
      <w:start w:val="1"/>
      <w:suff w:val="nothing"/>
    </w:lvl>
    <w:lvl w:ilvl="7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1440" w:left="1440"/>
      </w:pPr>
      <w:rPr/>
      <w:start w:val="1"/>
      <w:suff w:val="nothing"/>
    </w:lvl>
    <w:lvl w:ilvl="8">
      <w:isLgl w:val="true"/>
      <w:lvlJc w:val="left"/>
      <w:lvlText w:val=""/>
      <w:numFmt w:val="decimal"/>
      <w:pPr>
        <w:pBdr/>
        <w:tabs>
          <w:tab w:val="num" w:leader="none" w:pos="0"/>
        </w:tabs>
        <w:spacing/>
        <w:ind w:hanging="1584" w:left="1584"/>
      </w:pPr>
      <w:rPr/>
      <w:start w:val="1"/>
      <w:suff w:val="nothing"/>
    </w:lvl>
  </w:abstractNum>
  <w:abstractNum w:abstractNumId="1">
    <w:lvl w:ilvl="0">
      <w:isLgl w:val="tru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5"/>
      <w:suff w:val="tab"/>
    </w:lvl>
    <w:lvl w:ilvl="1">
      <w:isLgl w:val="true"/>
      <w:lvlJc w:val="left"/>
      <w:lvlText w:val="%1.%2."/>
      <w:numFmt w:val="decimal"/>
      <w:pPr>
        <w:pBdr/>
        <w:tabs>
          <w:tab w:val="num" w:leader="none" w:pos="1080"/>
        </w:tabs>
        <w:spacing/>
        <w:ind w:hanging="360" w:left="1080"/>
      </w:pPr>
      <w:rPr/>
      <w:start w:val="1"/>
      <w:suff w:val="tab"/>
    </w:lvl>
    <w:lvl w:ilvl="2">
      <w:isLgl w:val="true"/>
      <w:lvlJc w:val="left"/>
      <w:lvlText w:val="%1.%2.%3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3">
      <w:isLgl w:val="true"/>
      <w:lvlJc w:val="left"/>
      <w:lvlText w:val="%1.%2.%3.%4."/>
      <w:numFmt w:val="decimal"/>
      <w:pPr>
        <w:pBdr/>
        <w:tabs>
          <w:tab w:val="num" w:leader="none" w:pos="1800"/>
        </w:tabs>
        <w:spacing/>
        <w:ind w:hanging="360" w:left="1800"/>
      </w:pPr>
      <w:rPr/>
      <w:start w:val="1"/>
      <w:suff w:val="tab"/>
    </w:lvl>
    <w:lvl w:ilvl="4">
      <w:isLgl w:val="true"/>
      <w:lvlJc w:val="left"/>
      <w:lvlText w:val="%1.%2.%3.%4.%5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5">
      <w:isLgl w:val="true"/>
      <w:lvlJc w:val="left"/>
      <w:lvlText w:val="%1.%2.%3.%4.%5.%6."/>
      <w:numFmt w:val="decimal"/>
      <w:pPr>
        <w:pBdr/>
        <w:tabs>
          <w:tab w:val="num" w:leader="none" w:pos="2520"/>
        </w:tabs>
        <w:spacing/>
        <w:ind w:hanging="360" w:left="2520"/>
      </w:pPr>
      <w:rPr/>
      <w:start w:val="1"/>
      <w:suff w:val="tab"/>
    </w:lvl>
    <w:lvl w:ilvl="6">
      <w:isLgl w:val="true"/>
      <w:lvlJc w:val="left"/>
      <w:lvlText w:val="%1.%2.%3.%4.%5.%6.%7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7">
      <w:isLgl w:val="true"/>
      <w:lvlJc w:val="left"/>
      <w:lvlText w:val="%1.%2.%3.%4.%5.%6.%7.%8."/>
      <w:numFmt w:val="decimal"/>
      <w:pPr>
        <w:pBdr/>
        <w:tabs>
          <w:tab w:val="num" w:leader="none" w:pos="3240"/>
        </w:tabs>
        <w:spacing/>
        <w:ind w:hanging="360" w:left="3240"/>
      </w:pPr>
      <w:rPr/>
      <w:start w:val="1"/>
      <w:suff w:val="tab"/>
    </w:lvl>
    <w:lvl w:ilvl="8">
      <w:isLgl w:val="true"/>
      <w:lvlJc w:val="left"/>
      <w:lvlText w:val="%1.%2.%3.%4.%5.%6.%7.%8.%9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NSimSun" w:cs="Arial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66">
    <w:name w:val="Intense Emphasis"/>
    <w:basedOn w:val="88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88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88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886"/>
    <w:uiPriority w:val="20"/>
    <w:qFormat/>
    <w:pPr>
      <w:pBdr/>
      <w:spacing/>
      <w:ind/>
    </w:pPr>
    <w:rPr>
      <w:i/>
      <w:iCs/>
    </w:rPr>
  </w:style>
  <w:style w:type="character" w:styleId="174">
    <w:name w:val="Subtle Reference"/>
    <w:basedOn w:val="88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886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88">
    <w:name w:val="FollowedHyperlink"/>
    <w:basedOn w:val="88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character" w:styleId="198">
    <w:name w:val="Placeholder Text"/>
    <w:basedOn w:val="886"/>
    <w:uiPriority w:val="99"/>
    <w:semiHidden/>
    <w:pPr>
      <w:pBdr/>
      <w:spacing/>
      <w:ind/>
    </w:pPr>
    <w:rPr>
      <w:color w:val="666666"/>
    </w:rPr>
  </w:style>
  <w:style w:type="table" w:styleId="750">
    <w:name w:val="Table Grid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Table Grid Light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1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2"/>
    <w:basedOn w:val="887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Plain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Plain Table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1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2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3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4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4 - Accent 5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4 - Accent 6"/>
    <w:basedOn w:val="88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70a3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0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7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1 Light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1 Light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2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2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3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3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4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4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5 Dark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5 Dark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b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c3a37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8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2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6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aa0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6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680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a4b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7 Colorful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7 Colorful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1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2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3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4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 &amp; Lined - Accent 5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&amp; Lined - Accent 6"/>
    <w:basedOn w:val="88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1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2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3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4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Bordered - Accent 5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Bordered - Accent 6"/>
    <w:basedOn w:val="88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76" w:default="1">
    <w:name w:val="Normal"/>
    <w:qFormat/>
    <w:pPr>
      <w:pBdr/>
      <w:spacing/>
      <w:ind/>
    </w:pPr>
    <w:rPr>
      <w:sz w:val="24"/>
      <w:szCs w:val="24"/>
      <w:lang w:eastAsia="ar-SA"/>
    </w:rPr>
  </w:style>
  <w:style w:type="paragraph" w:styleId="877">
    <w:name w:val="Heading 1"/>
    <w:basedOn w:val="876"/>
    <w:uiPriority w:val="9"/>
    <w:qFormat/>
    <w:pPr>
      <w:keepNext w:val="true"/>
      <w:numPr>
        <w:numId w:val="1"/>
      </w:numPr>
      <w:pBdr/>
      <w:spacing w:after="280" w:before="280"/>
      <w:ind/>
      <w:jc w:val="both"/>
      <w:outlineLvl w:val="0"/>
    </w:pPr>
    <w:rPr>
      <w:b/>
      <w:bCs/>
      <w:sz w:val="48"/>
      <w:szCs w:val="48"/>
    </w:rPr>
  </w:style>
  <w:style w:type="paragraph" w:styleId="878">
    <w:name w:val="Heading 2"/>
    <w:basedOn w:val="876"/>
    <w:uiPriority w:val="9"/>
    <w:unhideWhenUsed/>
    <w:qFormat/>
    <w:pPr>
      <w:keepNext w:val="true"/>
      <w:pBdr/>
      <w:spacing w:after="60" w:before="240"/>
      <w:ind/>
      <w:outlineLvl w:val="1"/>
    </w:pPr>
    <w:rPr>
      <w:rFonts w:ascii="Cambria" w:hAnsi="Cambria" w:eastAsia="Times New Roman"/>
      <w:b/>
      <w:bCs/>
      <w:i/>
      <w:iCs/>
      <w:sz w:val="28"/>
      <w:szCs w:val="28"/>
    </w:rPr>
  </w:style>
  <w:style w:type="paragraph" w:styleId="879">
    <w:name w:val="Heading 3"/>
    <w:basedOn w:val="928"/>
    <w:uiPriority w:val="9"/>
    <w:unhideWhenUsed/>
    <w:qFormat/>
    <w:pPr>
      <w:keepLines w:val="true"/>
      <w:pBdr/>
      <w:spacing w:after="200" w:before="320"/>
      <w:ind/>
      <w:outlineLvl w:val="2"/>
    </w:pPr>
    <w:rPr>
      <w:rFonts w:eastAsia="Arial"/>
      <w:sz w:val="30"/>
      <w:szCs w:val="30"/>
    </w:rPr>
  </w:style>
  <w:style w:type="paragraph" w:styleId="880">
    <w:name w:val="Heading 4"/>
    <w:basedOn w:val="928"/>
    <w:uiPriority w:val="9"/>
    <w:unhideWhenUsed/>
    <w:qFormat/>
    <w:pPr>
      <w:keepLines w:val="true"/>
      <w:pBdr/>
      <w:spacing w:after="200" w:before="320"/>
      <w:ind/>
      <w:outlineLvl w:val="3"/>
    </w:pPr>
    <w:rPr>
      <w:rFonts w:eastAsia="Arial"/>
      <w:b/>
      <w:bCs/>
      <w:sz w:val="26"/>
      <w:szCs w:val="26"/>
    </w:rPr>
  </w:style>
  <w:style w:type="paragraph" w:styleId="881">
    <w:name w:val="Heading 5"/>
    <w:basedOn w:val="928"/>
    <w:uiPriority w:val="9"/>
    <w:unhideWhenUsed/>
    <w:qFormat/>
    <w:pPr>
      <w:keepLines w:val="true"/>
      <w:pBdr/>
      <w:spacing w:after="200" w:before="320"/>
      <w:ind/>
      <w:outlineLvl w:val="4"/>
    </w:pPr>
    <w:rPr>
      <w:rFonts w:eastAsia="Arial"/>
      <w:b/>
      <w:bCs/>
      <w:sz w:val="24"/>
      <w:szCs w:val="24"/>
    </w:rPr>
  </w:style>
  <w:style w:type="paragraph" w:styleId="882">
    <w:name w:val="Heading 6"/>
    <w:basedOn w:val="928"/>
    <w:uiPriority w:val="9"/>
    <w:unhideWhenUsed/>
    <w:qFormat/>
    <w:pPr>
      <w:keepLines w:val="true"/>
      <w:pBdr/>
      <w:spacing w:after="200" w:before="320"/>
      <w:ind/>
      <w:outlineLvl w:val="5"/>
    </w:pPr>
    <w:rPr>
      <w:rFonts w:eastAsia="Arial"/>
      <w:b/>
      <w:bCs/>
      <w:sz w:val="22"/>
      <w:szCs w:val="22"/>
    </w:rPr>
  </w:style>
  <w:style w:type="paragraph" w:styleId="883">
    <w:name w:val="Heading 7"/>
    <w:basedOn w:val="928"/>
    <w:uiPriority w:val="9"/>
    <w:unhideWhenUsed/>
    <w:qFormat/>
    <w:pPr>
      <w:keepLines w:val="true"/>
      <w:pBdr/>
      <w:spacing w:after="200" w:before="320"/>
      <w:ind/>
      <w:outlineLvl w:val="6"/>
    </w:pPr>
    <w:rPr>
      <w:rFonts w:eastAsia="Arial"/>
      <w:b/>
      <w:bCs/>
      <w:i/>
      <w:iCs/>
      <w:sz w:val="22"/>
      <w:szCs w:val="22"/>
    </w:rPr>
  </w:style>
  <w:style w:type="paragraph" w:styleId="884">
    <w:name w:val="Heading 8"/>
    <w:basedOn w:val="928"/>
    <w:uiPriority w:val="9"/>
    <w:unhideWhenUsed/>
    <w:qFormat/>
    <w:pPr>
      <w:keepLines w:val="true"/>
      <w:pBdr/>
      <w:spacing w:after="200" w:before="320"/>
      <w:ind/>
      <w:outlineLvl w:val="7"/>
    </w:pPr>
    <w:rPr>
      <w:rFonts w:eastAsia="Arial"/>
      <w:i/>
      <w:iCs/>
      <w:sz w:val="22"/>
      <w:szCs w:val="22"/>
    </w:rPr>
  </w:style>
  <w:style w:type="paragraph" w:styleId="885">
    <w:name w:val="Heading 9"/>
    <w:basedOn w:val="928"/>
    <w:uiPriority w:val="9"/>
    <w:unhideWhenUsed/>
    <w:qFormat/>
    <w:pPr>
      <w:keepLines w:val="true"/>
      <w:pBdr/>
      <w:spacing w:after="200" w:before="320"/>
      <w:ind/>
      <w:outlineLvl w:val="8"/>
    </w:pPr>
    <w:rPr>
      <w:rFonts w:eastAsia="Arial"/>
      <w:i/>
      <w:iCs/>
      <w:sz w:val="21"/>
      <w:szCs w:val="21"/>
    </w:rPr>
  </w:style>
  <w:style w:type="character" w:styleId="886" w:default="1">
    <w:name w:val="Default Paragraph Font"/>
    <w:uiPriority w:val="1"/>
    <w:semiHidden/>
    <w:unhideWhenUsed/>
    <w:pPr>
      <w:pBdr/>
      <w:spacing/>
      <w:ind/>
    </w:pPr>
  </w:style>
  <w:style w:type="table" w:styleId="887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88" w:default="1">
    <w:name w:val="No List"/>
    <w:uiPriority w:val="99"/>
    <w:semiHidden/>
    <w:unhideWhenUsed/>
    <w:pPr>
      <w:pBdr/>
      <w:spacing/>
      <w:ind/>
    </w:pPr>
  </w:style>
  <w:style w:type="character" w:styleId="889" w:customStyle="1">
    <w:name w:val="Heading 1 Char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890" w:customStyle="1">
    <w:name w:val="Heading 2 Char"/>
    <w:uiPriority w:val="9"/>
    <w:qFormat/>
    <w:pPr>
      <w:pBdr/>
      <w:spacing/>
      <w:ind/>
    </w:pPr>
    <w:rPr>
      <w:rFonts w:ascii="Arial" w:hAnsi="Arial" w:eastAsia="Arial" w:cs="Arial"/>
      <w:sz w:val="34"/>
    </w:rPr>
  </w:style>
  <w:style w:type="character" w:styleId="891" w:customStyle="1">
    <w:name w:val="Heading 3 Char"/>
    <w:uiPriority w:val="9"/>
    <w:qFormat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892" w:customStyle="1">
    <w:name w:val="Heading 4 Char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893" w:customStyle="1">
    <w:name w:val="Heading 5 Char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894" w:customStyle="1">
    <w:name w:val="Heading 6 Char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895" w:customStyle="1">
    <w:name w:val="Heading 7 Char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896" w:customStyle="1">
    <w:name w:val="Heading 8 Char"/>
    <w:uiPriority w:val="9"/>
    <w:qFormat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897" w:customStyle="1">
    <w:name w:val="Heading 9 Char"/>
    <w:uiPriority w:val="9"/>
    <w:qFormat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898" w:customStyle="1">
    <w:name w:val="Title Char"/>
    <w:uiPriority w:val="10"/>
    <w:qFormat/>
    <w:pPr>
      <w:pBdr/>
      <w:spacing/>
      <w:ind/>
    </w:pPr>
    <w:rPr>
      <w:sz w:val="48"/>
      <w:szCs w:val="48"/>
    </w:rPr>
  </w:style>
  <w:style w:type="character" w:styleId="899" w:customStyle="1">
    <w:name w:val="Subtitle Char"/>
    <w:uiPriority w:val="11"/>
    <w:qFormat/>
    <w:pPr>
      <w:pBdr/>
      <w:spacing/>
      <w:ind/>
    </w:pPr>
    <w:rPr>
      <w:sz w:val="24"/>
      <w:szCs w:val="24"/>
    </w:rPr>
  </w:style>
  <w:style w:type="character" w:styleId="900" w:customStyle="1">
    <w:name w:val="Quote Char"/>
    <w:uiPriority w:val="29"/>
    <w:qFormat/>
    <w:pPr>
      <w:pBdr/>
      <w:spacing/>
      <w:ind/>
    </w:pPr>
    <w:rPr>
      <w:i/>
    </w:rPr>
  </w:style>
  <w:style w:type="character" w:styleId="901" w:customStyle="1">
    <w:name w:val="Intense Quote Char"/>
    <w:uiPriority w:val="30"/>
    <w:qFormat/>
    <w:pPr>
      <w:pBdr/>
      <w:spacing/>
      <w:ind/>
    </w:pPr>
    <w:rPr>
      <w:i/>
    </w:rPr>
  </w:style>
  <w:style w:type="character" w:styleId="902" w:customStyle="1">
    <w:name w:val="Header Char"/>
    <w:uiPriority w:val="99"/>
    <w:qFormat/>
    <w:pPr>
      <w:pBdr/>
      <w:spacing/>
      <w:ind/>
    </w:pPr>
  </w:style>
  <w:style w:type="character" w:styleId="903" w:customStyle="1">
    <w:name w:val="Footer Char"/>
    <w:uiPriority w:val="99"/>
    <w:qFormat/>
    <w:pPr>
      <w:pBdr/>
      <w:spacing/>
      <w:ind/>
    </w:pPr>
  </w:style>
  <w:style w:type="character" w:styleId="904" w:customStyle="1">
    <w:name w:val="Caption Char"/>
    <w:uiPriority w:val="99"/>
    <w:qFormat/>
    <w:pPr>
      <w:pBdr/>
      <w:spacing/>
      <w:ind/>
    </w:pPr>
  </w:style>
  <w:style w:type="character" w:styleId="905" w:customStyle="1">
    <w:name w:val="Internet Link"/>
    <w:uiPriority w:val="99"/>
    <w:unhideWhenUsed/>
    <w:qFormat/>
    <w:pPr>
      <w:pBdr/>
      <w:spacing/>
      <w:ind/>
    </w:pPr>
    <w:rPr>
      <w:color w:val="0000ff" w:themeColor="hyperlink"/>
      <w:u w:val="single"/>
    </w:rPr>
  </w:style>
  <w:style w:type="character" w:styleId="906" w:customStyle="1">
    <w:name w:val="Footnote Text Char"/>
    <w:uiPriority w:val="99"/>
    <w:qFormat/>
    <w:pPr>
      <w:pBdr/>
      <w:spacing/>
      <w:ind/>
    </w:pPr>
    <w:rPr>
      <w:sz w:val="18"/>
    </w:rPr>
  </w:style>
  <w:style w:type="character" w:styleId="907">
    <w:name w:val="footnote reference"/>
    <w:pPr>
      <w:pBdr/>
      <w:spacing/>
      <w:ind/>
    </w:pPr>
    <w:rPr>
      <w:vertAlign w:val="superscript"/>
    </w:rPr>
  </w:style>
  <w:style w:type="character" w:styleId="908" w:customStyle="1">
    <w:name w:val="Footnote Characters"/>
    <w:qFormat/>
    <w:pPr>
      <w:pBdr/>
      <w:spacing/>
      <w:ind/>
    </w:pPr>
    <w:rPr>
      <w:vertAlign w:val="superscript"/>
    </w:rPr>
  </w:style>
  <w:style w:type="character" w:styleId="909" w:customStyle="1">
    <w:name w:val="Footnote Characters1"/>
    <w:uiPriority w:val="99"/>
    <w:unhideWhenUsed/>
    <w:qFormat/>
    <w:pPr>
      <w:pBdr/>
      <w:spacing/>
      <w:ind/>
    </w:pPr>
    <w:rPr>
      <w:vertAlign w:val="superscript"/>
    </w:rPr>
  </w:style>
  <w:style w:type="character" w:styleId="910" w:customStyle="1">
    <w:name w:val="Endnote Text Char"/>
    <w:uiPriority w:val="99"/>
    <w:qFormat/>
    <w:pPr>
      <w:pBdr/>
      <w:spacing/>
      <w:ind/>
    </w:pPr>
    <w:rPr>
      <w:sz w:val="20"/>
    </w:rPr>
  </w:style>
  <w:style w:type="character" w:styleId="911">
    <w:name w:val="endnote reference"/>
    <w:pPr>
      <w:pBdr/>
      <w:spacing/>
      <w:ind/>
    </w:pPr>
    <w:rPr>
      <w:vertAlign w:val="superscript"/>
    </w:rPr>
  </w:style>
  <w:style w:type="character" w:styleId="912" w:customStyle="1">
    <w:name w:val="Endnote Characters"/>
    <w:qFormat/>
    <w:pPr>
      <w:pBdr/>
      <w:spacing/>
      <w:ind/>
    </w:pPr>
    <w:rPr>
      <w:vertAlign w:val="superscript"/>
    </w:rPr>
  </w:style>
  <w:style w:type="character" w:styleId="913" w:customStyle="1">
    <w:name w:val="Endnote Characters1"/>
    <w:uiPriority w:val="99"/>
    <w:semiHidden/>
    <w:unhideWhenUsed/>
    <w:qFormat/>
    <w:pPr>
      <w:pBdr/>
      <w:spacing/>
      <w:ind/>
    </w:pPr>
    <w:rPr>
      <w:vertAlign w:val="superscript"/>
    </w:rPr>
  </w:style>
  <w:style w:type="character" w:styleId="914" w:customStyle="1">
    <w:name w:val="Absatz-Standardschriftart"/>
    <w:qFormat/>
    <w:pPr>
      <w:pBdr/>
      <w:spacing/>
      <w:ind/>
    </w:pPr>
  </w:style>
  <w:style w:type="character" w:styleId="915" w:customStyle="1">
    <w:name w:val="WW-Absatz-Standardschriftart"/>
    <w:qFormat/>
    <w:pPr>
      <w:pBdr/>
      <w:spacing/>
      <w:ind/>
    </w:pPr>
  </w:style>
  <w:style w:type="character" w:styleId="916" w:customStyle="1">
    <w:name w:val="WW-Absatz-Standardschriftart1"/>
    <w:qFormat/>
    <w:pPr>
      <w:pBdr/>
      <w:spacing/>
      <w:ind/>
    </w:pPr>
  </w:style>
  <w:style w:type="character" w:styleId="917" w:customStyle="1">
    <w:name w:val="WW-Absatz-Standardschriftart11"/>
    <w:qFormat/>
    <w:pPr>
      <w:pBdr/>
      <w:spacing/>
      <w:ind/>
    </w:pPr>
  </w:style>
  <w:style w:type="character" w:styleId="918" w:customStyle="1">
    <w:name w:val="WW-Absatz-Standardschriftart111"/>
    <w:qFormat/>
    <w:pPr>
      <w:pBdr/>
      <w:spacing/>
      <w:ind/>
    </w:pPr>
  </w:style>
  <w:style w:type="character" w:styleId="919" w:customStyle="1">
    <w:name w:val="Основной шрифт абзаца1"/>
    <w:qFormat/>
    <w:pPr>
      <w:pBdr/>
      <w:spacing/>
      <w:ind/>
    </w:pPr>
  </w:style>
  <w:style w:type="character" w:styleId="920" w:customStyle="1">
    <w:name w:val="Заголовок 1 Знак"/>
    <w:qFormat/>
    <w:pPr>
      <w:pBdr/>
      <w:spacing/>
      <w:ind/>
    </w:pPr>
    <w:rPr>
      <w:b/>
      <w:bCs/>
      <w:sz w:val="48"/>
      <w:szCs w:val="48"/>
    </w:rPr>
  </w:style>
  <w:style w:type="character" w:styleId="921" w:customStyle="1">
    <w:name w:val="Символ нумерации"/>
    <w:qFormat/>
    <w:pPr>
      <w:pBdr/>
      <w:spacing/>
      <w:ind/>
    </w:pPr>
  </w:style>
  <w:style w:type="character" w:styleId="922" w:customStyle="1">
    <w:name w:val="Верхний колонтитул Знак"/>
    <w:qFormat/>
    <w:pPr>
      <w:pBdr/>
      <w:spacing/>
      <w:ind/>
    </w:pPr>
    <w:rPr>
      <w:sz w:val="24"/>
      <w:szCs w:val="24"/>
      <w:lang w:eastAsia="ar-SA"/>
    </w:rPr>
  </w:style>
  <w:style w:type="character" w:styleId="923" w:customStyle="1">
    <w:name w:val="Нижний колонтитул Знак"/>
    <w:qFormat/>
    <w:pPr>
      <w:pBdr/>
      <w:spacing/>
      <w:ind/>
    </w:pPr>
    <w:rPr>
      <w:sz w:val="24"/>
      <w:szCs w:val="24"/>
      <w:lang w:eastAsia="ar-SA"/>
    </w:rPr>
  </w:style>
  <w:style w:type="character" w:styleId="924" w:customStyle="1">
    <w:name w:val="Заголовок 2 Знак"/>
    <w:qFormat/>
    <w:pPr>
      <w:pBdr/>
      <w:spacing/>
      <w:ind/>
    </w:pPr>
    <w:rPr>
      <w:rFonts w:ascii="Cambria" w:hAnsi="Cambria" w:eastAsia="Times New Roman"/>
      <w:b/>
      <w:bCs/>
      <w:i/>
      <w:iCs/>
      <w:sz w:val="28"/>
      <w:szCs w:val="28"/>
      <w:lang w:eastAsia="ar-SA"/>
    </w:rPr>
  </w:style>
  <w:style w:type="character" w:styleId="925">
    <w:name w:val="Strong"/>
    <w:qFormat/>
    <w:pPr>
      <w:pBdr/>
      <w:spacing/>
      <w:ind/>
    </w:pPr>
    <w:rPr>
      <w:b/>
      <w:bCs/>
    </w:rPr>
  </w:style>
  <w:style w:type="character" w:styleId="926" w:customStyle="1">
    <w:name w:val="Текст выноски Знак"/>
    <w:semiHidden/>
    <w:qFormat/>
    <w:pPr>
      <w:pBdr/>
      <w:spacing/>
      <w:ind/>
    </w:pPr>
    <w:rPr>
      <w:rFonts w:ascii="Tahoma" w:hAnsi="Tahoma"/>
      <w:sz w:val="16"/>
      <w:szCs w:val="16"/>
      <w:lang w:eastAsia="ar-SA"/>
    </w:rPr>
  </w:style>
  <w:style w:type="character" w:styleId="927">
    <w:name w:val="Hyperlink"/>
    <w:qFormat/>
    <w:pPr>
      <w:pBdr/>
      <w:spacing/>
      <w:ind/>
    </w:pPr>
    <w:rPr>
      <w:color w:val="000080"/>
      <w:u w:val="single"/>
    </w:rPr>
  </w:style>
  <w:style w:type="paragraph" w:styleId="928" w:customStyle="1">
    <w:name w:val="Заголовок"/>
    <w:basedOn w:val="876"/>
    <w:next w:val="929"/>
    <w:qFormat/>
    <w:pPr>
      <w:keepNext w:val="true"/>
      <w:pBdr/>
      <w:spacing w:after="120" w:before="240"/>
      <w:ind/>
    </w:pPr>
    <w:rPr>
      <w:rFonts w:ascii="Arial" w:hAnsi="Arial" w:eastAsia="Arial Unicode MS"/>
      <w:sz w:val="28"/>
      <w:szCs w:val="28"/>
    </w:rPr>
  </w:style>
  <w:style w:type="paragraph" w:styleId="929">
    <w:name w:val="Body Text"/>
    <w:basedOn w:val="876"/>
    <w:pPr>
      <w:pBdr/>
      <w:spacing w:after="120"/>
      <w:ind/>
    </w:pPr>
  </w:style>
  <w:style w:type="paragraph" w:styleId="930">
    <w:name w:val="List"/>
    <w:basedOn w:val="929"/>
    <w:pPr>
      <w:pBdr/>
      <w:spacing/>
      <w:ind/>
    </w:pPr>
  </w:style>
  <w:style w:type="paragraph" w:styleId="931">
    <w:name w:val="Caption"/>
    <w:basedOn w:val="876"/>
    <w:uiPriority w:val="35"/>
    <w:semiHidden/>
    <w:unhideWhenUsed/>
    <w:qFormat/>
    <w:pPr>
      <w:pBdr/>
      <w:spacing w:line="276" w:lineRule="auto"/>
      <w:ind/>
    </w:pPr>
    <w:rPr>
      <w:b/>
      <w:bCs/>
      <w:color w:val="4f81bd" w:themeColor="accent1"/>
      <w:sz w:val="18"/>
      <w:szCs w:val="18"/>
    </w:rPr>
  </w:style>
  <w:style w:type="paragraph" w:styleId="932">
    <w:name w:val="index heading"/>
    <w:basedOn w:val="928"/>
    <w:pPr>
      <w:pBdr/>
      <w:spacing/>
      <w:ind/>
    </w:pPr>
  </w:style>
  <w:style w:type="paragraph" w:styleId="933">
    <w:name w:val="List Paragraph"/>
    <w:uiPriority w:val="34"/>
    <w:qFormat/>
    <w:pPr>
      <w:pBdr/>
      <w:spacing/>
      <w:ind w:left="720"/>
      <w:contextualSpacing w:val="true"/>
    </w:pPr>
  </w:style>
  <w:style w:type="paragraph" w:styleId="934">
    <w:name w:val="No Spacing"/>
    <w:uiPriority w:val="1"/>
    <w:qFormat/>
    <w:pPr>
      <w:pBdr/>
      <w:spacing/>
      <w:ind/>
    </w:pPr>
  </w:style>
  <w:style w:type="paragraph" w:styleId="935">
    <w:name w:val="Title"/>
    <w:basedOn w:val="928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paragraph" w:styleId="936">
    <w:name w:val="Subtitle"/>
    <w:basedOn w:val="928"/>
    <w:uiPriority w:val="11"/>
    <w:qFormat/>
    <w:pPr>
      <w:pBdr/>
      <w:spacing w:after="200" w:before="200"/>
      <w:ind/>
    </w:pPr>
    <w:rPr>
      <w:sz w:val="24"/>
      <w:szCs w:val="24"/>
    </w:rPr>
  </w:style>
  <w:style w:type="paragraph" w:styleId="937">
    <w:name w:val="Quote"/>
    <w:uiPriority w:val="29"/>
    <w:qFormat/>
    <w:pPr>
      <w:pBdr/>
      <w:spacing/>
      <w:ind w:right="720" w:left="720"/>
    </w:pPr>
    <w:rPr>
      <w:i/>
    </w:rPr>
  </w:style>
  <w:style w:type="paragraph" w:styleId="938">
    <w:name w:val="Intense Quote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paragraph" w:styleId="939" w:customStyle="1">
    <w:name w:val="Header and Footer"/>
    <w:basedOn w:val="876"/>
    <w:qFormat/>
    <w:pPr>
      <w:pBdr/>
      <w:spacing/>
      <w:ind/>
    </w:pPr>
  </w:style>
  <w:style w:type="paragraph" w:styleId="940">
    <w:name w:val="Header"/>
    <w:basedOn w:val="876"/>
    <w:uiPriority w:val="99"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941">
    <w:name w:val="Footer"/>
    <w:basedOn w:val="876"/>
    <w:uiPriority w:val="99"/>
    <w:unhideWhenUsed/>
    <w:pPr>
      <w:pBdr/>
      <w:tabs>
        <w:tab w:val="center" w:leader="none" w:pos="4677"/>
        <w:tab w:val="right" w:leader="none" w:pos="9355"/>
      </w:tabs>
      <w:spacing/>
      <w:ind/>
    </w:pPr>
  </w:style>
  <w:style w:type="paragraph" w:styleId="942">
    <w:name w:val="footnote text"/>
    <w:basedOn w:val="876"/>
    <w:uiPriority w:val="99"/>
    <w:semiHidden/>
    <w:unhideWhenUsed/>
    <w:pPr>
      <w:pBdr/>
      <w:spacing w:after="40"/>
      <w:ind/>
    </w:pPr>
    <w:rPr>
      <w:sz w:val="18"/>
    </w:rPr>
  </w:style>
  <w:style w:type="paragraph" w:styleId="943">
    <w:name w:val="endnote text"/>
    <w:basedOn w:val="876"/>
    <w:uiPriority w:val="99"/>
    <w:semiHidden/>
    <w:unhideWhenUsed/>
    <w:pPr>
      <w:pBdr/>
      <w:spacing/>
      <w:ind/>
    </w:pPr>
    <w:rPr>
      <w:sz w:val="20"/>
    </w:rPr>
  </w:style>
  <w:style w:type="paragraph" w:styleId="944">
    <w:name w:val="toc 1"/>
    <w:basedOn w:val="932"/>
    <w:uiPriority w:val="39"/>
    <w:unhideWhenUsed/>
    <w:pPr>
      <w:pBdr/>
      <w:spacing w:after="57" w:before="0"/>
      <w:ind/>
    </w:pPr>
  </w:style>
  <w:style w:type="paragraph" w:styleId="945">
    <w:name w:val="toc 2"/>
    <w:basedOn w:val="932"/>
    <w:uiPriority w:val="39"/>
    <w:unhideWhenUsed/>
    <w:pPr>
      <w:pBdr/>
      <w:spacing w:after="57" w:before="0"/>
      <w:ind w:left="283"/>
    </w:pPr>
  </w:style>
  <w:style w:type="paragraph" w:styleId="946">
    <w:name w:val="toc 3"/>
    <w:basedOn w:val="932"/>
    <w:uiPriority w:val="39"/>
    <w:unhideWhenUsed/>
    <w:pPr>
      <w:pBdr/>
      <w:spacing w:after="57" w:before="0"/>
      <w:ind w:left="567"/>
    </w:pPr>
  </w:style>
  <w:style w:type="paragraph" w:styleId="947">
    <w:name w:val="toc 4"/>
    <w:basedOn w:val="932"/>
    <w:uiPriority w:val="39"/>
    <w:unhideWhenUsed/>
    <w:pPr>
      <w:pBdr/>
      <w:spacing w:after="57" w:before="0"/>
      <w:ind w:left="850"/>
    </w:pPr>
  </w:style>
  <w:style w:type="paragraph" w:styleId="948">
    <w:name w:val="toc 5"/>
    <w:basedOn w:val="932"/>
    <w:uiPriority w:val="39"/>
    <w:unhideWhenUsed/>
    <w:pPr>
      <w:pBdr/>
      <w:spacing w:after="57" w:before="0"/>
      <w:ind w:left="1134"/>
    </w:pPr>
  </w:style>
  <w:style w:type="paragraph" w:styleId="949">
    <w:name w:val="toc 6"/>
    <w:basedOn w:val="932"/>
    <w:uiPriority w:val="39"/>
    <w:unhideWhenUsed/>
    <w:pPr>
      <w:pBdr/>
      <w:spacing w:after="57" w:before="0"/>
      <w:ind w:left="1417"/>
    </w:pPr>
  </w:style>
  <w:style w:type="paragraph" w:styleId="950">
    <w:name w:val="toc 7"/>
    <w:basedOn w:val="932"/>
    <w:uiPriority w:val="39"/>
    <w:unhideWhenUsed/>
    <w:pPr>
      <w:pBdr/>
      <w:spacing w:after="57" w:before="0"/>
      <w:ind w:left="1701"/>
    </w:pPr>
  </w:style>
  <w:style w:type="paragraph" w:styleId="951">
    <w:name w:val="toc 8"/>
    <w:basedOn w:val="932"/>
    <w:uiPriority w:val="39"/>
    <w:unhideWhenUsed/>
    <w:pPr>
      <w:pBdr/>
      <w:spacing w:after="57" w:before="0"/>
      <w:ind w:left="1984"/>
    </w:pPr>
  </w:style>
  <w:style w:type="paragraph" w:styleId="952">
    <w:name w:val="toc 9"/>
    <w:basedOn w:val="932"/>
    <w:uiPriority w:val="39"/>
    <w:unhideWhenUsed/>
    <w:pPr>
      <w:pBdr/>
      <w:spacing w:after="57" w:before="0"/>
      <w:ind w:left="2268"/>
    </w:pPr>
  </w:style>
  <w:style w:type="paragraph" w:styleId="953">
    <w:name w:val="TOC Heading"/>
    <w:uiPriority w:val="39"/>
    <w:unhideWhenUsed/>
    <w:qFormat/>
    <w:pPr>
      <w:pBdr/>
      <w:spacing/>
      <w:ind/>
    </w:pPr>
  </w:style>
  <w:style w:type="paragraph" w:styleId="954">
    <w:name w:val="table of figures"/>
    <w:basedOn w:val="932"/>
    <w:uiPriority w:val="99"/>
    <w:unhideWhenUsed/>
    <w:pPr>
      <w:pBdr/>
      <w:spacing w:after="0" w:before="0"/>
      <w:ind/>
    </w:pPr>
  </w:style>
  <w:style w:type="paragraph" w:styleId="955" w:customStyle="1">
    <w:name w:val="Название1"/>
    <w:basedOn w:val="876"/>
    <w:qFormat/>
    <w:pPr>
      <w:suppressLineNumbers w:val="true"/>
      <w:pBdr/>
      <w:spacing w:after="120" w:before="120"/>
      <w:ind/>
    </w:pPr>
    <w:rPr>
      <w:i/>
      <w:iCs/>
    </w:rPr>
  </w:style>
  <w:style w:type="paragraph" w:styleId="956" w:customStyle="1">
    <w:name w:val="Указатель1"/>
    <w:basedOn w:val="876"/>
    <w:qFormat/>
    <w:pPr>
      <w:suppressLineNumbers w:val="true"/>
      <w:pBdr/>
      <w:spacing/>
      <w:ind/>
    </w:pPr>
  </w:style>
  <w:style w:type="paragraph" w:styleId="957">
    <w:name w:val="Normal (Web)"/>
    <w:basedOn w:val="876"/>
    <w:qFormat/>
    <w:pPr>
      <w:pBdr/>
      <w:spacing w:after="280" w:before="280"/>
      <w:ind/>
      <w:jc w:val="both"/>
    </w:pPr>
  </w:style>
  <w:style w:type="paragraph" w:styleId="958" w:customStyle="1">
    <w:name w:val="western"/>
    <w:basedOn w:val="876"/>
    <w:qFormat/>
    <w:pPr>
      <w:pBdr/>
      <w:spacing w:after="280" w:before="280"/>
      <w:ind/>
      <w:jc w:val="both"/>
    </w:pPr>
  </w:style>
  <w:style w:type="paragraph" w:styleId="959" w:customStyle="1">
    <w:name w:val="Содержимое таблицы"/>
    <w:basedOn w:val="876"/>
    <w:qFormat/>
    <w:pPr>
      <w:suppressLineNumbers w:val="true"/>
      <w:pBdr/>
      <w:spacing/>
      <w:ind/>
    </w:pPr>
  </w:style>
  <w:style w:type="paragraph" w:styleId="960" w:customStyle="1">
    <w:name w:val="Заголовок таблицы"/>
    <w:basedOn w:val="959"/>
    <w:qFormat/>
    <w:pPr>
      <w:pBdr/>
      <w:spacing/>
      <w:ind/>
      <w:jc w:val="center"/>
    </w:pPr>
    <w:rPr>
      <w:b/>
      <w:bCs/>
    </w:rPr>
  </w:style>
  <w:style w:type="paragraph" w:styleId="961">
    <w:name w:val="Balloon Text"/>
    <w:basedOn w:val="876"/>
    <w:semiHidden/>
    <w:qFormat/>
    <w:pPr>
      <w:pBdr/>
      <w:spacing/>
      <w:ind/>
    </w:pPr>
    <w:rPr>
      <w:rFonts w:ascii="Tahoma" w:hAnsi="Tahoma"/>
      <w:sz w:val="16"/>
      <w:szCs w:val="16"/>
    </w:rPr>
  </w:style>
  <w:style w:type="paragraph" w:styleId="962" w:customStyle="1">
    <w:name w:val="Заголовок 21"/>
    <w:basedOn w:val="876"/>
    <w:qFormat/>
    <w:pPr>
      <w:keepNext w:val="true"/>
      <w:widowControl w:val="false"/>
      <w:pBdr/>
      <w:spacing/>
      <w:ind/>
      <w:jc w:val="center"/>
    </w:pPr>
    <w:rPr>
      <w:lang w:eastAsia="zh-CN" w:bidi="hi-IN"/>
    </w:rPr>
  </w:style>
  <w:style w:type="paragraph" w:styleId="963" w:customStyle="1">
    <w:name w:val="Заголовок 51"/>
    <w:basedOn w:val="876"/>
    <w:qFormat/>
    <w:pPr>
      <w:keepNext w:val="true"/>
      <w:widowControl w:val="false"/>
      <w:pBdr/>
      <w:spacing/>
      <w:ind/>
      <w:jc w:val="both"/>
    </w:pPr>
    <w:rPr>
      <w:lang w:eastAsia="zh-CN" w:bidi="hi-IN"/>
    </w:rPr>
  </w:style>
  <w:style w:type="paragraph" w:styleId="964" w:customStyle="1">
    <w:name w:val="ConsPlusNormal"/>
    <w:qFormat/>
    <w:pPr>
      <w:widowControl w:val="false"/>
      <w:pBdr/>
      <w:spacing/>
      <w:ind w:firstLine="720"/>
    </w:pPr>
    <w:rPr>
      <w:rFonts w:ascii="Arial" w:hAnsi="Arial" w:eastAsia="Arial"/>
      <w:lang w:bidi="hi-IN"/>
    </w:rPr>
  </w:style>
  <w:style w:type="numbering" w:styleId="965" w:customStyle="1">
    <w:name w:val="Без списка"/>
    <w:uiPriority w:val="99"/>
    <w:semiHidden/>
    <w:unhideWhenUsed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/>
        <a:ln w="25400"/>
        <a:ln w="38100"/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5D0AEA6B-E499-4EEF-98A3-AFBB261C493E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ONLYOFFICE/9.3.1.8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Дир-Лона</dc:creator>
  <dc:language>ru-RU</dc:language>
  <cp:revision>7</cp:revision>
  <dcterms:created xsi:type="dcterms:W3CDTF">2026-05-22T09:26:00Z</dcterms:created>
  <dcterms:modified xsi:type="dcterms:W3CDTF">2026-06-04T10:53:46Z</dcterms:modified>
</cp:coreProperties>
</file>