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№21/26 </w:t>
      </w:r>
    </w:p>
    <w:p>
      <w:pPr>
        <w:pStyle w:val="Normal"/>
        <w:jc w:val="center"/>
        <w:rPr>
          <w:b/>
        </w:rPr>
      </w:pPr>
      <w:r>
        <w:rPr>
          <w:b/>
        </w:rPr>
        <w:t>на поставку товаров для государственных нужд</w:t>
      </w:r>
    </w:p>
    <w:p>
      <w:pPr>
        <w:pStyle w:val="Normal"/>
        <w:jc w:val="center"/>
        <w:rPr>
          <w:b/>
          <w:shd w:fill="FFFF00" w:val="clear"/>
        </w:rPr>
      </w:pPr>
      <w:r>
        <w:rPr>
          <w:b/>
          <w:shd w:fill="FFFF00" w:val="clear"/>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_____________ 202_г.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t xml:space="preserve"> </w:t>
      </w:r>
      <w:bookmarkEnd w:id="3"/>
      <w:r>
        <w:rPr>
          <w:rFonts w:eastAsia="Times New Roman" w:cs="Times New Roman"/>
          <w:b/>
          <w:bCs/>
          <w:color w:val="auto"/>
          <w:kern w:val="0"/>
          <w:sz w:val="20"/>
          <w:szCs w:val="20"/>
          <w:lang w:val="ru-RU" w:eastAsia="ru-RU" w:bidi="ar-SA"/>
        </w:rPr>
        <w:t>Футляр-уклад</w:t>
      </w:r>
      <w:r>
        <w:rPr>
          <w:b/>
          <w:bCs/>
        </w:rPr>
        <w:t xml:space="preserve">ка  для хранения и транспортировки лекарственных средств, инструментов и других медицинских изделий </w:t>
      </w:r>
      <w:r>
        <w:rPr/>
        <w:t xml:space="preserve"> и передать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dark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dark1" w:val="000000"/>
          <w:sz w:val="24"/>
          <w:lang w:val="ru-RU"/>
        </w:rPr>
        <w:t xml:space="preserve">. </w:t>
      </w:r>
      <w:r>
        <w:rPr>
          <w:rFonts w:eastAsia="Times New Roman"/>
          <w:color w:themeColor="dark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 xml:space="preserve">средства </w:t>
      </w:r>
      <w:r>
        <w:rPr>
          <w:rFonts w:eastAsia="Calibri"/>
        </w:rPr>
        <w:t>бюджетных учреждений</w:t>
      </w:r>
      <w:r>
        <w:rPr/>
        <w:t xml:space="preserve"> .</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fill="FFFFFF" w:val="clear"/>
        <w:tabs>
          <w:tab w:val="clear" w:pos="708"/>
          <w:tab w:val="left" w:pos="0" w:leader="none"/>
          <w:tab w:val="left" w:pos="900" w:leader="none"/>
        </w:tabs>
        <w:jc w:val="center"/>
        <w:rPr>
          <w:b/>
        </w:rPr>
      </w:pPr>
      <w:r>
        <w:rPr>
          <w:b/>
        </w:rPr>
        <w:t>4. Сроки и условия поставки Товара</w:t>
      </w:r>
    </w:p>
    <w:p>
      <w:pPr>
        <w:pStyle w:val="Normal"/>
        <w:shd w:fill="FFFFFF" w:val="clear"/>
        <w:tabs>
          <w:tab w:val="clear" w:pos="708"/>
          <w:tab w:val="left" w:pos="0" w:leader="none"/>
          <w:tab w:val="left" w:pos="900" w:leader="none"/>
        </w:tabs>
        <w:jc w:val="both"/>
        <w:rPr/>
      </w:pPr>
      <w:r>
        <w:rPr/>
        <w:t>4.1. Поставка товара осуществляется в течение 30 (тридцать) календарных  дней со дня заключения контракта.</w:t>
      </w:r>
    </w:p>
    <w:p>
      <w:pPr>
        <w:pStyle w:val="Normal"/>
        <w:shd w:fill="FFFFFF" w:val="clear"/>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fill="FFFFFF" w:val="clear"/>
        <w:tabs>
          <w:tab w:val="clear" w:pos="708"/>
          <w:tab w:val="left" w:pos="0" w:leader="none"/>
          <w:tab w:val="left" w:pos="900" w:leader="none"/>
        </w:tabs>
        <w:jc w:val="both"/>
        <w:rPr>
          <w:color w:themeColor="dark1" w:val="000000"/>
        </w:rPr>
      </w:pPr>
      <w:r>
        <w:rPr/>
        <w:t xml:space="preserve">4.3. </w:t>
      </w:r>
      <w:r>
        <w:rPr>
          <w:color w:themeColor="dark1" w:val="000000"/>
        </w:rPr>
        <w:t>Датой поставки Товара считается дата подписания Заказчиком счет-фактуры (УПД) или товарной накладной.</w:t>
      </w:r>
    </w:p>
    <w:p>
      <w:pPr>
        <w:pStyle w:val="Normal"/>
        <w:jc w:val="both"/>
        <w:rPr>
          <w:color w:themeColor="dark1" w:val="000000"/>
        </w:rPr>
      </w:pPr>
      <w:r>
        <w:rPr>
          <w:color w:themeColor="dark1" w:val="000000"/>
        </w:rPr>
        <w:t>4.4. Вместе с Товаром Поставщик передает Заказчику оригиналы следующих документов:</w:t>
      </w:r>
    </w:p>
    <w:p>
      <w:pPr>
        <w:pStyle w:val="Normal"/>
        <w:shd w:fill="FFFFFF" w:val="clear"/>
        <w:tabs>
          <w:tab w:val="clear" w:pos="708"/>
          <w:tab w:val="left" w:pos="0" w:leader="none"/>
          <w:tab w:val="left" w:pos="900" w:leader="none"/>
        </w:tabs>
        <w:jc w:val="both"/>
        <w:rPr>
          <w:color w:themeColor="dark1" w:val="000000"/>
        </w:rPr>
      </w:pPr>
      <w:r>
        <w:rPr>
          <w:color w:themeColor="dark1" w:val="000000"/>
        </w:rPr>
        <w:t> </w:t>
      </w:r>
      <w:r>
        <w:rPr>
          <w:color w:themeColor="dark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(трех) рабочих дня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shd w:fill="FFFF00" w:val="clear"/>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rPr>
        <w:t>18</w:t>
      </w:r>
      <w:r>
        <w:rPr>
          <w:rFonts w:ascii="Times New Roman" w:hAnsi="Times New Roman"/>
          <w:sz w:val="20"/>
          <w:szCs w:val="20"/>
        </w:rPr>
        <w:t>.0</w:t>
      </w:r>
      <w:r>
        <w:rPr>
          <w:rFonts w:ascii="Times New Roman" w:hAnsi="Times New Roman"/>
          <w:sz w:val="20"/>
          <w:szCs w:val="20"/>
        </w:rPr>
        <w:t>9</w:t>
      </w:r>
      <w:r>
        <w:rPr>
          <w:rFonts w:ascii="Times New Roman" w:hAnsi="Times New Roman"/>
          <w:sz w:val="20"/>
          <w:szCs w:val="20"/>
        </w:rPr>
        <w:t>.2026 г., а в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fill="FFFFFF" w:val="clear"/>
        <w:jc w:val="center"/>
        <w:rPr>
          <w:b/>
        </w:rPr>
      </w:pPr>
      <w:r>
        <w:rPr>
          <w:b/>
        </w:rPr>
        <w:t>10. Переход права собственности и риск случайной гибели Товара</w:t>
      </w:r>
    </w:p>
    <w:p>
      <w:pPr>
        <w:pStyle w:val="Normal"/>
        <w:shd w:fill="FFFFFF" w:val="clear"/>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fill="FFFFFF" w:val="clear"/>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fill="FFFFFF" w:val="clear"/>
        <w:tabs>
          <w:tab w:val="clear" w:pos="708"/>
          <w:tab w:val="left" w:pos="540" w:leader="none"/>
          <w:tab w:val="left" w:pos="1248" w:leader="none"/>
        </w:tabs>
        <w:jc w:val="both"/>
        <w:rPr/>
      </w:pPr>
      <w:r>
        <w:rPr/>
      </w:r>
    </w:p>
    <w:p>
      <w:pPr>
        <w:pStyle w:val="Normal"/>
        <w:shd w:fill="FFFFFF" w:val="clear"/>
        <w:tabs>
          <w:tab w:val="clear" w:pos="708"/>
          <w:tab w:val="left" w:pos="540" w:leader="none"/>
          <w:tab w:val="left" w:pos="1248" w:leader="none"/>
        </w:tabs>
        <w:jc w:val="center"/>
        <w:rPr>
          <w:b/>
        </w:rPr>
      </w:pPr>
      <w:r>
        <w:rPr>
          <w:b/>
        </w:rPr>
        <w:t>11. Противодействие коррупции</w:t>
      </w:r>
    </w:p>
    <w:p>
      <w:pPr>
        <w:pStyle w:val="Normal"/>
        <w:shd w:fill="FFFFFF" w:val="clear"/>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fill="FFFFFF" w:val="clear"/>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fill="FFFFFF" w:val="clear"/>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fill="FFFFFF" w:val="clear"/>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fill="FFFFFF" w:val="clear"/>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fill="FFFFFF" w:val="clear"/>
        <w:tabs>
          <w:tab w:val="clear" w:pos="708"/>
          <w:tab w:val="left" w:pos="540" w:leader="none"/>
          <w:tab w:val="left" w:pos="1248" w:leader="none"/>
        </w:tabs>
        <w:jc w:val="center"/>
        <w:rPr/>
      </w:pPr>
      <w:r>
        <w:rPr/>
      </w:r>
    </w:p>
    <w:p>
      <w:pPr>
        <w:pStyle w:val="Normal"/>
        <w:shd w:fill="FFFFFF" w:val="clear"/>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fill="FFFFFF" w:val="clear"/>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Pr>
      <w:tblGrid>
        <w:gridCol w:w="5636"/>
        <w:gridCol w:w="4820"/>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rPr>
                <w:szCs w:val="24"/>
              </w:rPr>
            </w:pPr>
            <w:r>
              <w:rPr>
                <w:szCs w:val="24"/>
              </w:rPr>
              <w:t>Новые банковские реквизиты:</w:t>
            </w:r>
          </w:p>
          <w:p>
            <w:pPr>
              <w:pStyle w:val="Normal"/>
              <w:rPr>
                <w:szCs w:val="24"/>
              </w:rPr>
            </w:pPr>
            <w:r>
              <w:rPr>
                <w:szCs w:val="24"/>
              </w:rPr>
              <w:t>УФК по Новосибирской области (НИИ КПССЗ л/с 20396Х66880)</w:t>
            </w:r>
          </w:p>
          <w:p>
            <w:pPr>
              <w:pStyle w:val="Normal"/>
              <w:rPr>
                <w:szCs w:val="24"/>
              </w:rPr>
            </w:pPr>
            <w:r>
              <w:rPr>
                <w:szCs w:val="24"/>
              </w:rPr>
              <w:t>УФК по Новосибирской области (НИИ КПССЗ л/с 22396Х66880)</w:t>
            </w:r>
          </w:p>
          <w:p>
            <w:pPr>
              <w:pStyle w:val="Normal"/>
              <w:rPr>
                <w:szCs w:val="24"/>
              </w:rPr>
            </w:pPr>
            <w:r>
              <w:rPr>
                <w:szCs w:val="24"/>
              </w:rPr>
              <w:t>УФК по Новосибирской области (НИИ КПССЗ л/с 21396Х66880)</w:t>
            </w:r>
          </w:p>
          <w:p>
            <w:pPr>
              <w:pStyle w:val="Normal"/>
              <w:rPr>
                <w:szCs w:val="24"/>
              </w:rPr>
            </w:pPr>
            <w:r>
              <w:rPr>
                <w:szCs w:val="24"/>
              </w:rPr>
            </w:r>
          </w:p>
          <w:p>
            <w:pPr>
              <w:pStyle w:val="Normal"/>
              <w:rPr>
                <w:szCs w:val="24"/>
              </w:rPr>
            </w:pPr>
            <w:r>
              <w:rPr>
                <w:szCs w:val="24"/>
              </w:rPr>
              <w:t>ИНН 4205012290  КПП 420501001</w:t>
            </w:r>
          </w:p>
          <w:p>
            <w:pPr>
              <w:pStyle w:val="Normal"/>
              <w:rPr>
                <w:szCs w:val="24"/>
              </w:rPr>
            </w:pPr>
            <w:r>
              <w:rPr>
                <w:szCs w:val="24"/>
              </w:rPr>
              <w:t>Казначейский счет 03214643000000015106</w:t>
            </w:r>
          </w:p>
          <w:p>
            <w:pPr>
              <w:pStyle w:val="Normal"/>
              <w:rPr>
                <w:szCs w:val="24"/>
              </w:rPr>
            </w:pPr>
            <w:r>
              <w:rPr>
                <w:szCs w:val="24"/>
              </w:rPr>
              <w:t>ОКЦ № 1 СибГУ Банка России//УФК по Новосибирской области, г. Новосибирск</w:t>
            </w:r>
          </w:p>
          <w:p>
            <w:pPr>
              <w:pStyle w:val="Normal"/>
              <w:rPr>
                <w:szCs w:val="24"/>
              </w:rPr>
            </w:pPr>
            <w:r>
              <w:rPr>
                <w:szCs w:val="24"/>
              </w:rPr>
              <w:t>БИК  015004950</w:t>
            </w:r>
          </w:p>
          <w:p>
            <w:pPr>
              <w:pStyle w:val="Normal"/>
              <w:rPr>
                <w:szCs w:val="24"/>
              </w:rPr>
            </w:pPr>
            <w:r>
              <w:rPr>
                <w:szCs w:val="24"/>
              </w:rPr>
              <w:t>Единый казначейский счет  40102810445370000043</w:t>
            </w:r>
          </w:p>
          <w:p>
            <w:pPr>
              <w:pStyle w:val="Normal"/>
              <w:rPr>
                <w:szCs w:val="24"/>
              </w:rPr>
            </w:pPr>
            <w:r>
              <w:rPr>
                <w:szCs w:val="24"/>
              </w:rPr>
              <w:t>КБК 00000000000000000130</w:t>
            </w:r>
          </w:p>
          <w:p>
            <w:pPr>
              <w:pStyle w:val="Normal"/>
              <w:rPr>
                <w:szCs w:val="24"/>
              </w:rPr>
            </w:pPr>
            <w:r>
              <w:rPr>
                <w:szCs w:val="24"/>
              </w:rPr>
              <w:t>ОГРН 1034205024479</w:t>
            </w:r>
          </w:p>
          <w:p>
            <w:pPr>
              <w:pStyle w:val="Normal"/>
              <w:rPr>
                <w:szCs w:val="24"/>
              </w:rPr>
            </w:pPr>
            <w:r>
              <w:rPr>
                <w:szCs w:val="24"/>
              </w:rPr>
              <w:t>ОКПО 55608705</w:t>
            </w:r>
          </w:p>
          <w:p>
            <w:pPr>
              <w:pStyle w:val="Normal"/>
              <w:rPr>
                <w:szCs w:val="24"/>
              </w:rPr>
            </w:pPr>
            <w:r>
              <w:rPr>
                <w:szCs w:val="24"/>
              </w:rPr>
              <w:t>ОКАТО 32401000000</w:t>
            </w:r>
          </w:p>
          <w:p>
            <w:pPr>
              <w:pStyle w:val="Normal"/>
              <w:rPr>
                <w:szCs w:val="24"/>
              </w:rPr>
            </w:pPr>
            <w:r>
              <w:rPr>
                <w:szCs w:val="24"/>
              </w:rPr>
              <w:t>ОКТМО 32701000</w:t>
            </w:r>
          </w:p>
          <w:p>
            <w:pPr>
              <w:pStyle w:val="Normal"/>
              <w:rPr>
                <w:szCs w:val="24"/>
              </w:rPr>
            </w:pPr>
            <w:r>
              <w:rPr>
                <w:szCs w:val="24"/>
              </w:rPr>
              <w:t>ОКОГУ 1330612</w:t>
            </w:r>
          </w:p>
          <w:p>
            <w:pPr>
              <w:pStyle w:val="Normal"/>
              <w:rPr>
                <w:szCs w:val="24"/>
              </w:rPr>
            </w:pPr>
            <w:r>
              <w:rPr>
                <w:szCs w:val="24"/>
              </w:rPr>
              <w:t>ОКФС 12</w:t>
            </w:r>
          </w:p>
          <w:p>
            <w:pPr>
              <w:pStyle w:val="Normal"/>
              <w:rPr>
                <w:szCs w:val="24"/>
              </w:rPr>
            </w:pPr>
            <w:r>
              <w:rPr>
                <w:szCs w:val="24"/>
              </w:rPr>
              <w:t>ОКОПФ 75103</w:t>
            </w:r>
          </w:p>
          <w:p>
            <w:pPr>
              <w:pStyle w:val="Normal"/>
              <w:rPr>
                <w:szCs w:val="24"/>
              </w:rPr>
            </w:pPr>
            <w:r>
              <w:rPr>
                <w:szCs w:val="24"/>
              </w:rPr>
              <w:t>ОКВЭД 72.19</w:t>
            </w:r>
          </w:p>
          <w:p>
            <w:pPr>
              <w:pStyle w:val="Normal"/>
              <w:rPr>
                <w:szCs w:val="24"/>
              </w:rPr>
            </w:pPr>
            <w:r>
              <w:rPr>
                <w:szCs w:val="24"/>
              </w:rPr>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 Ковжун</w:t>
            </w:r>
          </w:p>
          <w:p>
            <w:pPr>
              <w:pStyle w:val="Normal"/>
              <w:rPr/>
            </w:pPr>
            <w:r>
              <w:rPr/>
            </w:r>
          </w:p>
        </w:tc>
        <w:tc>
          <w:tcPr>
            <w:tcW w:w="4820" w:type="dxa"/>
            <w:tcBorders/>
          </w:tcPr>
          <w:p>
            <w:pPr>
              <w:pStyle w:val="Normal"/>
              <w:jc w:val="both"/>
              <w:rPr/>
            </w:pPr>
            <w:r>
              <w:rPr/>
            </w:r>
          </w:p>
          <w:p>
            <w:pPr>
              <w:pStyle w:val="Normal"/>
              <w:jc w:val="both"/>
              <w:rPr>
                <w:b/>
                <w:bCs/>
                <w:shd w:fill="FFFF00" w:val="clear"/>
              </w:rPr>
            </w:pPr>
            <w:r>
              <w:rPr>
                <w:b/>
                <w:bCs/>
                <w:shd w:fill="FFFF00" w:val="clear"/>
              </w:rPr>
              <w:t>Поставщик:</w:t>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default" r:id="rId2"/>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pPr>
      <w:r>
        <w:rPr/>
        <w:t xml:space="preserve">Приложение №1 </w:t>
      </w:r>
    </w:p>
    <w:p>
      <w:pPr>
        <w:pStyle w:val="Normal"/>
        <w:spacing w:before="0" w:after="60"/>
        <w:jc w:val="right"/>
        <w:rPr/>
      </w:pPr>
      <w:r>
        <w:rPr/>
        <w:t xml:space="preserve">                                                                                                                         </w:t>
      </w:r>
      <w:bookmarkStart w:id="10" w:name="_Hlk180496427"/>
      <w:r>
        <w:rPr/>
        <w:t xml:space="preserve">к Контракту </w:t>
      </w:r>
      <w:r>
        <w:rPr>
          <w:b/>
          <w:bCs/>
        </w:rPr>
        <w:t>№</w:t>
      </w:r>
    </w:p>
    <w:p>
      <w:pPr>
        <w:pStyle w:val="Normal"/>
        <w:spacing w:before="0" w:after="60"/>
        <w:jc w:val="right"/>
        <w:rPr>
          <w:b/>
          <w:bCs/>
        </w:rPr>
      </w:pPr>
      <w:r>
        <w:rPr/>
        <w:t xml:space="preserve">                                                                                                                                </w:t>
      </w:r>
      <w:r>
        <w:rPr>
          <w:rFonts w:eastAsia="Calibri"/>
          <w:lang w:eastAsia="en-US"/>
        </w:rPr>
        <w:t>«      » ______________ 202_г.</w:t>
      </w:r>
      <w:bookmarkEnd w:id="10"/>
    </w:p>
    <w:p>
      <w:pPr>
        <w:pStyle w:val="Normal"/>
        <w:spacing w:before="0" w:after="60"/>
        <w:jc w:val="center"/>
        <w:rPr>
          <w:b/>
          <w:bCs/>
        </w:rPr>
      </w:pPr>
      <w:r>
        <w:rPr>
          <w:b/>
          <w:bCs/>
        </w:rPr>
        <w:t>Спецификация</w:t>
      </w:r>
    </w:p>
    <w:p>
      <w:pPr>
        <w:pStyle w:val="Normal"/>
        <w:spacing w:before="0" w:after="60"/>
        <w:jc w:val="center"/>
        <w:rPr>
          <w:b/>
          <w:bCs/>
        </w:rPr>
      </w:pPr>
      <w:r>
        <w:rPr>
          <w:b/>
          <w:bCs/>
        </w:rPr>
      </w:r>
    </w:p>
    <w:tbl>
      <w:tblPr>
        <w:tblW w:w="15714" w:type="dxa"/>
        <w:jc w:val="left"/>
        <w:tblInd w:w="0" w:type="dxa"/>
        <w:tblLayout w:type="fixed"/>
        <w:tblCellMar>
          <w:top w:w="0" w:type="dxa"/>
          <w:left w:w="108" w:type="dxa"/>
          <w:bottom w:w="0" w:type="dxa"/>
          <w:right w:w="108" w:type="dxa"/>
        </w:tblCellMar>
      </w:tblPr>
      <w:tblGrid>
        <w:gridCol w:w="600"/>
        <w:gridCol w:w="25"/>
        <w:gridCol w:w="7739"/>
        <w:gridCol w:w="399"/>
        <w:gridCol w:w="849"/>
        <w:gridCol w:w="306"/>
        <w:gridCol w:w="101"/>
        <w:gridCol w:w="1155"/>
        <w:gridCol w:w="264"/>
        <w:gridCol w:w="870"/>
        <w:gridCol w:w="1278"/>
        <w:gridCol w:w="2128"/>
      </w:tblGrid>
      <w:tr>
        <w:trPr>
          <w:trHeight w:val="574" w:hRule="atLeast"/>
        </w:trPr>
        <w:tc>
          <w:tcPr>
            <w:tcW w:w="6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auto" w:val="clear"/>
              </w:rPr>
            </w:pPr>
            <w:r>
              <w:rPr>
                <w:shd w:fill="auto" w:val="clear"/>
              </w:rPr>
              <w:t>№</w:t>
            </w:r>
          </w:p>
          <w:p>
            <w:pPr>
              <w:pStyle w:val="Normal"/>
              <w:widowControl w:val="false"/>
              <w:jc w:val="center"/>
              <w:rPr>
                <w:shd w:fill="auto" w:val="clear"/>
              </w:rPr>
            </w:pPr>
            <w:r>
              <w:rPr>
                <w:shd w:fill="auto" w:val="clear"/>
              </w:rPr>
              <w:t>п/п</w:t>
            </w:r>
          </w:p>
        </w:tc>
        <w:tc>
          <w:tcPr>
            <w:tcW w:w="776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auto" w:val="clear"/>
              </w:rPr>
            </w:pPr>
            <w:r>
              <w:rPr>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shd w:fill="auto" w:val="clear"/>
              </w:rPr>
            </w:pPr>
            <w:r>
              <w:rPr>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auto" w:val="clear"/>
              </w:rPr>
            </w:pPr>
            <w:r>
              <w:rPr>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fill="FFFFFF" w:val="clear"/>
              <w:jc w:val="center"/>
              <w:rPr>
                <w:shd w:fill="auto" w:val="clear"/>
              </w:rPr>
            </w:pPr>
            <w:r>
              <w:rPr>
                <w:color w:val="000000"/>
                <w:spacing w:val="-11"/>
                <w:shd w:fill="auto" w:val="clear"/>
              </w:rPr>
              <w:t>Стоимость единицы с НДС , рублей</w:t>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fill="FFFFFF" w:val="clear"/>
              <w:jc w:val="center"/>
              <w:rPr>
                <w:shd w:fill="auto" w:val="clear"/>
              </w:rPr>
            </w:pPr>
            <w:r>
              <w:rPr>
                <w:color w:val="000000"/>
                <w:spacing w:val="-11"/>
                <w:shd w:fill="auto" w:val="clear"/>
              </w:rPr>
              <w:t>Общая стоимость с НДС, рублей</w:t>
            </w:r>
          </w:p>
        </w:tc>
      </w:tr>
      <w:tr>
        <w:trPr>
          <w:trHeight w:val="406" w:hRule="atLeast"/>
        </w:trPr>
        <w:tc>
          <w:tcPr>
            <w:tcW w:w="600" w:type="dxa"/>
            <w:tcBorders>
              <w:top w:val="single" w:sz="4" w:space="0" w:color="000000"/>
              <w:left w:val="single" w:sz="10" w:space="0" w:color="000000"/>
              <w:bottom w:val="single" w:sz="4" w:space="0" w:color="000000"/>
              <w:right w:val="single" w:sz="4" w:space="0" w:color="000000"/>
            </w:tcBorders>
            <w:vAlign w:val="center"/>
          </w:tcPr>
          <w:p>
            <w:pPr>
              <w:pStyle w:val="Normal"/>
              <w:jc w:val="center"/>
              <w:rPr>
                <w:shd w:fill="auto" w:val="clear"/>
              </w:rPr>
            </w:pPr>
            <w:r>
              <w:rPr>
                <w:shd w:fill="auto" w:val="clear"/>
              </w:rPr>
              <w:t>1</w:t>
            </w:r>
          </w:p>
        </w:tc>
        <w:tc>
          <w:tcPr>
            <w:tcW w:w="7764" w:type="dxa"/>
            <w:gridSpan w:val="2"/>
            <w:tcBorders>
              <w:top w:val="single" w:sz="4" w:space="0" w:color="000001"/>
              <w:left w:val="single" w:sz="4" w:space="0" w:color="000001"/>
              <w:bottom w:val="single" w:sz="4" w:space="0" w:color="000000"/>
              <w:right w:val="single" w:sz="4" w:space="0" w:color="000000"/>
            </w:tcBorders>
          </w:tcPr>
          <w:p>
            <w:pPr>
              <w:pStyle w:val="Style24"/>
              <w:widowControl/>
              <w:bidi w:val="0"/>
              <w:jc w:val="left"/>
              <w:rPr>
                <w:rFonts w:ascii="Times New Roman" w:hAnsi="Times New Roman" w:cs="Times New Roman"/>
                <w:b w:val="false"/>
                <w:bCs/>
                <w:i w:val="false"/>
                <w:i w:val="false"/>
                <w:strike w:val="false"/>
                <w:dstrike w:val="false"/>
                <w:outline w:val="false"/>
                <w:shadow w:val="false"/>
                <w:color w:val="auto"/>
                <w:sz w:val="20"/>
                <w:szCs w:val="16"/>
                <w:u w:val="none"/>
                <w:shd w:fill="FFFFFF" w:val="clear"/>
                <w:em w:val="none"/>
              </w:rPr>
            </w:pPr>
            <w:r>
              <w:rPr>
                <w:rFonts w:cs="Times New Roman" w:ascii="Times New Roman" w:hAnsi="Times New Roman"/>
                <w:b w:val="false"/>
                <w:bCs/>
                <w:i w:val="false"/>
                <w:strike w:val="false"/>
                <w:dstrike w:val="false"/>
                <w:outline w:val="false"/>
                <w:shadow w:val="false"/>
                <w:color w:val="000000"/>
                <w:sz w:val="20"/>
                <w:szCs w:val="16"/>
                <w:u w:val="none"/>
                <w:shd w:fill="FFFFFF" w:val="clear"/>
                <w:em w:val="none"/>
              </w:rPr>
              <w:t xml:space="preserve">Укладка врача скорой медицинский помощи для хранения и транспортировки лекарственных средств, инструментов и других медицинских изделий УМСП-01 </w:t>
            </w:r>
          </w:p>
          <w:p>
            <w:pPr>
              <w:pStyle w:val="Normal"/>
              <w:bidi w:val="0"/>
              <w:jc w:val="center"/>
              <w:rPr>
                <w:rFonts w:ascii="Times New Roman" w:hAnsi="Times New Roman"/>
                <w:b w:val="false"/>
                <w:i w:val="false"/>
                <w:i w:val="false"/>
                <w:strike w:val="false"/>
                <w:dstrike w:val="false"/>
                <w:outline w:val="false"/>
                <w:shadow w:val="false"/>
                <w:sz w:val="13"/>
                <w:u w:val="none"/>
                <w:em w:val="none"/>
              </w:rPr>
            </w:pPr>
            <w:r>
              <w:rPr>
                <w:b w:val="false"/>
                <w:i w:val="false"/>
                <w:strike w:val="false"/>
                <w:dstrike w:val="false"/>
                <w:outline w:val="false"/>
                <w:shadow w:val="false"/>
                <w:color w:val="auto"/>
                <w:sz w:val="20"/>
                <w:u w:val="none"/>
                <w:em w:val="none"/>
              </w:rPr>
            </w:r>
          </w:p>
          <w:tbl>
            <w:tblPr>
              <w:tblW w:w="7423" w:type="dxa"/>
              <w:jc w:val="left"/>
              <w:tblInd w:w="-5" w:type="dxa"/>
              <w:tblLayout w:type="fixed"/>
              <w:tblCellMar>
                <w:top w:w="0" w:type="dxa"/>
                <w:left w:w="108" w:type="dxa"/>
                <w:bottom w:w="0" w:type="dxa"/>
                <w:right w:w="108" w:type="dxa"/>
              </w:tblCellMar>
            </w:tblPr>
            <w:tblGrid>
              <w:gridCol w:w="1980"/>
              <w:gridCol w:w="3351"/>
              <w:gridCol w:w="2092"/>
            </w:tblGrid>
            <w:tr>
              <w:trPr/>
              <w:tc>
                <w:tcPr>
                  <w:tcW w:w="1980" w:type="dxa"/>
                  <w:tcBorders>
                    <w:top w:val="single" w:sz="4" w:space="0" w:color="000000"/>
                    <w:left w:val="single" w:sz="4" w:space="0" w:color="000000"/>
                    <w:bottom w:val="single" w:sz="4" w:space="0" w:color="000000"/>
                  </w:tcBorders>
                  <w:shd w:fill="FFFFFF" w:val="clear"/>
                </w:tcPr>
                <w:p>
                  <w:pPr>
                    <w:pStyle w:val="Style24"/>
                    <w:bidi w:val="0"/>
                    <w:jc w:val="left"/>
                    <w:rPr>
                      <w:rFonts w:ascii="Times New Roman" w:hAnsi="Times New Roman" w:eastAsia="Times New Roman" w:cs="Times New Roman"/>
                      <w:b/>
                      <w:bCs/>
                      <w:caps/>
                      <w:color w:val="000000"/>
                      <w:sz w:val="16"/>
                      <w:szCs w:val="16"/>
                      <w:shd w:fill="FFFFFF" w:val="clear"/>
                    </w:rPr>
                  </w:pPr>
                  <w:r>
                    <w:rPr>
                      <w:rFonts w:eastAsia="Times New Roman" w:cs="Times New Roman" w:ascii="Times New Roman" w:hAnsi="Times New Roman"/>
                      <w:b/>
                      <w:bCs/>
                      <w:caps/>
                      <w:color w:val="000000"/>
                      <w:sz w:val="16"/>
                      <w:szCs w:val="16"/>
                      <w:shd w:fill="FFFFFF" w:val="clear"/>
                    </w:rPr>
                    <w:t>НАИМЕНОВАНИЕ ХАРАКТЕРИСТИКИ</w:t>
                  </w:r>
                </w:p>
              </w:tc>
              <w:tc>
                <w:tcPr>
                  <w:tcW w:w="3351" w:type="dxa"/>
                  <w:tcBorders>
                    <w:top w:val="single" w:sz="4" w:space="0" w:color="000000"/>
                    <w:left w:val="single" w:sz="4" w:space="0" w:color="000000"/>
                    <w:bottom w:val="single" w:sz="4" w:space="0" w:color="000000"/>
                  </w:tcBorders>
                  <w:shd w:fill="FFFFFF" w:val="clear"/>
                </w:tcPr>
                <w:p>
                  <w:pPr>
                    <w:pStyle w:val="Style24"/>
                    <w:bidi w:val="0"/>
                    <w:jc w:val="left"/>
                    <w:rPr>
                      <w:rFonts w:ascii="Times New Roman" w:hAnsi="Times New Roman" w:eastAsia="Times New Roman" w:cs="Times New Roman"/>
                      <w:b/>
                      <w:sz w:val="16"/>
                      <w:szCs w:val="16"/>
                      <w:shd w:fill="FFFFFF" w:val="clear"/>
                      <w:lang w:eastAsia="ru-RU"/>
                    </w:rPr>
                  </w:pPr>
                  <w:r>
                    <w:rPr>
                      <w:rFonts w:eastAsia="Times New Roman" w:cs="Times New Roman" w:ascii="Times New Roman" w:hAnsi="Times New Roman"/>
                      <w:b/>
                      <w:sz w:val="16"/>
                      <w:szCs w:val="16"/>
                      <w:shd w:fill="FFFFFF" w:val="clear"/>
                      <w:lang w:eastAsia="ru-RU"/>
                    </w:rPr>
                    <w:t>ЗНАЧЕНИЕ ХАРАКТЕРИСТИКИ</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jc w:val="left"/>
                    <w:rPr>
                      <w:rFonts w:ascii="Times New Roman" w:hAnsi="Times New Roman" w:eastAsia="Times New Roman" w:cs="Times New Roman"/>
                      <w:b/>
                      <w:sz w:val="16"/>
                      <w:szCs w:val="16"/>
                      <w:shd w:fill="FFFFFF" w:val="clear"/>
                      <w:lang w:eastAsia="ru-RU"/>
                    </w:rPr>
                  </w:pPr>
                  <w:r>
                    <w:rPr>
                      <w:rFonts w:eastAsia="Times New Roman" w:cs="Times New Roman" w:ascii="Times New Roman" w:hAnsi="Times New Roman"/>
                      <w:b/>
                      <w:sz w:val="16"/>
                      <w:szCs w:val="16"/>
                      <w:shd w:fill="FFFFFF" w:val="clear"/>
                      <w:lang w:eastAsia="ru-RU"/>
                    </w:rPr>
                    <w:t>ЕДИНИЦА ИЗМЕРЕНИЯ ХАРАКТЕРИСТИКИ</w:t>
                  </w:r>
                </w:p>
              </w:tc>
            </w:tr>
            <w:tr>
              <w:trPr/>
              <w:tc>
                <w:tcPr>
                  <w:tcW w:w="1980"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1.Материал корпуса</w:t>
                  </w:r>
                </w:p>
              </w:tc>
              <w:tc>
                <w:tcPr>
                  <w:tcW w:w="3351"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Пищевой АБС-пластик, ударопрочный, термостойкий</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r>
                </w:p>
              </w:tc>
            </w:tr>
            <w:tr>
              <w:trPr/>
              <w:tc>
                <w:tcPr>
                  <w:tcW w:w="1980"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2.Материал лотков</w:t>
                  </w:r>
                </w:p>
              </w:tc>
              <w:tc>
                <w:tcPr>
                  <w:tcW w:w="3351"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Пищевой полипропилен</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r>
                </w:p>
              </w:tc>
            </w:tr>
            <w:tr>
              <w:trPr/>
              <w:tc>
                <w:tcPr>
                  <w:tcW w:w="1980"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3.Конструкция</w:t>
                  </w:r>
                </w:p>
              </w:tc>
              <w:tc>
                <w:tcPr>
                  <w:tcW w:w="3351"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Саквояж с 2-мя горизонтально-ориентированными лотками, расположенными в створках, которые крепятся к корпусу надежными петлями со стальным стержнем,  литые замки и ручка. </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r>
                </w:p>
              </w:tc>
            </w:tr>
            <w:tr>
              <w:trPr/>
              <w:tc>
                <w:tcPr>
                  <w:tcW w:w="1980" w:type="dxa"/>
                  <w:tcBorders>
                    <w:top w:val="single" w:sz="4" w:space="0" w:color="000000"/>
                    <w:left w:val="single" w:sz="4" w:space="0" w:color="000000"/>
                    <w:bottom w:val="single" w:sz="4" w:space="0" w:color="000000"/>
                  </w:tcBorders>
                </w:tcPr>
                <w:p>
                  <w:pPr>
                    <w:pStyle w:val="Normal"/>
                    <w:snapToGrid w:val="false"/>
                    <w:spacing w:before="0" w:after="200"/>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t>4.Высота створки</w:t>
                  </w:r>
                </w:p>
              </w:tc>
              <w:tc>
                <w:tcPr>
                  <w:tcW w:w="3351"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 xml:space="preserve">150  </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t>мм</w:t>
                  </w:r>
                </w:p>
              </w:tc>
            </w:tr>
            <w:tr>
              <w:trPr/>
              <w:tc>
                <w:tcPr>
                  <w:tcW w:w="1980" w:type="dxa"/>
                  <w:tcBorders>
                    <w:left w:val="single" w:sz="4" w:space="0" w:color="000000"/>
                    <w:bottom w:val="single" w:sz="4" w:space="0" w:color="000000"/>
                  </w:tcBorders>
                </w:tcPr>
                <w:p>
                  <w:pPr>
                    <w:pStyle w:val="Normal"/>
                    <w:snapToGrid w:val="false"/>
                    <w:spacing w:before="0" w:after="200"/>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t>5.Высота укладки без учета ручки</w:t>
                  </w:r>
                </w:p>
              </w:tc>
              <w:tc>
                <w:tcPr>
                  <w:tcW w:w="3351" w:type="dxa"/>
                  <w:tcBorders>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320</w:t>
                  </w:r>
                </w:p>
              </w:tc>
              <w:tc>
                <w:tcPr>
                  <w:tcW w:w="2092" w:type="dxa"/>
                  <w:tcBorders>
                    <w:left w:val="single" w:sz="4" w:space="0" w:color="000000"/>
                    <w:bottom w:val="single" w:sz="4" w:space="0" w:color="000000"/>
                    <w:right w:val="single" w:sz="4" w:space="0" w:color="000000"/>
                  </w:tcBorders>
                  <w:shd w:fill="FFFFFF" w:val="clear"/>
                </w:tcPr>
                <w:p>
                  <w:pPr>
                    <w:pStyle w:val="Style24"/>
                    <w:bidi w:val="0"/>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t>мм</w:t>
                  </w:r>
                </w:p>
              </w:tc>
            </w:tr>
            <w:tr>
              <w:trPr/>
              <w:tc>
                <w:tcPr>
                  <w:tcW w:w="1980" w:type="dxa"/>
                  <w:tcBorders>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 xml:space="preserve">6.Ручка выступает над поверхностью створки </w:t>
                  </w:r>
                </w:p>
              </w:tc>
              <w:tc>
                <w:tcPr>
                  <w:tcW w:w="3351" w:type="dxa"/>
                  <w:tcBorders>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20</w:t>
                  </w:r>
                </w:p>
              </w:tc>
              <w:tc>
                <w:tcPr>
                  <w:tcW w:w="2092" w:type="dxa"/>
                  <w:tcBorders>
                    <w:left w:val="single" w:sz="4" w:space="0" w:color="000000"/>
                    <w:bottom w:val="single" w:sz="4" w:space="0" w:color="000000"/>
                    <w:right w:val="single" w:sz="4" w:space="0" w:color="000000"/>
                  </w:tcBorders>
                  <w:shd w:fill="FFFFFF" w:val="clear"/>
                </w:tcPr>
                <w:p>
                  <w:pPr>
                    <w:pStyle w:val="Style24"/>
                    <w:bidi w:val="0"/>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t>мм</w:t>
                  </w:r>
                </w:p>
              </w:tc>
            </w:tr>
            <w:tr>
              <w:trPr/>
              <w:tc>
                <w:tcPr>
                  <w:tcW w:w="1980"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7.Светоотражающая лента на корпусе укладки</w:t>
                  </w:r>
                </w:p>
              </w:tc>
              <w:tc>
                <w:tcPr>
                  <w:tcW w:w="3351"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Наличие </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r>
                </w:p>
              </w:tc>
            </w:tr>
            <w:tr>
              <w:trPr/>
              <w:tc>
                <w:tcPr>
                  <w:tcW w:w="1980"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8.Отсутствие острых углов и кромок на внешних поверхностях футляра, отсутствие текстильных застежек и молний, отсутствие скрытых полостей и карманов</w:t>
                  </w:r>
                </w:p>
              </w:tc>
              <w:tc>
                <w:tcPr>
                  <w:tcW w:w="3351"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Наличие</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r>
                </w:p>
              </w:tc>
            </w:tr>
            <w:tr>
              <w:trPr/>
              <w:tc>
                <w:tcPr>
                  <w:tcW w:w="1980"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9.Обеспечение беспрепятственного доступа ко всем вложениям укладки в открытом состоянии</w:t>
                  </w:r>
                </w:p>
              </w:tc>
              <w:tc>
                <w:tcPr>
                  <w:tcW w:w="3351"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Наличие</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r>
                </w:p>
              </w:tc>
            </w:tr>
            <w:tr>
              <w:trPr/>
              <w:tc>
                <w:tcPr>
                  <w:tcW w:w="1980"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10.Обеспечение сохранности  содержимого при подъеме укладки с незакрытыми замками</w:t>
                  </w:r>
                </w:p>
              </w:tc>
              <w:tc>
                <w:tcPr>
                  <w:tcW w:w="3351"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Наличие </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r>
                </w:p>
              </w:tc>
            </w:tr>
            <w:tr>
              <w:trPr>
                <w:trHeight w:val="197" w:hRule="atLeast"/>
              </w:trPr>
              <w:tc>
                <w:tcPr>
                  <w:tcW w:w="1980" w:type="dxa"/>
                  <w:tcBorders>
                    <w:top w:val="single" w:sz="4" w:space="0" w:color="000000"/>
                    <w:left w:val="single" w:sz="4" w:space="0" w:color="000000"/>
                    <w:bottom w:val="single" w:sz="4" w:space="0" w:color="000000"/>
                  </w:tcBorders>
                </w:tcPr>
                <w:p>
                  <w:pPr>
                    <w:pStyle w:val="Style22"/>
                    <w:spacing w:before="0" w:after="200"/>
                    <w:ind w:right="0"/>
                    <w:jc w:val="left"/>
                    <w:rPr/>
                  </w:pPr>
                  <w:r>
                    <w:rPr>
                      <w:rFonts w:eastAsia="Times New Roman" w:cs="Times New Roman" w:ascii="Times New Roman" w:hAnsi="Times New Roman"/>
                      <w:sz w:val="16"/>
                      <w:szCs w:val="16"/>
                      <w:shd w:fill="FFFFFF" w:val="clear"/>
                      <w:lang w:eastAsia="ru-RU"/>
                    </w:rPr>
                    <w:t>11.</w:t>
                  </w:r>
                  <w:r>
                    <w:rPr>
                      <w:rFonts w:cs="Times New Roman" w:ascii="Times New Roman" w:hAnsi="Times New Roman"/>
                      <w:sz w:val="16"/>
                      <w:szCs w:val="16"/>
                    </w:rPr>
                    <w:t xml:space="preserve">Ампулодержатель, количество ячеек для размещения ампул </w:t>
                  </w:r>
                </w:p>
              </w:tc>
              <w:tc>
                <w:tcPr>
                  <w:tcW w:w="3351"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 xml:space="preserve">202 </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t>шт</w:t>
                  </w:r>
                </w:p>
              </w:tc>
            </w:tr>
            <w:tr>
              <w:trPr/>
              <w:tc>
                <w:tcPr>
                  <w:tcW w:w="1980"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 xml:space="preserve">12.Флаконодержатель, количество ячеек для размещения флаконов  </w:t>
                  </w:r>
                </w:p>
              </w:tc>
              <w:tc>
                <w:tcPr>
                  <w:tcW w:w="3351"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 xml:space="preserve">6 </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t>шт</w:t>
                  </w:r>
                </w:p>
              </w:tc>
            </w:tr>
            <w:tr>
              <w:trPr/>
              <w:tc>
                <w:tcPr>
                  <w:tcW w:w="1980"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13.Свободное от ампулодержателей дно футляра</w:t>
                  </w:r>
                </w:p>
              </w:tc>
              <w:tc>
                <w:tcPr>
                  <w:tcW w:w="3351"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Наличие </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r>
                </w:p>
              </w:tc>
            </w:tr>
            <w:tr>
              <w:trPr/>
              <w:tc>
                <w:tcPr>
                  <w:tcW w:w="1980" w:type="dxa"/>
                  <w:tcBorders>
                    <w:top w:val="single" w:sz="4" w:space="0" w:color="000000"/>
                    <w:left w:val="single" w:sz="4" w:space="0" w:color="000000"/>
                    <w:bottom w:val="single" w:sz="4" w:space="0" w:color="000000"/>
                  </w:tcBorders>
                </w:tcPr>
                <w:p>
                  <w:pPr>
                    <w:pStyle w:val="Style22"/>
                    <w:spacing w:before="0" w:after="200"/>
                    <w:ind w:right="0"/>
                    <w:jc w:val="left"/>
                    <w:rPr/>
                  </w:pPr>
                  <w:r>
                    <w:rPr>
                      <w:rFonts w:eastAsia="Times New Roman" w:cs="Times New Roman" w:ascii="Times New Roman" w:hAnsi="Times New Roman"/>
                      <w:sz w:val="16"/>
                      <w:szCs w:val="16"/>
                      <w:shd w:fill="FFFFFF" w:val="clear"/>
                      <w:lang w:eastAsia="ru-RU"/>
                    </w:rPr>
                    <w:t>14.</w:t>
                  </w:r>
                  <w:r>
                    <w:rPr>
                      <w:rFonts w:cs="Times New Roman" w:ascii="Times New Roman" w:hAnsi="Times New Roman"/>
                      <w:sz w:val="16"/>
                      <w:szCs w:val="16"/>
                    </w:rPr>
                    <w:t>Липкая аппликация с наименованиями медикаментов</w:t>
                  </w:r>
                </w:p>
              </w:tc>
              <w:tc>
                <w:tcPr>
                  <w:tcW w:w="3351"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Наличие</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r>
                </w:p>
              </w:tc>
            </w:tr>
            <w:tr>
              <w:trPr/>
              <w:tc>
                <w:tcPr>
                  <w:tcW w:w="1980" w:type="dxa"/>
                  <w:tcBorders>
                    <w:top w:val="single" w:sz="4" w:space="0" w:color="000000"/>
                    <w:left w:val="single" w:sz="4" w:space="0" w:color="000000"/>
                    <w:bottom w:val="single" w:sz="4" w:space="0" w:color="000000"/>
                  </w:tcBorders>
                </w:tcPr>
                <w:p>
                  <w:pPr>
                    <w:pStyle w:val="Style22"/>
                    <w:spacing w:before="0" w:after="200"/>
                    <w:ind w:right="0"/>
                    <w:jc w:val="left"/>
                    <w:rPr/>
                  </w:pPr>
                  <w:r>
                    <w:rPr>
                      <w:rFonts w:eastAsia="Times New Roman" w:cs="Times New Roman" w:ascii="Times New Roman" w:hAnsi="Times New Roman"/>
                      <w:sz w:val="16"/>
                      <w:szCs w:val="16"/>
                      <w:shd w:fill="FFFFFF" w:val="clear"/>
                      <w:lang w:eastAsia="ru-RU"/>
                    </w:rPr>
                    <w:t>15.</w:t>
                  </w:r>
                  <w:r>
                    <w:rPr>
                      <w:rFonts w:cs="Times New Roman" w:ascii="Times New Roman" w:hAnsi="Times New Roman"/>
                      <w:sz w:val="16"/>
                      <w:szCs w:val="16"/>
                    </w:rPr>
                    <w:t>Липкая аппликация «Медицинский крест»</w:t>
                  </w:r>
                </w:p>
              </w:tc>
              <w:tc>
                <w:tcPr>
                  <w:tcW w:w="3351"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Наличие</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r>
                </w:p>
              </w:tc>
            </w:tr>
            <w:tr>
              <w:trPr/>
              <w:tc>
                <w:tcPr>
                  <w:tcW w:w="1980" w:type="dxa"/>
                  <w:tcBorders>
                    <w:top w:val="single" w:sz="4" w:space="0" w:color="000000"/>
                    <w:left w:val="single" w:sz="4" w:space="0" w:color="000000"/>
                    <w:bottom w:val="single" w:sz="4" w:space="0" w:color="000000"/>
                  </w:tcBorders>
                </w:tcPr>
                <w:p>
                  <w:pPr>
                    <w:pStyle w:val="Style22"/>
                    <w:spacing w:before="0" w:after="200"/>
                    <w:ind w:right="0"/>
                    <w:jc w:val="left"/>
                    <w:rPr/>
                  </w:pPr>
                  <w:r>
                    <w:rPr>
                      <w:rFonts w:eastAsia="Times New Roman" w:cs="Times New Roman" w:ascii="Times New Roman" w:hAnsi="Times New Roman"/>
                      <w:sz w:val="16"/>
                      <w:szCs w:val="16"/>
                      <w:shd w:fill="FFFFFF" w:val="clear"/>
                      <w:lang w:eastAsia="ru-RU"/>
                    </w:rPr>
                    <w:t>16.</w:t>
                  </w:r>
                  <w:r>
                    <w:rPr>
                      <w:rFonts w:cs="Times New Roman" w:ascii="Times New Roman" w:hAnsi="Times New Roman"/>
                      <w:sz w:val="16"/>
                      <w:szCs w:val="16"/>
                    </w:rPr>
                    <w:t>Бирочное окошко для указания №подстанции, бригады</w:t>
                  </w:r>
                </w:p>
              </w:tc>
              <w:tc>
                <w:tcPr>
                  <w:tcW w:w="3351"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Наличие</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r>
                </w:p>
              </w:tc>
            </w:tr>
            <w:tr>
              <w:trPr>
                <w:trHeight w:val="861" w:hRule="atLeast"/>
              </w:trPr>
              <w:tc>
                <w:tcPr>
                  <w:tcW w:w="1980"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17.Обеспечение возможности легко, быстро и удобно проводить санобработку укладки без необходимости последующей сушки изделия</w:t>
                  </w:r>
                </w:p>
              </w:tc>
              <w:tc>
                <w:tcPr>
                  <w:tcW w:w="3351"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Наличие</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r>
                </w:p>
              </w:tc>
            </w:tr>
            <w:tr>
              <w:trPr>
                <w:trHeight w:val="730" w:hRule="atLeast"/>
              </w:trPr>
              <w:tc>
                <w:tcPr>
                  <w:tcW w:w="1980"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 xml:space="preserve">18.Масса изделия без вложений </w:t>
                  </w:r>
                </w:p>
              </w:tc>
              <w:tc>
                <w:tcPr>
                  <w:tcW w:w="3351" w:type="dxa"/>
                  <w:tcBorders>
                    <w:top w:val="single" w:sz="4" w:space="0" w:color="000000"/>
                    <w:left w:val="single" w:sz="4" w:space="0" w:color="000000"/>
                    <w:bottom w:val="single" w:sz="4" w:space="0" w:color="000000"/>
                  </w:tcBorders>
                  <w:vAlign w:val="center"/>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 xml:space="preserve">2,5 </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t>кг</w:t>
                  </w:r>
                </w:p>
              </w:tc>
            </w:tr>
            <w:tr>
              <w:trPr/>
              <w:tc>
                <w:tcPr>
                  <w:tcW w:w="1980"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 xml:space="preserve">19.Габаритные размеры  </w:t>
                  </w:r>
                </w:p>
              </w:tc>
              <w:tc>
                <w:tcPr>
                  <w:tcW w:w="3351" w:type="dxa"/>
                  <w:tcBorders>
                    <w:top w:val="single" w:sz="4" w:space="0" w:color="000000"/>
                    <w:left w:val="single" w:sz="4" w:space="0" w:color="000000"/>
                    <w:bottom w:val="single" w:sz="4" w:space="0" w:color="000000"/>
                  </w:tcBorders>
                  <w:vAlign w:val="center"/>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440х252х340</w:t>
                  </w:r>
                </w:p>
              </w:tc>
              <w:tc>
                <w:tcPr>
                  <w:tcW w:w="2092" w:type="dxa"/>
                  <w:tcBorders>
                    <w:top w:val="single" w:sz="4" w:space="0" w:color="000000"/>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t>мм</w:t>
                  </w:r>
                </w:p>
              </w:tc>
            </w:tr>
            <w:tr>
              <w:trPr/>
              <w:tc>
                <w:tcPr>
                  <w:tcW w:w="1980"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b/>
                      <w:bCs/>
                      <w:sz w:val="16"/>
                      <w:szCs w:val="16"/>
                    </w:rPr>
                  </w:pPr>
                  <w:r>
                    <w:rPr>
                      <w:rFonts w:cs="Times New Roman" w:ascii="Times New Roman" w:hAnsi="Times New Roman"/>
                      <w:b/>
                      <w:bCs/>
                      <w:sz w:val="16"/>
                      <w:szCs w:val="16"/>
                    </w:rPr>
                    <w:t>20.Комплектация:</w:t>
                  </w:r>
                </w:p>
              </w:tc>
              <w:tc>
                <w:tcPr>
                  <w:tcW w:w="3351" w:type="dxa"/>
                  <w:tcBorders>
                    <w:top w:val="single" w:sz="4" w:space="0" w:color="000000"/>
                    <w:left w:val="single" w:sz="4" w:space="0" w:color="000000"/>
                    <w:bottom w:val="single" w:sz="4" w:space="0" w:color="000000"/>
                  </w:tcBorders>
                </w:tcPr>
                <w:p>
                  <w:pPr>
                    <w:pStyle w:val="Style22"/>
                    <w:spacing w:before="0" w:after="200"/>
                    <w:ind w:right="0"/>
                    <w:jc w:val="left"/>
                    <w:rPr>
                      <w:rFonts w:ascii="Times New Roman" w:hAnsi="Times New Roman" w:cs="Times New Roman"/>
                      <w:b w:val="false"/>
                      <w:bCs w:val="false"/>
                      <w:sz w:val="16"/>
                      <w:szCs w:val="16"/>
                    </w:rPr>
                  </w:pPr>
                  <w:r>
                    <w:rPr>
                      <w:rFonts w:cs="Times New Roman" w:ascii="Times New Roman" w:hAnsi="Times New Roman"/>
                      <w:b w:val="false"/>
                      <w:bCs w:val="false"/>
                      <w:sz w:val="16"/>
                      <w:szCs w:val="16"/>
                    </w:rPr>
                    <w:t>наличие</w:t>
                  </w:r>
                </w:p>
              </w:tc>
              <w:tc>
                <w:tcPr>
                  <w:tcW w:w="2092" w:type="dxa"/>
                  <w:tcBorders>
                    <w:top w:val="single" w:sz="4" w:space="0" w:color="000000"/>
                    <w:left w:val="single" w:sz="4" w:space="0" w:color="000000"/>
                    <w:bottom w:val="single" w:sz="4" w:space="0" w:color="000000"/>
                    <w:right w:val="single" w:sz="4" w:space="0" w:color="000000"/>
                  </w:tcBorders>
                </w:tcPr>
                <w:p>
                  <w:pPr>
                    <w:pStyle w:val="Style22"/>
                    <w:snapToGrid w:val="false"/>
                    <w:spacing w:before="0" w:after="200"/>
                    <w:ind w:right="0"/>
                    <w:jc w:val="left"/>
                    <w:rPr>
                      <w:rFonts w:ascii="Times New Roman" w:hAnsi="Times New Roman" w:cs="Times New Roman"/>
                      <w:b/>
                      <w:bCs/>
                      <w:sz w:val="16"/>
                      <w:szCs w:val="16"/>
                    </w:rPr>
                  </w:pPr>
                  <w:r>
                    <w:rPr>
                      <w:rFonts w:cs="Times New Roman" w:ascii="Times New Roman" w:hAnsi="Times New Roman"/>
                      <w:b/>
                      <w:bCs/>
                      <w:sz w:val="16"/>
                      <w:szCs w:val="16"/>
                    </w:rPr>
                  </w:r>
                </w:p>
              </w:tc>
            </w:tr>
            <w:tr>
              <w:trPr/>
              <w:tc>
                <w:tcPr>
                  <w:tcW w:w="1980" w:type="dxa"/>
                  <w:tcBorders>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20.1 Укладка с ложементами </w:t>
                  </w:r>
                </w:p>
              </w:tc>
              <w:tc>
                <w:tcPr>
                  <w:tcW w:w="3351" w:type="dxa"/>
                  <w:tcBorders>
                    <w:left w:val="single" w:sz="4" w:space="0" w:color="000000"/>
                    <w:bottom w:val="single" w:sz="4" w:space="0" w:color="000000"/>
                  </w:tcBorders>
                  <w:vAlign w:val="center"/>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 xml:space="preserve">1 </w:t>
                  </w:r>
                </w:p>
              </w:tc>
              <w:tc>
                <w:tcPr>
                  <w:tcW w:w="2092" w:type="dxa"/>
                  <w:tcBorders>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t>шт</w:t>
                  </w:r>
                </w:p>
              </w:tc>
            </w:tr>
            <w:tr>
              <w:trPr/>
              <w:tc>
                <w:tcPr>
                  <w:tcW w:w="1980" w:type="dxa"/>
                  <w:tcBorders>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20.2 Липкая аппликация </w:t>
                  </w:r>
                </w:p>
              </w:tc>
              <w:tc>
                <w:tcPr>
                  <w:tcW w:w="3351" w:type="dxa"/>
                  <w:tcBorders>
                    <w:left w:val="single" w:sz="4" w:space="0" w:color="000000"/>
                    <w:bottom w:val="single" w:sz="4" w:space="0" w:color="000000"/>
                  </w:tcBorders>
                  <w:vAlign w:val="center"/>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 xml:space="preserve">1 </w:t>
                  </w:r>
                </w:p>
              </w:tc>
              <w:tc>
                <w:tcPr>
                  <w:tcW w:w="2092" w:type="dxa"/>
                  <w:tcBorders>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t>шт</w:t>
                  </w:r>
                </w:p>
              </w:tc>
            </w:tr>
            <w:tr>
              <w:trPr/>
              <w:tc>
                <w:tcPr>
                  <w:tcW w:w="1980" w:type="dxa"/>
                  <w:tcBorders>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20.3 Руководство по эксплуатации на русском языке</w:t>
                  </w:r>
                </w:p>
              </w:tc>
              <w:tc>
                <w:tcPr>
                  <w:tcW w:w="3351" w:type="dxa"/>
                  <w:tcBorders>
                    <w:left w:val="single" w:sz="4" w:space="0" w:color="000000"/>
                    <w:bottom w:val="single" w:sz="4" w:space="0" w:color="000000"/>
                  </w:tcBorders>
                  <w:vAlign w:val="center"/>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 xml:space="preserve">1 </w:t>
                  </w:r>
                </w:p>
              </w:tc>
              <w:tc>
                <w:tcPr>
                  <w:tcW w:w="2092" w:type="dxa"/>
                  <w:tcBorders>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t>шт</w:t>
                  </w:r>
                </w:p>
              </w:tc>
            </w:tr>
            <w:tr>
              <w:trPr/>
              <w:tc>
                <w:tcPr>
                  <w:tcW w:w="1980" w:type="dxa"/>
                  <w:tcBorders>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20.4 Рем.комплект к укладке</w:t>
                  </w:r>
                </w:p>
              </w:tc>
              <w:tc>
                <w:tcPr>
                  <w:tcW w:w="3351" w:type="dxa"/>
                  <w:tcBorders>
                    <w:left w:val="single" w:sz="4" w:space="0" w:color="000000"/>
                    <w:bottom w:val="single" w:sz="4" w:space="0" w:color="000000"/>
                  </w:tcBorders>
                  <w:vAlign w:val="center"/>
                </w:tcPr>
                <w:p>
                  <w:pPr>
                    <w:pStyle w:val="Style22"/>
                    <w:spacing w:before="0" w:after="200"/>
                    <w:jc w:val="left"/>
                    <w:rPr>
                      <w:rFonts w:ascii="Times New Roman" w:hAnsi="Times New Roman" w:cs="Times New Roman"/>
                      <w:sz w:val="16"/>
                      <w:szCs w:val="16"/>
                    </w:rPr>
                  </w:pPr>
                  <w:r>
                    <w:rPr>
                      <w:rFonts w:cs="Times New Roman" w:ascii="Times New Roman" w:hAnsi="Times New Roman"/>
                      <w:sz w:val="16"/>
                      <w:szCs w:val="16"/>
                    </w:rPr>
                    <w:t xml:space="preserve">1 </w:t>
                  </w:r>
                </w:p>
              </w:tc>
              <w:tc>
                <w:tcPr>
                  <w:tcW w:w="2092" w:type="dxa"/>
                  <w:tcBorders>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t>компл</w:t>
                  </w:r>
                </w:p>
              </w:tc>
            </w:tr>
            <w:tr>
              <w:trPr/>
              <w:tc>
                <w:tcPr>
                  <w:tcW w:w="1980" w:type="dxa"/>
                  <w:tcBorders>
                    <w:left w:val="single" w:sz="4" w:space="0" w:color="000000"/>
                    <w:bottom w:val="single" w:sz="4" w:space="0" w:color="000000"/>
                  </w:tcBorders>
                </w:tcPr>
                <w:p>
                  <w:pPr>
                    <w:pStyle w:val="Style22"/>
                    <w:spacing w:before="0" w:after="200"/>
                    <w:ind w:right="0"/>
                    <w:jc w:val="left"/>
                    <w:rPr>
                      <w:rFonts w:ascii="Times New Roman" w:hAnsi="Times New Roman" w:cs="Times New Roman"/>
                      <w:sz w:val="16"/>
                      <w:szCs w:val="16"/>
                    </w:rPr>
                  </w:pPr>
                  <w:r>
                    <w:rPr>
                      <w:rFonts w:cs="Times New Roman" w:ascii="Times New Roman" w:hAnsi="Times New Roman"/>
                      <w:sz w:val="16"/>
                      <w:szCs w:val="16"/>
                    </w:rPr>
                    <w:t>21. Соответствие государственным стандартам</w:t>
                  </w:r>
                </w:p>
              </w:tc>
              <w:tc>
                <w:tcPr>
                  <w:tcW w:w="3351" w:type="dxa"/>
                  <w:tcBorders>
                    <w:left w:val="single" w:sz="4" w:space="0" w:color="000000"/>
                    <w:bottom w:val="single" w:sz="4" w:space="0" w:color="000000"/>
                  </w:tcBorders>
                  <w:vAlign w:val="center"/>
                </w:tcPr>
                <w:p>
                  <w:pPr>
                    <w:pStyle w:val="Style22"/>
                    <w:spacing w:before="0" w:after="200"/>
                    <w:ind w:right="0"/>
                    <w:jc w:val="left"/>
                    <w:rPr>
                      <w:rFonts w:ascii="Times New Roman" w:hAnsi="Times New Roman" w:cs="Times New Roman"/>
                      <w:sz w:val="16"/>
                    </w:rPr>
                  </w:pPr>
                  <w:r>
                    <w:rPr>
                      <w:rFonts w:cs="Times New Roman" w:ascii="Times New Roman" w:hAnsi="Times New Roman"/>
                      <w:sz w:val="16"/>
                    </w:rPr>
                    <w:t>В зависимости от воспринимаемых механических воздействий, оборудование должно соответствовать требованиям ГОСТ Р 50444 для группы 5</w:t>
                  </w:r>
                </w:p>
              </w:tc>
              <w:tc>
                <w:tcPr>
                  <w:tcW w:w="2092" w:type="dxa"/>
                  <w:tcBorders>
                    <w:left w:val="single" w:sz="4" w:space="0" w:color="000000"/>
                    <w:bottom w:val="single" w:sz="4" w:space="0" w:color="000000"/>
                    <w:right w:val="single" w:sz="4" w:space="0" w:color="000000"/>
                  </w:tcBorders>
                  <w:shd w:fill="FFFFFF" w:val="clear"/>
                </w:tcPr>
                <w:p>
                  <w:pPr>
                    <w:pStyle w:val="Style24"/>
                    <w:bidi w:val="0"/>
                    <w:snapToGrid w:val="false"/>
                    <w:jc w:val="left"/>
                    <w:rPr>
                      <w:rFonts w:ascii="Times New Roman" w:hAnsi="Times New Roman" w:eastAsia="Times New Roman" w:cs="Times New Roman"/>
                      <w:sz w:val="16"/>
                      <w:szCs w:val="16"/>
                      <w:shd w:fill="FFFFFF" w:val="clear"/>
                      <w:lang w:eastAsia="ru-RU"/>
                    </w:rPr>
                  </w:pPr>
                  <w:r>
                    <w:rPr>
                      <w:rFonts w:eastAsia="Times New Roman" w:cs="Times New Roman" w:ascii="Times New Roman" w:hAnsi="Times New Roman"/>
                      <w:sz w:val="16"/>
                      <w:szCs w:val="16"/>
                      <w:shd w:fill="FFFFFF" w:val="clear"/>
                      <w:lang w:eastAsia="ru-RU"/>
                    </w:rPr>
                  </w:r>
                </w:p>
              </w:tc>
            </w:tr>
          </w:tbl>
          <w:p>
            <w:pPr>
              <w:pStyle w:val="Normal"/>
              <w:bidi w:val="0"/>
              <w:jc w:val="center"/>
              <w:rPr>
                <w:rFonts w:ascii="Times New Roman" w:hAnsi="Times New Roman"/>
                <w:b w:val="false"/>
                <w:i w:val="false"/>
                <w:i w:val="false"/>
                <w:strike w:val="false"/>
                <w:dstrike w:val="false"/>
                <w:outline w:val="false"/>
                <w:shadow w:val="false"/>
                <w:sz w:val="13"/>
                <w:u w:val="none"/>
                <w:em w:val="none"/>
              </w:rPr>
            </w:pPr>
            <w:r>
              <w:rPr>
                <w:b w:val="false"/>
                <w:i w:val="false"/>
                <w:strike w:val="false"/>
                <w:dstrike w:val="false"/>
                <w:outline w:val="false"/>
                <w:shadow w:val="false"/>
                <w:color w:val="auto"/>
                <w:sz w:val="20"/>
                <w:u w:val="none"/>
                <w:em w:val="none"/>
              </w:rPr>
            </w:r>
          </w:p>
          <w:p>
            <w:pPr>
              <w:pStyle w:val="Normal"/>
              <w:bidi w:val="0"/>
              <w:jc w:val="center"/>
              <w:rPr>
                <w:rFonts w:ascii="Times New Roman" w:hAnsi="Times New Roman"/>
                <w:b w:val="false"/>
                <w:i w:val="false"/>
                <w:i w:val="false"/>
                <w:strike w:val="false"/>
                <w:dstrike w:val="false"/>
                <w:outline w:val="false"/>
                <w:shadow w:val="false"/>
                <w:sz w:val="13"/>
                <w:u w:val="none"/>
                <w:em w:val="none"/>
              </w:rPr>
            </w:pPr>
            <w:r>
              <w:rPr>
                <w:b w:val="false"/>
                <w:i w:val="false"/>
                <w:strike w:val="false"/>
                <w:dstrike w:val="false"/>
                <w:outline w:val="false"/>
                <w:shadow w:val="false"/>
                <w:color w:val="auto"/>
                <w:sz w:val="20"/>
                <w:u w:val="none"/>
                <w:em w:val="none"/>
              </w:rPr>
              <w:t>ОКПД 2:</w:t>
            </w:r>
          </w:p>
          <w:p>
            <w:pPr>
              <w:pStyle w:val="Normal"/>
              <w:bidi w:val="0"/>
              <w:jc w:val="center"/>
              <w:rPr>
                <w:rFonts w:ascii="Times New Roman" w:hAnsi="Times New Roman"/>
                <w:b w:val="false"/>
                <w:i w:val="false"/>
                <w:i w:val="false"/>
                <w:strike w:val="false"/>
                <w:dstrike w:val="false"/>
                <w:outline w:val="false"/>
                <w:shadow w:val="false"/>
                <w:sz w:val="13"/>
                <w:u w:val="none"/>
                <w:em w:val="none"/>
              </w:rPr>
            </w:pPr>
            <w:r>
              <w:rPr>
                <w:b w:val="false"/>
                <w:i w:val="false"/>
                <w:strike w:val="false"/>
                <w:dstrike w:val="false"/>
                <w:outline w:val="false"/>
                <w:shadow w:val="false"/>
                <w:color w:val="auto"/>
                <w:sz w:val="20"/>
                <w:u w:val="none"/>
                <w:em w:val="none"/>
              </w:rPr>
              <w:t>Страна происхождения товара:</w:t>
            </w:r>
          </w:p>
          <w:p>
            <w:pPr>
              <w:pStyle w:val="Normal"/>
              <w:bidi w:val="0"/>
              <w:jc w:val="center"/>
              <w:rPr>
                <w:rFonts w:ascii="Times New Roman" w:hAnsi="Times New Roman"/>
                <w:b w:val="false"/>
                <w:i w:val="false"/>
                <w:i w:val="false"/>
                <w:strike w:val="false"/>
                <w:dstrike w:val="false"/>
                <w:outline w:val="false"/>
                <w:shadow w:val="false"/>
                <w:sz w:val="13"/>
                <w:u w:val="none"/>
                <w:em w:val="none"/>
              </w:rPr>
            </w:pPr>
            <w:r>
              <w:rPr>
                <w:b w:val="false"/>
                <w:i w:val="false"/>
                <w:strike w:val="false"/>
                <w:dstrike w:val="false"/>
                <w:outline w:val="false"/>
                <w:shadow w:val="false"/>
                <w:color w:val="auto"/>
                <w:sz w:val="20"/>
                <w:u w:val="none"/>
                <w:em w:val="none"/>
              </w:rPr>
              <w:t>РУ:</w:t>
            </w:r>
          </w:p>
          <w:p>
            <w:pPr>
              <w:pStyle w:val="Normal"/>
              <w:bidi w:val="0"/>
              <w:jc w:val="center"/>
              <w:rPr>
                <w:rFonts w:ascii="Times New Roman" w:hAnsi="Times New Roman"/>
                <w:b w:val="false"/>
                <w:i w:val="false"/>
                <w:i w:val="false"/>
                <w:strike w:val="false"/>
                <w:dstrike w:val="false"/>
                <w:outline w:val="false"/>
                <w:shadow w:val="false"/>
                <w:sz w:val="13"/>
                <w:u w:val="none"/>
                <w:em w:val="none"/>
              </w:rPr>
            </w:pPr>
            <w:r>
              <w:rPr>
                <w:b w:val="false"/>
                <w:i w:val="false"/>
                <w:strike w:val="false"/>
                <w:dstrike w:val="false"/>
                <w:outline w:val="false"/>
                <w:shadow w:val="false"/>
                <w:color w:val="auto"/>
                <w:sz w:val="20"/>
                <w:u w:val="none"/>
                <w:em w:val="none"/>
              </w:rPr>
            </w:r>
          </w:p>
          <w:p>
            <w:pPr>
              <w:pStyle w:val="Normal"/>
              <w:bidi w:val="0"/>
              <w:jc w:val="center"/>
              <w:rPr>
                <w:rFonts w:ascii="Times New Roman" w:hAnsi="Times New Roman"/>
                <w:b w:val="false"/>
                <w:i w:val="false"/>
                <w:i w:val="false"/>
                <w:strike w:val="false"/>
                <w:dstrike w:val="false"/>
                <w:outline w:val="false"/>
                <w:shadow w:val="false"/>
                <w:sz w:val="13"/>
                <w:u w:val="none"/>
                <w:em w:val="none"/>
              </w:rPr>
            </w:pPr>
            <w:r>
              <w:rPr>
                <w:b w:val="false"/>
                <w:i w:val="false"/>
                <w:strike w:val="false"/>
                <w:dstrike w:val="false"/>
                <w:outline w:val="false"/>
                <w:shadow w:val="false"/>
                <w:color w:val="auto"/>
                <w:sz w:val="20"/>
                <w:u w:val="none"/>
                <w:em w:val="none"/>
              </w:rPr>
            </w:r>
          </w:p>
          <w:p>
            <w:pPr>
              <w:pStyle w:val="Normal"/>
              <w:bidi w:val="0"/>
              <w:jc w:val="center"/>
              <w:rPr>
                <w:rFonts w:ascii="Times New Roman" w:hAnsi="Times New Roman"/>
                <w:b w:val="false"/>
                <w:i w:val="false"/>
                <w:i w:val="false"/>
                <w:strike w:val="false"/>
                <w:dstrike w:val="false"/>
                <w:outline w:val="false"/>
                <w:shadow w:val="false"/>
                <w:sz w:val="13"/>
                <w:u w:val="none"/>
                <w:em w:val="none"/>
              </w:rPr>
            </w:pPr>
            <w:r>
              <w:rPr>
                <w:b w:val="false"/>
                <w:i w:val="false"/>
                <w:strike w:val="false"/>
                <w:dstrike w:val="false"/>
                <w:outline w:val="false"/>
                <w:shadow w:val="false"/>
                <w:color w:val="auto"/>
                <w:sz w:val="20"/>
                <w:u w:val="none"/>
                <w:em w:val="none"/>
              </w:rPr>
            </w:r>
          </w:p>
          <w:p>
            <w:pPr>
              <w:pStyle w:val="Normal"/>
              <w:widowControl/>
              <w:suppressAutoHyphens w:val="true"/>
              <w:spacing w:before="0" w:after="0"/>
              <w:contextualSpacing/>
              <w:jc w:val="left"/>
              <w:rPr>
                <w:rFonts w:ascii="Times New Roman" w:hAnsi="Times New Roman" w:eastAsia="Calibri" w:cs="Times New Roman"/>
                <w:sz w:val="16"/>
                <w:szCs w:val="16"/>
                <w:lang w:val="ru-RU" w:eastAsia="en-US" w:bidi="ar-SA"/>
              </w:rPr>
            </w:pPr>
            <w:r>
              <w:rPr>
                <w:rFonts w:eastAsia="Calibri" w:cs="Times New Roman"/>
                <w:sz w:val="16"/>
                <w:szCs w:val="16"/>
                <w:lang w:val="ru-RU" w:eastAsia="en-US" w:bidi="ar-SA"/>
              </w:rPr>
            </w:r>
          </w:p>
        </w:tc>
        <w:tc>
          <w:tcPr>
            <w:tcW w:w="1554"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shd w:fill="auto" w:val="clear"/>
              </w:rPr>
            </w:pPr>
            <w:r>
              <w:rPr>
                <w:shd w:fill="auto" w:val="clear"/>
              </w:rPr>
              <w:t>2</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shd w:fill="auto" w:val="clear"/>
              </w:rPr>
            </w:pPr>
            <w:r>
              <w:rPr>
                <w:shd w:fill="auto" w:val="clear"/>
              </w:rPr>
              <w:t>шт</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shd w:fill="auto" w:val="clear"/>
              </w:rPr>
            </w:pPr>
            <w:r>
              <w:rPr>
                <w:shd w:fill="auto" w:val="clear"/>
              </w:rPr>
            </w:r>
          </w:p>
        </w:tc>
        <w:tc>
          <w:tcPr>
            <w:tcW w:w="2128" w:type="dxa"/>
            <w:tcBorders>
              <w:top w:val="single" w:sz="4" w:space="0" w:color="000000"/>
              <w:left w:val="single" w:sz="4" w:space="0" w:color="000000"/>
              <w:bottom w:val="single" w:sz="4" w:space="0" w:color="000000"/>
              <w:right w:val="single" w:sz="10" w:space="0" w:color="000000"/>
            </w:tcBorders>
            <w:vAlign w:val="center"/>
          </w:tcPr>
          <w:p>
            <w:pPr>
              <w:pStyle w:val="Normal"/>
              <w:jc w:val="center"/>
              <w:rPr>
                <w:b/>
                <w:bCs/>
                <w:shd w:fill="auto" w:val="clear"/>
              </w:rPr>
            </w:pPr>
            <w:r>
              <w:rPr>
                <w:b/>
                <w:bCs/>
                <w:shd w:fill="auto" w:val="clear"/>
              </w:rPr>
            </w:r>
          </w:p>
        </w:tc>
      </w:tr>
      <w:tr>
        <w:trPr>
          <w:trHeight w:val="574" w:hRule="atLeast"/>
        </w:trPr>
        <w:tc>
          <w:tcPr>
            <w:tcW w:w="625" w:type="dxa"/>
            <w:gridSpan w:val="2"/>
            <w:tcBorders>
              <w:top w:val="single" w:sz="4" w:space="0" w:color="000000"/>
              <w:left w:val="single" w:sz="4" w:space="0" w:color="000000"/>
              <w:bottom w:val="single" w:sz="4" w:space="0" w:color="000000"/>
              <w:right w:val="single" w:sz="4" w:space="0" w:color="000000"/>
            </w:tcBorders>
          </w:tcPr>
          <w:p>
            <w:pPr>
              <w:pStyle w:val="Normal"/>
              <w:jc w:val="center"/>
              <w:rPr>
                <w:b/>
                <w:bCs/>
                <w:shd w:fill="auto" w:val="clear"/>
              </w:rPr>
            </w:pPr>
            <w:r>
              <w:rPr>
                <w:b/>
                <w:bCs/>
                <w:shd w:fill="auto" w:val="clear"/>
              </w:rPr>
            </w:r>
          </w:p>
        </w:tc>
        <w:tc>
          <w:tcPr>
            <w:tcW w:w="12961" w:type="dxa"/>
            <w:gridSpan w:val="9"/>
            <w:tcBorders>
              <w:top w:val="single" w:sz="4" w:space="0" w:color="000000"/>
              <w:left w:val="single" w:sz="4" w:space="0" w:color="000000"/>
              <w:bottom w:val="single" w:sz="4" w:space="0" w:color="000000"/>
              <w:right w:val="single" w:sz="4" w:space="0" w:color="000000"/>
            </w:tcBorders>
          </w:tcPr>
          <w:p>
            <w:pPr>
              <w:pStyle w:val="Normal"/>
              <w:jc w:val="center"/>
              <w:rPr>
                <w:shd w:fill="auto" w:val="clear"/>
              </w:rPr>
            </w:pPr>
            <w:r>
              <w:rPr>
                <w:b/>
                <w:bCs/>
                <w:shd w:fill="auto" w:val="clear"/>
              </w:rPr>
              <w:t>ИТОГО:</w:t>
            </w:r>
          </w:p>
        </w:tc>
        <w:tc>
          <w:tcPr>
            <w:tcW w:w="2128" w:type="dxa"/>
            <w:tcBorders>
              <w:top w:val="single" w:sz="4" w:space="0" w:color="000000"/>
              <w:left w:val="single" w:sz="4" w:space="0" w:color="000000"/>
              <w:bottom w:val="single" w:sz="4" w:space="0" w:color="000000"/>
              <w:right w:val="single" w:sz="4" w:space="0" w:color="000000"/>
            </w:tcBorders>
          </w:tcPr>
          <w:p>
            <w:pPr>
              <w:pStyle w:val="Normal"/>
              <w:jc w:val="center"/>
              <w:rPr>
                <w:b/>
                <w:bCs/>
                <w:shd w:fill="auto" w:val="clear"/>
              </w:rPr>
            </w:pPr>
            <w:r>
              <w:rPr>
                <w:b/>
                <w:bCs/>
                <w:shd w:fill="auto" w:val="clear"/>
              </w:rPr>
            </w:r>
          </w:p>
        </w:tc>
      </w:tr>
      <w:tr>
        <w:trPr>
          <w:trHeight w:val="1831" w:hRule="atLeast"/>
        </w:trPr>
        <w:tc>
          <w:tcPr>
            <w:tcW w:w="8763" w:type="dxa"/>
            <w:gridSpan w:val="4"/>
            <w:tcBorders/>
          </w:tcPr>
          <w:p>
            <w:pPr>
              <w:pStyle w:val="Normal"/>
              <w:tabs>
                <w:tab w:val="clear" w:pos="708"/>
                <w:tab w:val="left" w:pos="7680" w:leader="none"/>
              </w:tabs>
              <w:rPr>
                <w:b/>
                <w:color w:val="000000"/>
                <w:shd w:fill="auto" w:val="clear"/>
              </w:rPr>
            </w:pPr>
            <w:r>
              <w:rPr>
                <w:b/>
                <w:color w:val="000000"/>
                <w:shd w:fill="auto" w:val="clear"/>
              </w:rPr>
            </w:r>
          </w:p>
          <w:p>
            <w:pPr>
              <w:pStyle w:val="11"/>
              <w:rPr>
                <w:rFonts w:ascii="Times New Roman" w:hAnsi="Times New Roman" w:cs="Times New Roman"/>
                <w:b/>
                <w:bCs/>
                <w:sz w:val="20"/>
                <w:szCs w:val="20"/>
                <w:shd w:fill="auto" w:val="clear"/>
              </w:rPr>
            </w:pPr>
            <w:r>
              <w:rPr>
                <w:rFonts w:cs="Times New Roman" w:ascii="Times New Roman" w:hAnsi="Times New Roman"/>
                <w:b/>
                <w:bCs/>
                <w:sz w:val="20"/>
                <w:szCs w:val="20"/>
                <w:shd w:fill="auto" w:val="clear"/>
              </w:rPr>
            </w:r>
          </w:p>
          <w:p>
            <w:pPr>
              <w:pStyle w:val="11"/>
              <w:rPr>
                <w:shd w:fill="auto" w:val="clear"/>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shd w:fill="auto" w:val="clear"/>
              </w:rPr>
            </w:pPr>
            <w:r>
              <w:rPr>
                <w:rFonts w:cs="Times New Roman" w:ascii="Times New Roman" w:hAnsi="Times New Roman"/>
                <w:sz w:val="20"/>
                <w:szCs w:val="20"/>
                <w:shd w:fill="auto" w:val="clear"/>
              </w:rPr>
            </w:r>
          </w:p>
          <w:p>
            <w:pPr>
              <w:pStyle w:val="Normal"/>
              <w:rPr>
                <w:shd w:fill="auto" w:val="clear"/>
              </w:rPr>
            </w:pPr>
            <w:r>
              <w:rPr>
                <w:shd w:fill="auto" w:val="clear"/>
              </w:rPr>
              <w:t>____________</w:t>
            </w:r>
          </w:p>
          <w:p>
            <w:pPr>
              <w:pStyle w:val="Normal"/>
              <w:tabs>
                <w:tab w:val="clear" w:pos="708"/>
                <w:tab w:val="left" w:pos="7680" w:leader="none"/>
              </w:tabs>
              <w:rPr>
                <w:shd w:fill="auto" w:val="clear"/>
              </w:rPr>
            </w:pPr>
            <w:r>
              <w:rPr>
                <w:shd w:fill="auto" w:val="clear"/>
              </w:rPr>
              <w:t>м.п.</w:t>
            </w:r>
          </w:p>
        </w:tc>
        <w:tc>
          <w:tcPr>
            <w:tcW w:w="849" w:type="dxa"/>
            <w:tcBorders/>
          </w:tcPr>
          <w:p>
            <w:pPr>
              <w:pStyle w:val="Normal"/>
              <w:tabs>
                <w:tab w:val="clear" w:pos="708"/>
                <w:tab w:val="left" w:pos="7680" w:leader="none"/>
              </w:tabs>
              <w:rPr>
                <w:b/>
                <w:color w:val="000000"/>
                <w:shd w:fill="auto" w:val="clear"/>
              </w:rPr>
            </w:pPr>
            <w:r>
              <w:rPr>
                <w:b/>
                <w:color w:val="000000"/>
                <w:shd w:fill="auto" w:val="clear"/>
              </w:rPr>
            </w:r>
          </w:p>
        </w:tc>
        <w:tc>
          <w:tcPr>
            <w:tcW w:w="407" w:type="dxa"/>
            <w:gridSpan w:val="2"/>
            <w:tcBorders/>
          </w:tcPr>
          <w:p>
            <w:pPr>
              <w:pStyle w:val="Normal"/>
              <w:tabs>
                <w:tab w:val="clear" w:pos="708"/>
                <w:tab w:val="left" w:pos="7680" w:leader="none"/>
              </w:tabs>
              <w:rPr>
                <w:b/>
                <w:color w:val="000000"/>
                <w:shd w:fill="auto" w:val="clear"/>
              </w:rPr>
            </w:pPr>
            <w:r>
              <w:rPr>
                <w:b/>
                <w:color w:val="000000"/>
                <w:shd w:fill="auto" w:val="clear"/>
              </w:rPr>
            </w:r>
          </w:p>
        </w:tc>
        <w:tc>
          <w:tcPr>
            <w:tcW w:w="1419" w:type="dxa"/>
            <w:gridSpan w:val="2"/>
            <w:tcBorders/>
          </w:tcPr>
          <w:p>
            <w:pPr>
              <w:pStyle w:val="Normal"/>
              <w:tabs>
                <w:tab w:val="clear" w:pos="708"/>
                <w:tab w:val="left" w:pos="7680" w:leader="none"/>
              </w:tabs>
              <w:rPr>
                <w:b/>
                <w:color w:val="000000"/>
                <w:shd w:fill="auto" w:val="clear"/>
              </w:rPr>
            </w:pPr>
            <w:r>
              <w:rPr>
                <w:b/>
                <w:color w:val="000000"/>
                <w:shd w:fill="auto" w:val="clear"/>
              </w:rPr>
            </w:r>
          </w:p>
        </w:tc>
        <w:tc>
          <w:tcPr>
            <w:tcW w:w="870" w:type="dxa"/>
            <w:tcBorders/>
          </w:tcPr>
          <w:p>
            <w:pPr>
              <w:pStyle w:val="Normal"/>
              <w:tabs>
                <w:tab w:val="clear" w:pos="708"/>
                <w:tab w:val="left" w:pos="7680" w:leader="none"/>
              </w:tabs>
              <w:rPr>
                <w:b/>
                <w:color w:val="000000"/>
                <w:shd w:fill="auto" w:val="clear"/>
              </w:rPr>
            </w:pPr>
            <w:r>
              <w:rPr>
                <w:b/>
                <w:color w:val="000000"/>
                <w:shd w:fill="auto" w:val="clear"/>
              </w:rPr>
            </w:r>
          </w:p>
        </w:tc>
        <w:tc>
          <w:tcPr>
            <w:tcW w:w="3406" w:type="dxa"/>
            <w:gridSpan w:val="2"/>
            <w:tcBorders/>
          </w:tcPr>
          <w:p>
            <w:pPr>
              <w:pStyle w:val="Normal"/>
              <w:tabs>
                <w:tab w:val="clear" w:pos="708"/>
                <w:tab w:val="left" w:pos="7680" w:leader="none"/>
              </w:tabs>
              <w:rPr>
                <w:b/>
                <w:color w:val="000000"/>
                <w:shd w:fill="auto" w:val="clear"/>
              </w:rPr>
            </w:pPr>
            <w:r>
              <w:rPr>
                <w:b/>
                <w:color w:val="000000"/>
                <w:shd w:fill="auto" w:val="clear"/>
              </w:rPr>
            </w:r>
          </w:p>
          <w:p>
            <w:pPr>
              <w:pStyle w:val="Normal"/>
              <w:tabs>
                <w:tab w:val="clear" w:pos="708"/>
                <w:tab w:val="left" w:pos="7680" w:leader="none"/>
              </w:tabs>
              <w:rPr>
                <w:b/>
                <w:color w:val="000000"/>
                <w:shd w:fill="auto" w:val="clear"/>
              </w:rPr>
            </w:pPr>
            <w:r>
              <w:rPr>
                <w:b/>
                <w:color w:val="000000"/>
                <w:shd w:fill="auto" w:val="clear"/>
              </w:rPr>
            </w:r>
          </w:p>
          <w:p>
            <w:pPr>
              <w:pStyle w:val="Normal"/>
              <w:tabs>
                <w:tab w:val="clear" w:pos="708"/>
                <w:tab w:val="left" w:pos="7680" w:leader="none"/>
              </w:tabs>
              <w:rPr>
                <w:shd w:fill="auto" w:val="clear"/>
              </w:rPr>
            </w:pPr>
            <w:r>
              <w:rPr>
                <w:b/>
                <w:color w:val="000000"/>
                <w:shd w:fill="auto" w:val="clear"/>
              </w:rPr>
              <w:t>Поставщик</w:t>
            </w:r>
          </w:p>
          <w:p>
            <w:pPr>
              <w:pStyle w:val="Normal"/>
              <w:tabs>
                <w:tab w:val="clear" w:pos="708"/>
                <w:tab w:val="left" w:pos="7680" w:leader="none"/>
              </w:tabs>
              <w:rPr>
                <w:shd w:fill="auto" w:val="clear"/>
              </w:rPr>
            </w:pPr>
            <w:r>
              <w:rPr>
                <w:bCs/>
                <w:color w:val="000000"/>
                <w:shd w:fill="auto" w:val="clear"/>
              </w:rPr>
              <w:t>______________/</w:t>
            </w:r>
            <w:r>
              <w:rPr>
                <w:shd w:fill="auto" w:val="clear"/>
              </w:rPr>
              <w:t xml:space="preserve"> </w:t>
            </w:r>
            <w:r>
              <w:rPr>
                <w:bCs/>
                <w:color w:val="000000"/>
                <w:shd w:fill="auto" w:val="clear"/>
              </w:rPr>
              <w:t>______________</w:t>
            </w:r>
          </w:p>
          <w:p>
            <w:pPr>
              <w:pStyle w:val="Normal"/>
              <w:rPr>
                <w:shd w:fill="auto" w:val="clear"/>
              </w:rPr>
            </w:pPr>
            <w:r>
              <w:rPr>
                <w:shd w:fill="auto" w:val="clear"/>
              </w:rPr>
              <w:t>м.п.</w:t>
            </w:r>
          </w:p>
        </w:tc>
      </w:tr>
    </w:tbl>
    <w:p>
      <w:pPr>
        <w:pStyle w:val="Normal"/>
        <w:spacing w:before="0" w:after="60"/>
        <w:rPr>
          <w:b/>
          <w:bCs/>
          <w:sz w:val="24"/>
          <w:szCs w:val="24"/>
        </w:rPr>
      </w:pPr>
      <w:r>
        <w:rPr>
          <w:b/>
          <w:bCs/>
          <w:sz w:val="24"/>
          <w:szCs w:val="24"/>
        </w:rPr>
      </w:r>
    </w:p>
    <w:sectPr>
      <w:footerReference w:type="default" r:id="rId3"/>
      <w:footerReference w:type="first" r:id="rId4"/>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9</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40"/>
  <w:defaultTabStop w:val="708"/>
  <w:autoHyphenation w:val="true"/>
  <w:hyphenationZone w:val="0"/>
  <w:compat>
    <w:doNotBreakWrappedTables/>
    <w:compatSetting w:name="compatibilityMode" w:uri="http://schemas.microsoft.com/office/word" w:val="12"/>
    <w:compatSetting w:name="useWord2013TrackBottomHyphenation"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qFormat/>
    <w:pPr>
      <w:keepNext w:val="true"/>
      <w:keepLines/>
      <w:numPr>
        <w:ilvl w:val="0"/>
        <w:numId w:val="0"/>
      </w:numPr>
      <w:spacing w:before="480" w:after="200"/>
      <w:outlineLvl w:val="0"/>
    </w:pPr>
    <w:rPr>
      <w:rFonts w:ascii="Arial" w:hAnsi="Arial" w:eastAsia="Arial" w:cs="Arial"/>
      <w:sz w:val="40"/>
      <w:szCs w:val="40"/>
    </w:rPr>
  </w:style>
  <w:style w:type="paragraph" w:styleId="Heading2">
    <w:name w:val="heading 2"/>
    <w:basedOn w:val="Normal"/>
    <w:next w:val="Normal"/>
    <w:link w:val="2"/>
    <w:qFormat/>
    <w:pPr>
      <w:keepNext w:val="true"/>
      <w:keepLines/>
      <w:numPr>
        <w:ilvl w:val="0"/>
        <w:numId w:val="0"/>
      </w:numPr>
      <w:spacing w:before="360" w:after="200"/>
      <w:outlineLvl w:val="1"/>
    </w:pPr>
    <w:rPr>
      <w:rFonts w:ascii="Arial" w:hAnsi="Arial" w:eastAsia="Arial" w:cs="Arial"/>
      <w:sz w:val="34"/>
    </w:rPr>
  </w:style>
  <w:style w:type="paragraph" w:styleId="Heading3">
    <w:name w:val="heading 3"/>
    <w:basedOn w:val="Normal"/>
    <w:next w:val="Normal"/>
    <w:link w:val="3"/>
    <w:qFormat/>
    <w:pPr>
      <w:keepNext w:val="true"/>
      <w:keepLines/>
      <w:numPr>
        <w:ilvl w:val="0"/>
        <w:numId w:val="0"/>
      </w:numPr>
      <w:spacing w:before="320" w:after="200"/>
      <w:outlineLvl w:val="2"/>
    </w:pPr>
    <w:rPr>
      <w:rFonts w:ascii="Arial" w:hAnsi="Arial" w:eastAsia="Arial" w:cs="Arial"/>
      <w:sz w:val="30"/>
      <w:szCs w:val="30"/>
    </w:rPr>
  </w:style>
  <w:style w:type="paragraph" w:styleId="Heading4">
    <w:name w:val="heading 4"/>
    <w:basedOn w:val="Normal"/>
    <w:next w:val="Normal"/>
    <w:link w:val="4"/>
    <w:qFormat/>
    <w:pPr>
      <w:keepNext w:val="true"/>
      <w:keepLines/>
      <w:numPr>
        <w:ilvl w:val="0"/>
        <w:numId w:val="0"/>
      </w:numPr>
      <w:spacing w:before="320" w:after="200"/>
      <w:outlineLvl w:val="3"/>
    </w:pPr>
    <w:rPr>
      <w:rFonts w:ascii="Arial" w:hAnsi="Arial" w:eastAsia="Arial" w:cs="Arial"/>
      <w:b/>
      <w:bCs/>
      <w:sz w:val="26"/>
      <w:szCs w:val="26"/>
    </w:rPr>
  </w:style>
  <w:style w:type="paragraph" w:styleId="Heading5">
    <w:name w:val="heading 5"/>
    <w:basedOn w:val="Normal"/>
    <w:next w:val="Normal"/>
    <w:link w:val="5"/>
    <w:qFormat/>
    <w:pPr>
      <w:keepNext w:val="true"/>
      <w:keepLines/>
      <w:numPr>
        <w:ilvl w:val="0"/>
        <w:numId w:val="0"/>
      </w:numPr>
      <w:spacing w:before="320" w:after="200"/>
      <w:outlineLvl w:val="4"/>
    </w:pPr>
    <w:rPr>
      <w:rFonts w:ascii="Arial" w:hAnsi="Arial" w:eastAsia="Arial" w:cs="Arial"/>
      <w:b/>
      <w:bCs/>
      <w:sz w:val="24"/>
      <w:szCs w:val="24"/>
    </w:rPr>
  </w:style>
  <w:style w:type="paragraph" w:styleId="Heading6">
    <w:name w:val="heading 6"/>
    <w:basedOn w:val="Normal"/>
    <w:next w:val="Normal"/>
    <w:link w:val="6"/>
    <w:qFormat/>
    <w:pPr>
      <w:keepNext w:val="true"/>
      <w:keepLines/>
      <w:numPr>
        <w:ilvl w:val="0"/>
        <w:numId w:val="0"/>
      </w:numPr>
      <w:spacing w:before="320" w:after="200"/>
      <w:outlineLvl w:val="5"/>
    </w:pPr>
    <w:rPr>
      <w:rFonts w:ascii="Arial" w:hAnsi="Arial" w:eastAsia="Arial" w:cs="Arial"/>
      <w:b/>
      <w:bCs/>
      <w:sz w:val="22"/>
      <w:szCs w:val="22"/>
    </w:rPr>
  </w:style>
  <w:style w:type="paragraph" w:styleId="Heading7">
    <w:name w:val="heading 7"/>
    <w:basedOn w:val="Normal"/>
    <w:next w:val="Normal"/>
    <w:link w:val="7"/>
    <w:qFormat/>
    <w:pPr>
      <w:keepNext w:val="true"/>
      <w:keepLines/>
      <w:numPr>
        <w:ilvl w:val="0"/>
        <w:numId w:val="0"/>
      </w:numPr>
      <w:spacing w:before="320" w:after="200"/>
      <w:outlineLvl w:val="6"/>
    </w:pPr>
    <w:rPr>
      <w:rFonts w:ascii="Arial" w:hAnsi="Arial" w:eastAsia="Arial" w:cs="Arial"/>
      <w:b/>
      <w:bCs/>
      <w:i/>
      <w:iCs/>
      <w:sz w:val="22"/>
      <w:szCs w:val="22"/>
    </w:rPr>
  </w:style>
  <w:style w:type="paragraph" w:styleId="Heading8">
    <w:name w:val="heading 8"/>
    <w:basedOn w:val="Normal"/>
    <w:next w:val="Normal"/>
    <w:link w:val="8"/>
    <w:qFormat/>
    <w:pPr>
      <w:keepNext w:val="true"/>
      <w:keepLines/>
      <w:numPr>
        <w:ilvl w:val="0"/>
        <w:numId w:val="0"/>
      </w:numPr>
      <w:spacing w:before="320" w:after="200"/>
      <w:outlineLvl w:val="7"/>
    </w:pPr>
    <w:rPr>
      <w:rFonts w:ascii="Arial" w:hAnsi="Arial" w:eastAsia="Arial" w:cs="Arial"/>
      <w:i/>
      <w:iCs/>
      <w:sz w:val="22"/>
      <w:szCs w:val="22"/>
    </w:rPr>
  </w:style>
  <w:style w:type="paragraph" w:styleId="Heading9">
    <w:name w:val="heading 9"/>
    <w:basedOn w:val="Normal"/>
    <w:next w:val="Normal"/>
    <w:link w:val="9"/>
    <w:qFormat/>
    <w:pPr>
      <w:keepNext w:val="true"/>
      <w:keepLines/>
      <w:numPr>
        <w:ilvl w:val="0"/>
        <w:numId w:val="0"/>
      </w:numPr>
      <w:spacing w:before="320" w:after="200"/>
      <w:outlineLvl w:val="8"/>
    </w:pPr>
    <w:rPr>
      <w:rFonts w:ascii="Arial" w:hAnsi="Arial" w:eastAsia="Arial" w:cs="Arial"/>
      <w:i/>
      <w:iCs/>
      <w:sz w:val="21"/>
      <w:szCs w:val="21"/>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link w:val="Quote"/>
    <w:qFormat/>
    <w:rPr>
      <w:i/>
    </w:rPr>
  </w:style>
  <w:style w:type="character" w:styleId="Style7">
    <w:name w:val="Выделенная цитата Знак"/>
    <w:link w:val="IntenseQuote"/>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Style9">
    <w:name w:val="Символ сноски"/>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Style10">
    <w:name w:val="Текст концевой сноски Знак"/>
    <w:qFormat/>
    <w:rPr>
      <w:sz w:val="20"/>
    </w:rPr>
  </w:style>
  <w:style w:type="character" w:styleId="Style11">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2">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link w:val="ConsPlusNormal1"/>
    <w:qFormat/>
    <w:rPr>
      <w:rFonts w:ascii="Arial" w:hAnsi="Arial"/>
      <w:sz w:val="22"/>
      <w:lang w:eastAsia="ru-RU"/>
    </w:rPr>
  </w:style>
  <w:style w:type="character" w:styleId="Emphasis">
    <w:name w:val="Emphasis"/>
    <w:qFormat/>
    <w:rPr>
      <w:rFonts w:cs="Times New Roman"/>
      <w:i/>
    </w:rPr>
  </w:style>
  <w:style w:type="character" w:styleId="Style13">
    <w:name w:val="Верхний колонтитул Знак"/>
    <w:qFormat/>
    <w:rPr>
      <w:rFonts w:ascii="Times New Roman" w:hAnsi="Times New Roman" w:eastAsia="Times New Roman"/>
      <w:sz w:val="20"/>
      <w:szCs w:val="20"/>
    </w:rPr>
  </w:style>
  <w:style w:type="character" w:styleId="Style14">
    <w:name w:val="Нижний колонтитул Знак"/>
    <w:qFormat/>
    <w:rPr>
      <w:rFonts w:ascii="Times New Roman" w:hAnsi="Times New Roman" w:eastAsia="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5">
    <w:name w:val="Текст примечания Знак"/>
    <w:basedOn w:val="DefaultParagraphFont"/>
    <w:qFormat/>
    <w:rPr>
      <w:rFonts w:ascii="Times New Roman" w:hAnsi="Times New Roman" w:eastAsia="Times New Roman"/>
    </w:rPr>
  </w:style>
  <w:style w:type="character" w:styleId="Style16">
    <w:name w:val="Тема примечания Знак"/>
    <w:basedOn w:val="Style15"/>
    <w:link w:val="annotationsubject"/>
    <w:qFormat/>
    <w:rPr>
      <w:rFonts w:ascii="Times New Roman" w:hAnsi="Times New Roman" w:eastAsia="Times New Roman"/>
      <w:b/>
      <w:bCs/>
    </w:rPr>
  </w:style>
  <w:style w:type="character" w:styleId="Style17">
    <w:name w:val="Текст выноски Знак"/>
    <w:basedOn w:val="DefaultParagraphFont"/>
    <w:link w:val="BalloonText"/>
    <w:qFormat/>
    <w:rPr>
      <w:rFonts w:ascii="Tahoma" w:hAnsi="Tahoma" w:eastAsia="Times New Roman" w:cs="Tahoma"/>
      <w:sz w:val="16"/>
      <w:szCs w:val="16"/>
    </w:rPr>
  </w:style>
  <w:style w:type="character" w:styleId="Style18">
    <w:name w:val="Без интервала Знак"/>
    <w:link w:val="NoSpacing"/>
    <w:qFormat/>
    <w:rPr>
      <w:sz w:val="24"/>
      <w:szCs w:val="24"/>
    </w:rPr>
  </w:style>
  <w:style w:type="character" w:styleId="Hyperlink">
    <w:name w:val="Hyperlink"/>
    <w:basedOn w:val="DefaultParagraphFont"/>
    <w:rPr>
      <w:color w:themeColor="hyperlink"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qFormat/>
    <w:pPr>
      <w:spacing w:before="0" w:after="0"/>
      <w:ind w:left="720"/>
      <w:contextualSpacing/>
    </w:pPr>
    <w:rPr/>
  </w:style>
  <w:style w:type="paragraph" w:styleId="Title">
    <w:name w:val="Title"/>
    <w:basedOn w:val="Normal"/>
    <w:next w:val="Normal"/>
    <w:link w:val="Style5"/>
    <w:qFormat/>
    <w:pPr>
      <w:spacing w:before="300" w:after="200"/>
      <w:contextualSpacing/>
    </w:pPr>
    <w:rPr>
      <w:sz w:val="48"/>
      <w:szCs w:val="48"/>
    </w:rPr>
  </w:style>
  <w:style w:type="paragraph" w:styleId="Subtitle">
    <w:name w:val="Subtitle"/>
    <w:basedOn w:val="Normal"/>
    <w:next w:val="Normal"/>
    <w:link w:val="Style6"/>
    <w:qFormat/>
    <w:pPr>
      <w:spacing w:before="200" w:after="200"/>
    </w:pPr>
    <w:rPr>
      <w:sz w:val="24"/>
      <w:szCs w:val="24"/>
    </w:rPr>
  </w:style>
  <w:style w:type="paragraph" w:styleId="Quote">
    <w:name w:val="Quote"/>
    <w:basedOn w:val="Normal"/>
    <w:next w:val="Normal"/>
    <w:link w:val="21"/>
    <w:qFormat/>
    <w:pPr>
      <w:ind w:left="720" w:right="720"/>
    </w:pPr>
    <w:rPr>
      <w:i/>
    </w:rPr>
  </w:style>
  <w:style w:type="paragraph" w:styleId="IntenseQuote">
    <w:name w:val="Intense Quote"/>
    <w:basedOn w:val="Normal"/>
    <w:next w:val="Normal"/>
    <w:link w:val="Style7"/>
    <w:qFormat/>
    <w:pPr>
      <w:pBdr>
        <w:top w:val="single" w:sz="4" w:space="5" w:color="FFFFFF"/>
        <w:left w:val="single" w:sz="4" w:space="10" w:color="FFFFFF"/>
        <w:bottom w:val="single" w:sz="4" w:space="5" w:color="FFFFFF"/>
        <w:right w:val="single" w:sz="4" w:space="10" w:color="FFFFFF"/>
      </w:pBdr>
      <w:shd w:fill="F2F2F2" w:val="clear"/>
      <w:ind w:left="720" w:right="720"/>
    </w:pPr>
    <w:rPr>
      <w:i/>
    </w:rPr>
  </w:style>
  <w:style w:type="paragraph" w:styleId="FootnoteText">
    <w:name w:val="footnote text"/>
    <w:basedOn w:val="Normal"/>
    <w:link w:val="Style8"/>
    <w:pPr>
      <w:spacing w:before="0" w:after="40"/>
    </w:pPr>
    <w:rPr>
      <w:sz w:val="18"/>
    </w:rPr>
  </w:style>
  <w:style w:type="paragraph" w:styleId="EndnoteText">
    <w:name w:val="endnote text"/>
    <w:basedOn w:val="Normal"/>
    <w:link w:val="Style10"/>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left="283"/>
    </w:pPr>
    <w:rPr/>
  </w:style>
  <w:style w:type="paragraph" w:styleId="TOC3">
    <w:name w:val="toc 3"/>
    <w:basedOn w:val="Normal"/>
    <w:next w:val="Normal"/>
    <w:pPr>
      <w:spacing w:before="0" w:after="57"/>
      <w:ind w:left="567"/>
    </w:pPr>
    <w:rPr/>
  </w:style>
  <w:style w:type="paragraph" w:styleId="TOC4">
    <w:name w:val="toc 4"/>
    <w:basedOn w:val="Normal"/>
    <w:next w:val="Normal"/>
    <w:pPr>
      <w:spacing w:before="0" w:after="57"/>
      <w:ind w:left="850"/>
    </w:pPr>
    <w:rPr/>
  </w:style>
  <w:style w:type="paragraph" w:styleId="TOC5">
    <w:name w:val="toc 5"/>
    <w:basedOn w:val="Normal"/>
    <w:next w:val="Normal"/>
    <w:pPr>
      <w:spacing w:before="0" w:after="57"/>
      <w:ind w:left="1134"/>
    </w:pPr>
    <w:rPr/>
  </w:style>
  <w:style w:type="paragraph" w:styleId="TOC6">
    <w:name w:val="toc 6"/>
    <w:basedOn w:val="Normal"/>
    <w:next w:val="Normal"/>
    <w:pPr>
      <w:spacing w:before="0" w:after="57"/>
      <w:ind w:left="1417"/>
    </w:pPr>
    <w:rPr/>
  </w:style>
  <w:style w:type="paragraph" w:styleId="TOC7">
    <w:name w:val="toc 7"/>
    <w:basedOn w:val="Normal"/>
    <w:next w:val="Normal"/>
    <w:pPr>
      <w:spacing w:before="0" w:after="57"/>
      <w:ind w:left="1701"/>
    </w:pPr>
    <w:rPr/>
  </w:style>
  <w:style w:type="paragraph" w:styleId="TOC8">
    <w:name w:val="toc 8"/>
    <w:basedOn w:val="Normal"/>
    <w:next w:val="Normal"/>
    <w:pPr>
      <w:spacing w:before="0" w:after="57"/>
      <w:ind w:left="1984"/>
    </w:pPr>
    <w:rPr/>
  </w:style>
  <w:style w:type="paragraph" w:styleId="TOC9">
    <w:name w:val="toc 9"/>
    <w:basedOn w:val="Normal"/>
    <w:next w:val="Normal"/>
    <w:pPr>
      <w:spacing w:before="0" w:after="57"/>
      <w:ind w:left="2268"/>
    </w:pPr>
    <w:rPr/>
  </w:style>
  <w:style w:type="paragraph" w:styleId="IndexHeading">
    <w:name w:val="index heading"/>
    <w:basedOn w:val="Style19"/>
    <w:pPr/>
    <w:rPr/>
  </w:style>
  <w:style w:type="paragraph" w:styleId="TOCHeading">
    <w:name w:val="TOC Heading"/>
    <w:qFormat/>
    <w:pPr>
      <w:widowControl/>
      <w:suppressAutoHyphens w:val="true"/>
      <w:kinsoku w:val="true"/>
      <w:overflowPunct w:val="true"/>
      <w:autoSpaceDE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pPr/>
    <w:rPr/>
  </w:style>
  <w:style w:type="paragraph" w:styleId="BodyTextIndent">
    <w:name w:val="Body Text Indent"/>
    <w:basedOn w:val="Normal"/>
    <w:link w:val="Style12"/>
    <w:pPr>
      <w:ind w:firstLine="709"/>
      <w:jc w:val="both"/>
    </w:pPr>
    <w:rPr>
      <w:rFonts w:eastAsia="Calibri"/>
      <w:lang w:val="en-US"/>
    </w:rPr>
  </w:style>
  <w:style w:type="paragraph" w:styleId="ConsPlusNormal1">
    <w:name w:val="ConsPlusNormal"/>
    <w:link w:val="ConsPlusNormal"/>
    <w:qFormat/>
    <w:pPr>
      <w:widowControl w:val="false"/>
      <w:suppressAutoHyphens w:val="true"/>
      <w:kinsoku w:val="true"/>
      <w:overflowPunct w:val="true"/>
      <w:autoSpaceDE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kinsoku w:val="true"/>
      <w:overflowPunct w:val="true"/>
      <w:autoSpaceDE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4">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pPr>
      <w:tabs>
        <w:tab w:val="clear" w:pos="708"/>
        <w:tab w:val="center" w:pos="4677" w:leader="none"/>
        <w:tab w:val="right" w:pos="9355" w:leader="none"/>
      </w:tabs>
    </w:pPr>
    <w:rPr/>
  </w:style>
  <w:style w:type="paragraph" w:styleId="Footer">
    <w:name w:val="footer"/>
    <w:basedOn w:val="Normal"/>
    <w:link w:val="Style14"/>
    <w:pPr>
      <w:tabs>
        <w:tab w:val="clear" w:pos="708"/>
        <w:tab w:val="center" w:pos="4677" w:leader="none"/>
        <w:tab w:val="right" w:pos="9355" w:leader="none"/>
      </w:tabs>
    </w:pPr>
    <w:rPr/>
  </w:style>
  <w:style w:type="paragraph" w:styleId="CommentText">
    <w:name w:val="annotation text"/>
    <w:basedOn w:val="Normal"/>
    <w:link w:val="Style15"/>
    <w:pPr/>
    <w:rPr/>
  </w:style>
  <w:style w:type="paragraph" w:styleId="annotationsubject">
    <w:name w:val="annotation subject"/>
    <w:basedOn w:val="CommentText"/>
    <w:next w:val="CommentText"/>
    <w:link w:val="Style16"/>
    <w:qFormat/>
    <w:pPr/>
    <w:rPr>
      <w:b/>
      <w:bCs/>
    </w:rPr>
  </w:style>
  <w:style w:type="paragraph" w:styleId="BalloonText">
    <w:name w:val="Balloon Text"/>
    <w:basedOn w:val="Normal"/>
    <w:link w:val="Style17"/>
    <w:qFormat/>
    <w:pPr/>
    <w:rPr>
      <w:rFonts w:ascii="Tahoma" w:hAnsi="Tahoma" w:cs="Tahoma"/>
      <w:sz w:val="16"/>
      <w:szCs w:val="16"/>
    </w:rPr>
  </w:style>
  <w:style w:type="paragraph" w:styleId="NoSpacing">
    <w:name w:val="No Spacing"/>
    <w:link w:val="Style18"/>
    <w:qFormat/>
    <w:pPr>
      <w:widowControl/>
      <w:suppressAutoHyphens w:val="true"/>
      <w:kinsoku w:val="true"/>
      <w:overflowPunct w:val="true"/>
      <w:autoSpaceDE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kinsoku w:val="true"/>
      <w:overflowPunct w:val="true"/>
      <w:autoSpaceDE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2">
    <w:name w:val="Содержимое таблицы"/>
    <w:basedOn w:val="Normal"/>
    <w:qFormat/>
    <w:pPr>
      <w:suppressLineNumbers/>
    </w:pPr>
    <w:rPr/>
  </w:style>
  <w:style w:type="paragraph" w:styleId="Style23">
    <w:name w:val="Заголовок таблицы"/>
    <w:basedOn w:val="Style22"/>
    <w:qFormat/>
    <w:pPr>
      <w:suppressLineNumbers/>
      <w:jc w:val="center"/>
    </w:pPr>
    <w:rPr>
      <w:b/>
      <w:bCs/>
    </w:rPr>
  </w:style>
  <w:style w:type="paragraph" w:styleId="Style24">
    <w:name w:val="Без интервала"/>
    <w:qFormat/>
    <w:pPr>
      <w:widowControl/>
      <w:suppressAutoHyphens w:val="true"/>
      <w:kinsoku w:val="true"/>
      <w:overflowPunct w:val="true"/>
      <w:autoSpaceDE w:val="true"/>
      <w:bidi w:val="0"/>
      <w:spacing w:before="0" w:after="0"/>
      <w:jc w:val="left"/>
    </w:pPr>
    <w:rPr>
      <w:rFonts w:ascii="Calibri" w:hAnsi="Calibri" w:eastAsia="Calibri" w:cs="Times New Roman"/>
      <w:color w:val="auto"/>
      <w:kern w:val="0"/>
      <w:sz w:val="22"/>
      <w:szCs w:val="22"/>
      <w:lang w:val="ru-RU" w:eastAsia="zh-CN" w:bidi="ar-SA"/>
    </w:rPr>
  </w:style>
  <w:style w:type="numbering" w:styleId="Style25">
    <w:name w:val="Без списка"/>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145</TotalTime>
  <Application>LibreOffice/25.2.6.2$Linux_X86_64 LibreOffice_project/520$Build-2</Application>
  <AppVersion>15.0000</AppVersion>
  <Pages>9</Pages>
  <Words>3438</Words>
  <Characters>24784</Characters>
  <CharactersWithSpaces>28730</CharactersWithSpaces>
  <Paragraphs>236</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2026-07-27T08:27:36Z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