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7"/>
        <w:jc w:val="center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727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pStyle w:val="727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  <w:t xml:space="preserve">на выполнение работ по обновлению программного обеспечения изделия М-633С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г. Москва                                                                                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__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» 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____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__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" w:hAnsi="Times" w:cs="Times"/>
          <w:color w:val="000000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Федеральное агентство по </w:t>
      </w:r>
      <w:r>
        <w:rPr>
          <w:rFonts w:ascii="Times New Roman" w:hAnsi="Times New Roman"/>
          <w:sz w:val="24"/>
          <w:szCs w:val="24"/>
        </w:rPr>
        <w:t xml:space="preserve">управлению государственным имуществом</w:t>
      </w:r>
      <w:r/>
      <w:r>
        <w:rPr>
          <w:rFonts w:ascii="Times" w:hAnsi="Times" w:cs="Times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далее именуемое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Заказчик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в лице ___________________________________,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действующего на основании_____________________, с одной стороны, и ___________________________________________________________________________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далее именуемое 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лице 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действующего на основании 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 другой стороны, вместе именуемые «Стороны», руководствуясь пунктом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части 1 статьи 93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государственный контракт) о нижеследующем: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Предмет государственного контракта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1.1.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казчик поручает, а Исполнитель принимает на себя обязательства выполнить работы по обновлению программного обеспечения (далее - ПО) изделий М-633С (далее – Изделия) с версией 05 до версии 07. В соответствии с Ведомостью исполнения (Приложение № 1).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1.2.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Заказчик обязуется принять и оплатить выполненные работы на условиях настоящего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государственного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7"/>
        </w:num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Цена государственного контракта и порядок расчетов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658"/>
        <w:jc w:val="both"/>
        <w:spacing w:line="240" w:lineRule="auto"/>
        <w:shd w:val="clear" w:color="auto" w:fill="ffffff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2.1. Цена государственного контракта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_________________________________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рублей __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копеек, в том числе НДС__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% -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_______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 рублей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__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 копеек.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658"/>
        <w:jc w:val="both"/>
        <w:spacing w:line="240" w:lineRule="auto"/>
        <w:shd w:val="clear" w:color="auto" w:fill="ffffff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В указанную цену включены</w:t>
      </w:r>
      <w:r>
        <w:rPr>
          <w:rFonts w:ascii="Times New Roman" w:hAnsi="Times New Roman" w:cs="Times New Roman"/>
          <w:sz w:val="24"/>
          <w:szCs w:val="24"/>
        </w:rPr>
        <w:t xml:space="preserve"> расходы на страхование, материалы, уплату налогов и других обязательных платежей, а также иные расходы, связанные с выполнением работ.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Цена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государственного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является твердой и не может изменяться в ходе исполнения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государственного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за исключением случаев, установленных 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2.3. Источник финансирования государственного контракта – Федеральный бюджет 2026 г.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КБК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167 0113 39412 90020 244.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2.4. Оплата по государственному контракту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производится в рублях на основании выставленного Исполнителем счета в течение 10 календарных дней, после утверждения Заказчиком Акта сдачи-приемки выполненных работ.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2.5.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Оплата осуществляется в безналичной форме на расчетный счет Исполнителя.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Днем оплаты считается день зачисления денежных средств на расчетный счет Исполнителя.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3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. Порядок сдачи и приемки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работ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Исполнитель передает Заказчику Изделия с обновленным ПО и документы бухгалтерской отчетности (Акт сдачи-приемки выполненных работ (по форме Приложение № 2),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счет и счет-фактуру)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в срок, не превышающий 20 календарных дней с даты завершения выполнения работ. Дата завершения выполнения работ считается дата приемки работ 5006 ВП.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3.2.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 3 (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три) дня до окончания срока выполнения работ Исполнитель обязан уведомить Заказчика о готовности выполненных работ к сдаче. Уведомление о готовности выполненных работ к сдаче направляется Исполнителем по адресу электронной почты Заказчика, указанному в п.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Договора</w:t>
      </w:r>
      <w:r>
        <w:rPr>
          <w:color w:val="000000"/>
          <w:sz w:val="28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Заказчик в течение 10 дней со дня получения акта сдачи-приемки выполненных работ, обязан направить Исполнителю подписанный акт сдачи-приемки выполненных работ или мотивированный отказ от подписания акта.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В случае мотивированн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ого отказа Заказчика от подписания Акта сдачи-приемки выполненных работ Сторонами составляется акт с указанием необходимых доработок и сроков их исполнения. Исполнитель устраняет указанные замечания за свой счет в течение гарантийного срока обслуживания.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Изделия с обновленным ПО передаются Заказчику на территории Исполнителя по адресу: Москва, ул. Образцова, д. 38.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случае несвоевременного прибытия представителя Заказчика в место отгрузки, Исполнитель ответственность, предусмотренную в п.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Договора не несет.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center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Технические требования и порядок проведения работ.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tabs>
          <w:tab w:val="num" w:pos="0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Изделия передаются от Заказчика Исполнителю на основании акта приема-передачи.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Заказчик своими силами и за свой счет доставляет Изделия на территорию Исполнителя.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Исполнитель на своей территории проводит: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входной контроль изделия на работоспособность;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eastAsia="en-US"/>
        </w:rPr>
        <w:t xml:space="preserve">- сборку/разборку; 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</w:r>
      <w:bookmarkStart w:id="0" w:name="_GoBack"/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eastAsia="en-US"/>
        </w:rPr>
        <w:t xml:space="preserve">- замену аккумулятора с тестированием на приборе Cadex;</w:t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eastAsia="en-US"/>
        </w:rPr>
        <w:t xml:space="preserve">- замену сетевого ЗУ с кабелем;</w:t>
      </w:r>
      <w:bookmarkEnd w:id="0"/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специальную проверку;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загрузку программного обеспечения в изделие;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проверку целостности программного обеспечения;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загрузку технологических ключей;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проверку на стабильность работы;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комплексн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ю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проверку.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color w:val="ff0000"/>
          <w:sz w:val="24"/>
          <w:szCs w:val="24"/>
          <w:lang w:eastAsia="en-US"/>
        </w:rPr>
      </w:pPr>
      <w:r/>
      <w:bookmarkStart w:id="1" w:name="_Hlk195262644"/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.3.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Если по результатам входного контроля Исполнитель выявит технические неисправности в работе пере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данных Изделий, т.е. требуется проведение ремонтных работ, то работы по обновлению ПО в отношении таких Изделий Исполнителем не проводятся. В этом случае Исполнитель письменно уведомляет Заказчика и Стороны принимают решение о внесении изменений в условия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государственного контракта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части количества Изделий и стоимости выполняемых работ. Неисправные Изделия Исполнитель возвращает Заказчику по акту приема-передачи с указанием выявленных технических неисправностей.</w:t>
      </w:r>
      <w:r>
        <w:rPr>
          <w:rFonts w:ascii="Times New Roman" w:hAnsi="Times New Roman" w:eastAsia="Calibri" w:cs="Times New Roman"/>
          <w:color w:val="ff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Изделия выпущенные ранее 20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года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ремонтным работам не подлежат.</w:t>
      </w:r>
      <w:bookmarkEnd w:id="1"/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Срок выполнения работ: в течение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90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рабочих дней с даты подписания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государственного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.5. Исполнитель дает гарантию на выполненные работы на срок 6 (шесть) месяцев c момента приемки военным представительством 5006 (далее – ВП 5006).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Приемка ВП 5006 Изделий после выполненных работ осуществляется без продления срока службы в соответствии с ГОСТ РВ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00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702-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2019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с учетом исполнения требований Положения ПШ-93 (п. 1.19-1.22).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Ответственность Сторон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720"/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За невыполнение или ненадлежащее выполнение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Невыполнение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условий гос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ударственного контракта является основанием для обращения Заказчика в суд с требованием о расторжении государственного контракта или расторжения государственного контракта в связи с односторонним отказом Заказчика от исполнения государственного контракта.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3. В случае полного (частичного) невыполнения условий государственного контракта одной из Сторон эта Сторона обязана возместить другой Стороне причиненные убытки.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В случае просрочки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обязательств, предусмотренных настоящим государственным контрактом,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уплачивает Заказчику пени. Пеня начисляется за каждый день просрочки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обязательства, п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редусмотренного настоящим государственным контрактом, начиная со дня, следующего после дня истечения, установленного настоящим государственным контрактом срока исполнения обязательства. Размер пени составляет одна трехсотая действующей на дату уплаты пени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ключевой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ставки Центрального банка Российской Федерации от цены государственного контракта, уменьшенной на сумму, пропорциональную объему обязательств, предусмотренных государственным контрактом и фактически исполненных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.5. В случае неисполнения или ненадлежащего исполнения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обязательств, предусмотренных государственным контрактом, за исключением просрочки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обязательств (в том числе гарантийного обязательства), предусмотренных государственным контрактом,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уплачивает Заказчику штраф за каждый факт такого неисполнения или ненадлежащего исполнения в размере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10 % от цены государственного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 определяется в порядке, установленном Постановлением Правительства Российской Федерации от 30.08.2017 № 1042:10 процентов цены государственного Контракта (этапа) в случае, если цена государственного Контракта (этапа) не превышает 3 млн. рублей.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.6. В случае неисполнения или ненадлежащего исполнения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обязательств, предусмотренных пунктами 5.2. государственного контракта,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уплачивает Заказчику штраф за каждый факт такого неисполнения или ненадлежащего исполнения в размере 1 000 (Одна тысяча)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рублей 00 копеек.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.7. В случае просрочки исполнения обязательств Заказчиком, предусмотренных настоящим государственным контрактом,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вправе потребовать уплату пени в размере одной трехсотой действующей на дату уплаты пеней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ключевой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ставки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государственным контрактом, начиная со дня,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следующего после дня истечения,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установленного государственным контрактом срока исполнения обязательства.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.8. В случае неисполнения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вправе потребовать уплату штрафа за каждый факт такого неисполнения в размере 1 000 (Одна тысяча) рублей 00 копеек.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.10. Применение штрафных санкций не освобождает Стороны от исполнения обязательств по настоящему государственному контракту.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.11. 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обязательств, предусмотренных государственным контрактом, не может превышать цену государственного контракта.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.12. Общая сумма начисленной неустойки (штрафов, пени) за ненадлежащее исполнение Заказчиком обязательств, предусмотренных государственным контрактом, не может превышать цену государственного контракта.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.13. В случае расторжения государственного контракта в связи с односторонним отказом Стороны от исполнения государствен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ного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государственного контракта.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Обстоятельства непреодолимой силы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widowControl w:val="off"/>
        <w:tabs>
          <w:tab w:val="num" w:pos="0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Стороны не несут ответственности за полное или частичное неисполнение предусмотренных государственным контрактом обязательств, если такое неисполнение связано с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обстоятельствами непреодолимой силы.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Сторона, для которой создалась невозможность исполнения обязательств по государственному контракту вследствие обстоятельств непреодолимой силы, не позднее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30 (Тридцати)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.3. В случае возникновения обстоятельств непреодолимой силы Стороны вправе расторгнуть государственный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Рассмотрение и разрешение споров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7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Претензии Сторо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н, возникающие в связи с исполнением государственного контракта, включая споры и разногласия по техническим и финансовым вопросам (условиям), рассматриваются Сторонами в течение 30 (Тридцати) дней путем переговоров с оформлением соответствующих документов.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7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Неурегулированные споры передаются на разрешение в Арбитражный суд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месту нахождения ответчика, в соответствии с действующим законодательством Российской Федерации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только после принятия мер по их досудебному урегулированию.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Срок действия и порядок расторжения государственного контракта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Государственный контракт вступает в силу с момента подписания и действует</w:t>
        <w:br/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до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31 декабря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202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г. Окончание срока действия государственного контракта не освобождает стороны от выполнения в полном объёме своих обязательств по настоящему государственному контракту.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8.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2. Расторжение государственного контракта допускается по соглашению Сторон,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Антикоррупционная оговорка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pStyle w:val="896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При исполнении обязательств по настоящему государственному контракту Стороны, их аффилированные лица, работники или посредники не выплачивают, не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При исполнении обязательств по настоящему государственному контракту Стороны, их аффилированные лица, работники или посредники не осуществляют действия, квалиф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ицируемые законодательством, как дача/получение взятки, коммерческий подкуп, а также действия, нарушающие требования законодательства Российской Федерации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.3. В случае возникновения у Стороны подозрений, что произошло или может произойти нарушение как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законодательством Российской Федерации, как дача 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ли получение взятки, коммерческий подкуп, а также действиях, нарушающих требования законодательства Российской Федерации и международных актов о противодействии легализации доходов, полученных преступным путем. Сторона, получившая уведомление, имеет право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приостановить испо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лнение обязательств по государственному контракту до получения от другой Стороны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В случае нарушения одной из Сторон обязательств воздерживаться от запрещенных в данном разделе действий и/или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не направление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в установленный государственным контрактом срок подтверждения, что нарушения не произошло или не произойдет, другая Сторона имеет право инициировать расторжение государственного контракта в порядке, установленном настоящим государственным контрактом.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8"/>
        </w:numPr>
        <w:jc w:val="center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Конфиденциальность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Вся предоставляемая Сторонами юридическая, финансовая и иная документация, связанная с заключ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ением и исполнением настоящего государственного контракта, считается конфиденциальной информацией (далее Информация). В случае разглашения указанной Информации Сторона, допустившая разглашение Информации, обязана возместить другой Стороне нанесенный ущерб.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Стороны обязуются, начиная с момента подписания и в течение 3 (Трех) лет после прекращения действия настоящего государственного контракта: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обеспечить хранение Информации, исключающее доступ к Информации третьих лиц;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не передавать Информацию третьим лицам как в полном объеме, так и частично;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не передавать и не разглашать содержание Информации или иными способами не делать ее известной третьим лицам;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обеспечить доступ к Информации только уполномоченных представителей Сторон, проинструктированных о порядке работы с Информацией.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.3. Стороны настоящего государственного контракта вправе распоряжаться Информацией только при наличии предварительного письменного согласия другой Стороны по настоящему Контракту.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Действие настоящего раздела не распространяется на Информацию: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– которая на момент получения является общедоступной;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– которая законным образом получена от третьей стороны;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– которая должна раскрываться уполномоченным государственным органам в соответстви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 с законодательством Российской Федерации. Сторона, получившая Информацию, обязуется уведомлять Сторону, передающую Информацию, о фактах раскрытия Информации органам государственной власти, в течение двух рабочих дней с момента наступления такого события.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96"/>
        <w:numPr>
          <w:ilvl w:val="0"/>
          <w:numId w:val="8"/>
        </w:numPr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Заключительные положения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widowControl w:val="off"/>
        <w:tabs>
          <w:tab w:val="num" w:pos="0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.1. Во всем, что не предусмотрено государственным контрактом, Стороны руководствуются 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.3. Внесение изменений и дополнен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ий, не противоречащих законодательству Российской Федерации,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контракту, которые являются его неотъемлемой частью.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.4. Изменение условий государст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венного контракта при его исполнении не допускается, за исключением случаев,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widowControl w:val="off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.5.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не вправе передавать свои права и обязанности или их часть по государственному контракту третьему лицу без письменного согласия Заказчика, за исключением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правопреемника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вследствие реорганизации юридического лица в форме преобразования, слияния, присоединения. Передача прав и обязанностей по государственному контракту правопреемнику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осуществляется путем заключения соответствующего дополнительного соглашения к государственному контракту.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.6. Стороны обязуются обеспечить конфиденциальность сведений, относящихся к предмету государственного контракта, и ставших им известными в ходе исполнения государственного контракта.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.7. Государственный контракт составлен и подписан Сторонами в 2-х (Двух) экземплярах, обладающих равной юридической силой, один экземпляр для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Исполнителя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один - для Заказчика.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8"/>
        </w:num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Перечень приложений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left="360"/>
        <w:jc w:val="center"/>
        <w:spacing w:after="0" w:line="240" w:lineRule="auto"/>
        <w:tabs>
          <w:tab w:val="num" w:pos="0" w:leader="none"/>
        </w:tabs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.1 Неотъемлемой частью государственного контракта являются следующие приложения: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приложение № 1 –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Ведомость исполнения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на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приложение № 2 –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Форма акта сдачи-приемки выполненных работ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на 1 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tabs>
          <w:tab w:val="num" w:pos="567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8"/>
        </w:num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Место нахождения и банковские реквизиты Сторон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5103"/>
        <w:gridCol w:w="4820"/>
      </w:tblGrid>
      <w:tr>
        <w:tblPrEx/>
        <w:trPr>
          <w:trHeight w:val="4791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Федеральное агентство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ИНН/КПП 7710723134 / 771001001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109012, г. Москва, Никольский пер., д.9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Банковские реквизиты.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Межрегиональное операционное УФК (Федеральное агентство по управлению государственным имуществом,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л/с № 03951001670)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Казначе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йский счет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03211643000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00001950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получателя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Операционный департамент Банка России//Межрегиональное операционное УФК г. Москва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 40102810045370000002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3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024501901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hanging="6"/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СПОЛНИТЕЛЬ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firstLine="720"/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ЗАКАЗЧИК:    </w:t>
            </w:r>
            <w:r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6"/>
                <w:szCs w:val="6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___________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«____»        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ИСПОЛНИТЕЛЬ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__________________/________________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      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zh-CN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Приложение № 1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right="567" w:firstLine="1559"/>
        <w:jc w:val="right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к государственному контракту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right="567" w:firstLine="1559"/>
        <w:jc w:val="right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от ____________ г. № ______________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right="566" w:firstLine="1559"/>
        <w:jc w:val="right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Ведомость исполнения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eastAsia="zh-CN"/>
        </w:rPr>
        <w:t xml:space="preserve">Заказчик: </w:t>
      </w:r>
      <w:r>
        <w:rPr>
          <w:rFonts w:ascii="Times New Roman" w:hAnsi="Times New Roman"/>
          <w:sz w:val="24"/>
          <w:szCs w:val="24"/>
        </w:rPr>
        <w:t xml:space="preserve">Федеральное агентство по </w:t>
      </w:r>
      <w:r>
        <w:rPr>
          <w:rFonts w:ascii="Times New Roman" w:hAnsi="Times New Roman"/>
          <w:sz w:val="24"/>
          <w:szCs w:val="24"/>
        </w:rPr>
        <w:t xml:space="preserve">управлению государственным имуществом</w:t>
      </w:r>
      <w:r/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Исполнитель: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r>
    </w:p>
    <w:tbl>
      <w:tblPr>
        <w:tblW w:w="4966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976"/>
        <w:gridCol w:w="850"/>
        <w:gridCol w:w="1417"/>
        <w:gridCol w:w="1701"/>
        <w:gridCol w:w="1346"/>
      </w:tblGrid>
      <w:tr>
        <w:tblPrEx/>
        <w:trPr>
          <w:trHeight w:val="4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Заводской № изделия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Документация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Цена за единицу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 работ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br/>
              <w:t xml:space="preserve">руб.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 руб.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584С-0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15682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Входной контроль изделия на работоспособность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4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Сборка/разборка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аккумулятора с тестированием на приборе Cadex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Замена сетевого ЗУ с кабелем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проверка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Загрузка программного обеспечения в изделие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Проверка целостности программного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технологических ключей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 стабильность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проверка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в т. ч. НДС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</w:p>
    <w:tbl>
      <w:tblPr>
        <w:tblW w:w="10205" w:type="dxa"/>
        <w:tblLook w:val="0000" w:firstRow="0" w:lastRow="0" w:firstColumn="0" w:lastColumn="0" w:noHBand="0" w:noVBand="0"/>
      </w:tblPr>
      <w:tblGrid>
        <w:gridCol w:w="5102"/>
        <w:gridCol w:w="5103"/>
      </w:tblGrid>
      <w:tr>
        <w:tblPrEx/>
        <w:trPr>
          <w:trHeight w:val="1617"/>
        </w:trPr>
        <w:tc>
          <w:tcPr>
            <w:tcW w:w="5102" w:type="dxa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4"/>
                <w:szCs w:val="24"/>
                <w:lang w:eastAsia="zh-CN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ЗАКАЗЧИК:  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      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16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ИСПОЛНИТЕЛЬ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__________________/___________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«____»      ______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zh-CN"/>
              </w:rPr>
            </w:r>
          </w:p>
        </w:tc>
      </w:tr>
    </w:tbl>
    <w:p>
      <w:pPr>
        <w:ind w:right="567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right="567" w:firstLine="1559"/>
        <w:jc w:val="right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Приложение №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right="567" w:firstLine="1559"/>
        <w:jc w:val="right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к государственному контракту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left="34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от ____________ г. № ______________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left="34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</w:r>
      <w:r>
        <w:rPr>
          <w:rFonts w:ascii="Times New Roman" w:hAnsi="Times New Roman" w:cs="Times New Roman"/>
          <w:bCs/>
          <w:iCs/>
          <w:sz w:val="20"/>
          <w:szCs w:val="20"/>
        </w:rPr>
      </w:r>
      <w:r>
        <w:rPr>
          <w:rFonts w:ascii="Times New Roman" w:hAnsi="Times New Roman" w:cs="Times New Roman"/>
          <w:bCs/>
          <w:iCs/>
          <w:sz w:val="20"/>
          <w:szCs w:val="20"/>
        </w:rPr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4537"/>
        <w:gridCol w:w="992"/>
        <w:gridCol w:w="4678"/>
      </w:tblGrid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4537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ind w:left="34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ОБРАЗЕЦ (не заполняется)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r>
    </w:p>
    <w:p>
      <w:pPr>
        <w:ind w:left="34"/>
        <w:jc w:val="center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АКТ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center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сдачи-приемки выполненных работ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center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               №   /   от              202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6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«__» _________ 202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6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 w:firstLine="67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Акционерное общество «Научно – технический центр «Атлас», именуемое в дальнейшем Исполнитель, в лице ____________ , действующего на основании ___________ , с одной сторон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ы, и ______________, именуемое в дальнейшем Заказчик, в лице ___________, действующего на основании ___________, с другой стороны, а вместе именуемые «Стороны», состав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или настоящий акт о том, что работы по обновлению программного обеспечения изделия М-633C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с заменой аккумулятора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 заменой сетевого зарядного устройства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соответствуют требованиям, установленным по условиям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государственного контракта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, выполнены полностью и в срок, оформлены в надлежащем порядке и полностью приняты Заказчиком.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r>
    </w:p>
    <w:p>
      <w:pPr>
        <w:ind w:left="3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Стороны претензий друг к другу не имеют.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Стоимость выполненных работ составляет (   ) рублей  копейки, в т.ч. НДС 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% - (    ) рублей     копеек.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Аванс не предусмотрен.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Следует к перечислению (   ) рублей    копеек, в т.ч. НДС 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% -   (   ) рублей                  копеек.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34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Настоящий акт составлен в двух экземплярах, имеющих одинаковую юридическую силу, по одному для каждой из Сторон, и является неотъемлемой частью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государственного контракта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tbl>
      <w:tblPr>
        <w:tblW w:w="11340" w:type="dxa"/>
        <w:tblInd w:w="-176" w:type="dxa"/>
        <w:tblLook w:val="0000" w:firstRow="0" w:lastRow="0" w:firstColumn="0" w:lastColumn="0" w:noHBand="0" w:noVBand="0"/>
      </w:tblPr>
      <w:tblGrid>
        <w:gridCol w:w="5670"/>
        <w:gridCol w:w="5670"/>
      </w:tblGrid>
      <w:tr>
        <w:tblPrEx/>
        <w:trPr>
          <w:trHeight w:val="1339"/>
        </w:trPr>
        <w:tc>
          <w:tcPr>
            <w:tcW w:w="5670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                        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 /                       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</w:tbl>
    <w:p>
      <w:pPr>
        <w:ind w:left="34"/>
        <w:spacing w:after="0" w:line="240" w:lineRule="auto"/>
        <w:widowControl w:val="off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ОБРАЗЕЦ АКТА СОГЛАСОВАН: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</w:r>
      <w:r>
        <w:rPr>
          <w:rFonts w:ascii="Times New Roman" w:hAnsi="Times New Roman" w:cs="Times New Roman"/>
          <w:bCs/>
          <w:i/>
          <w:iCs/>
          <w:sz w:val="24"/>
          <w:szCs w:val="24"/>
        </w:rPr>
      </w:r>
    </w:p>
    <w:tbl>
      <w:tblPr>
        <w:tblW w:w="11340" w:type="dxa"/>
        <w:tblInd w:w="-176" w:type="dxa"/>
        <w:tblLook w:val="0000" w:firstRow="0" w:lastRow="0" w:firstColumn="0" w:lastColumn="0" w:noHBand="0" w:noVBand="0"/>
      </w:tblPr>
      <w:tblGrid>
        <w:gridCol w:w="5670"/>
        <w:gridCol w:w="5670"/>
      </w:tblGrid>
      <w:tr>
        <w:tblPrEx/>
        <w:trPr>
          <w:trHeight w:val="1947"/>
        </w:trPr>
        <w:tc>
          <w:tcPr>
            <w:tcW w:w="5670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                        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«____» _________ 202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________________ /_____________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«____» _________ 202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ind w:left="34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</w:tbl>
    <w:p>
      <w:pPr>
        <w:ind w:right="567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851" w:right="567" w:bottom="1134" w:left="1134" w:header="278" w:footer="43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8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0" t="0" r="0" b="0"/>
              <wp:wrapSquare wrapText="bothSides"/>
              <wp:docPr id="1" name="Надпись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251660288;o:allowoverlap:true;o:allowincell:true;mso-position-horizontal-relative:margin;mso-position-horizontal:center;mso-position-vertical-relative:text;margin-top:0.05pt;mso-position-vertical:absolute;width:12.00pt;height:19.75pt;mso-wrap-distance-left:9.00pt;mso-wrap-distance-top:0.00pt;mso-wrap-distance-right:9.00pt;mso-wrap-distance-bottom:0.00pt;visibility:visible;" fillcolor="#FFFFFF" stroked="f">
              <v:fill opacity="100f"/>
              <w10:wrap type="square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>
    <w:name w:val="Heading 1"/>
    <w:basedOn w:val="883"/>
    <w:next w:val="883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basedOn w:val="884"/>
    <w:link w:val="709"/>
    <w:uiPriority w:val="9"/>
    <w:rPr>
      <w:rFonts w:ascii="Arial" w:hAnsi="Arial" w:eastAsia="Arial" w:cs="Arial"/>
      <w:sz w:val="40"/>
      <w:szCs w:val="40"/>
    </w:rPr>
  </w:style>
  <w:style w:type="paragraph" w:styleId="711">
    <w:name w:val="Heading 2"/>
    <w:basedOn w:val="883"/>
    <w:next w:val="883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basedOn w:val="884"/>
    <w:link w:val="711"/>
    <w:uiPriority w:val="9"/>
    <w:rPr>
      <w:rFonts w:ascii="Arial" w:hAnsi="Arial" w:eastAsia="Arial" w:cs="Arial"/>
      <w:sz w:val="34"/>
    </w:rPr>
  </w:style>
  <w:style w:type="paragraph" w:styleId="713">
    <w:name w:val="Heading 3"/>
    <w:basedOn w:val="883"/>
    <w:next w:val="883"/>
    <w:link w:val="7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basedOn w:val="884"/>
    <w:link w:val="713"/>
    <w:uiPriority w:val="9"/>
    <w:rPr>
      <w:rFonts w:ascii="Arial" w:hAnsi="Arial" w:eastAsia="Arial" w:cs="Arial"/>
      <w:sz w:val="30"/>
      <w:szCs w:val="30"/>
    </w:rPr>
  </w:style>
  <w:style w:type="paragraph" w:styleId="715">
    <w:name w:val="Heading 4"/>
    <w:basedOn w:val="883"/>
    <w:next w:val="883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basedOn w:val="884"/>
    <w:link w:val="715"/>
    <w:uiPriority w:val="9"/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3"/>
    <w:next w:val="883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basedOn w:val="884"/>
    <w:link w:val="717"/>
    <w:uiPriority w:val="9"/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3"/>
    <w:next w:val="883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basedOn w:val="884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3"/>
    <w:next w:val="883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basedOn w:val="88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3"/>
    <w:next w:val="883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basedOn w:val="884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3"/>
    <w:next w:val="883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basedOn w:val="884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spacing w:before="0" w:after="0" w:line="240" w:lineRule="auto"/>
    </w:pPr>
  </w:style>
  <w:style w:type="paragraph" w:styleId="728">
    <w:name w:val="Title"/>
    <w:basedOn w:val="883"/>
    <w:next w:val="883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>
    <w:name w:val="Title Char"/>
    <w:basedOn w:val="884"/>
    <w:link w:val="728"/>
    <w:uiPriority w:val="10"/>
    <w:rPr>
      <w:sz w:val="48"/>
      <w:szCs w:val="48"/>
    </w:rPr>
  </w:style>
  <w:style w:type="paragraph" w:styleId="730">
    <w:name w:val="Subtitle"/>
    <w:basedOn w:val="883"/>
    <w:next w:val="883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>
    <w:name w:val="Subtitle Char"/>
    <w:basedOn w:val="884"/>
    <w:link w:val="730"/>
    <w:uiPriority w:val="11"/>
    <w:rPr>
      <w:sz w:val="24"/>
      <w:szCs w:val="24"/>
    </w:rPr>
  </w:style>
  <w:style w:type="paragraph" w:styleId="732">
    <w:name w:val="Quote"/>
    <w:basedOn w:val="883"/>
    <w:next w:val="88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83"/>
    <w:next w:val="883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84"/>
    <w:link w:val="887"/>
    <w:uiPriority w:val="99"/>
  </w:style>
  <w:style w:type="character" w:styleId="737">
    <w:name w:val="Footer Char"/>
    <w:basedOn w:val="884"/>
    <w:link w:val="889"/>
    <w:uiPriority w:val="99"/>
  </w:style>
  <w:style w:type="paragraph" w:styleId="738">
    <w:name w:val="Caption"/>
    <w:basedOn w:val="883"/>
    <w:next w:val="883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884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"/>
    <w:basedOn w:val="88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4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4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paragraph" w:styleId="887">
    <w:name w:val="Header"/>
    <w:basedOn w:val="883"/>
    <w:link w:val="88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8" w:customStyle="1">
    <w:name w:val="Верхний колонтитул Знак"/>
    <w:basedOn w:val="884"/>
    <w:link w:val="887"/>
    <w:uiPriority w:val="99"/>
    <w:semiHidden/>
  </w:style>
  <w:style w:type="paragraph" w:styleId="889">
    <w:name w:val="Footer"/>
    <w:basedOn w:val="883"/>
    <w:link w:val="89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0" w:customStyle="1">
    <w:name w:val="Нижний колонтитул Знак"/>
    <w:basedOn w:val="884"/>
    <w:link w:val="889"/>
    <w:uiPriority w:val="99"/>
    <w:semiHidden/>
  </w:style>
  <w:style w:type="paragraph" w:styleId="891">
    <w:name w:val="Document Map"/>
    <w:basedOn w:val="883"/>
    <w:link w:val="89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2" w:customStyle="1">
    <w:name w:val="Схема документа Знак"/>
    <w:basedOn w:val="884"/>
    <w:link w:val="891"/>
    <w:uiPriority w:val="99"/>
    <w:semiHidden/>
    <w:rPr>
      <w:rFonts w:ascii="Tahoma" w:hAnsi="Tahoma" w:cs="Tahoma"/>
      <w:sz w:val="16"/>
      <w:szCs w:val="16"/>
    </w:rPr>
  </w:style>
  <w:style w:type="character" w:styleId="893">
    <w:name w:val="Hyperlink"/>
    <w:basedOn w:val="884"/>
    <w:uiPriority w:val="99"/>
    <w:semiHidden/>
    <w:unhideWhenUsed/>
    <w:rPr>
      <w:strike w:val="0"/>
      <w:color w:val="0075c5"/>
      <w:u w:val="none"/>
    </w:rPr>
  </w:style>
  <w:style w:type="paragraph" w:styleId="894">
    <w:name w:val="Balloon Text"/>
    <w:basedOn w:val="883"/>
    <w:link w:val="89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basedOn w:val="884"/>
    <w:link w:val="894"/>
    <w:uiPriority w:val="99"/>
    <w:semiHidden/>
    <w:rPr>
      <w:rFonts w:ascii="Segoe UI" w:hAnsi="Segoe UI" w:cs="Segoe UI"/>
      <w:sz w:val="18"/>
      <w:szCs w:val="18"/>
    </w:rPr>
  </w:style>
  <w:style w:type="paragraph" w:styleId="896">
    <w:name w:val="List Paragraph"/>
    <w:basedOn w:val="883"/>
    <w:uiPriority w:val="34"/>
    <w:qFormat/>
    <w:pPr>
      <w:contextualSpacing/>
      <w:ind w:left="720"/>
    </w:pPr>
  </w:style>
  <w:style w:type="paragraph" w:styleId="897">
    <w:name w:val="Body Text"/>
    <w:basedOn w:val="883"/>
    <w:link w:val="898"/>
    <w:pPr>
      <w:jc w:val="both"/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898" w:customStyle="1">
    <w:name w:val="Основной текст Знак"/>
    <w:basedOn w:val="884"/>
    <w:link w:val="897"/>
    <w:rPr>
      <w:rFonts w:ascii="Times New Roman" w:hAnsi="Times New Roman" w:eastAsia="Times New Roman" w:cs="Times New Roman"/>
      <w:color w:val="000000"/>
      <w:sz w:val="28"/>
      <w:szCs w:val="20"/>
      <w:shd w:val="clear" w:color="auto" w:fill="ffffff"/>
    </w:rPr>
  </w:style>
  <w:style w:type="paragraph" w:styleId="899" w:customStyle="1">
    <w:name w:val="Îáû÷íûé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</w:rPr>
  </w:style>
  <w:style w:type="paragraph" w:styleId="900" w:customStyle="1">
    <w:name w:val="ConsNormal"/>
    <w:link w:val="901"/>
    <w:qFormat/>
    <w:pPr>
      <w:ind w:right="19772" w:firstLine="720"/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901" w:customStyle="1">
    <w:name w:val="ConsNormal Знак"/>
    <w:link w:val="900"/>
    <w:rPr>
      <w:rFonts w:ascii="Arial" w:hAnsi="Arial" w:eastAsia="Times New Roman" w:cs="Arial"/>
      <w:sz w:val="20"/>
      <w:szCs w:val="20"/>
    </w:rPr>
  </w:style>
  <w:style w:type="character" w:styleId="902">
    <w:name w:val="annotation reference"/>
    <w:basedOn w:val="884"/>
    <w:uiPriority w:val="99"/>
    <w:semiHidden/>
    <w:unhideWhenUsed/>
    <w:rPr>
      <w:sz w:val="16"/>
      <w:szCs w:val="16"/>
    </w:rPr>
  </w:style>
  <w:style w:type="paragraph" w:styleId="903">
    <w:name w:val="annotation text"/>
    <w:basedOn w:val="883"/>
    <w:link w:val="90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4" w:customStyle="1">
    <w:name w:val="Текст примечания Знак"/>
    <w:basedOn w:val="884"/>
    <w:link w:val="903"/>
    <w:uiPriority w:val="99"/>
    <w:semiHidden/>
    <w:rPr>
      <w:sz w:val="20"/>
      <w:szCs w:val="20"/>
    </w:rPr>
  </w:style>
  <w:style w:type="paragraph" w:styleId="905">
    <w:name w:val="annotation subject"/>
    <w:basedOn w:val="903"/>
    <w:next w:val="903"/>
    <w:link w:val="906"/>
    <w:uiPriority w:val="99"/>
    <w:semiHidden/>
    <w:unhideWhenUsed/>
    <w:rPr>
      <w:b/>
      <w:bCs/>
    </w:rPr>
  </w:style>
  <w:style w:type="character" w:styleId="906" w:customStyle="1">
    <w:name w:val="Тема примечания Знак"/>
    <w:basedOn w:val="904"/>
    <w:link w:val="905"/>
    <w:uiPriority w:val="99"/>
    <w:semiHidden/>
    <w:rPr>
      <w:b/>
      <w:bCs/>
      <w:sz w:val="20"/>
      <w:szCs w:val="20"/>
    </w:rPr>
  </w:style>
  <w:style w:type="paragraph" w:styleId="907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9AF6-5ADD-4600-99CF-65806B56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tatiyana.krohmaleva</cp:lastModifiedBy>
  <cp:revision>138</cp:revision>
  <dcterms:created xsi:type="dcterms:W3CDTF">2018-10-09T06:49:00Z</dcterms:created>
  <dcterms:modified xsi:type="dcterms:W3CDTF">2026-07-21T14:07:23Z</dcterms:modified>
</cp:coreProperties>
</file>