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proofErr w:type="gramStart"/>
      <w:r w:rsidR="006221BA" w:rsidRPr="006221BA">
        <w:rPr>
          <w:rFonts w:ascii="Times New Roman" w:hAnsi="Times New Roman"/>
          <w:sz w:val="20"/>
        </w:rPr>
        <w:tab/>
      </w:r>
      <w:r w:rsidR="007D7004" w:rsidRPr="00391CDD">
        <w:rPr>
          <w:rFonts w:ascii="Times New Roman" w:hAnsi="Times New Roman"/>
          <w:sz w:val="20"/>
        </w:rPr>
        <w:t>«</w:t>
      </w:r>
      <w:proofErr w:type="gramEnd"/>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proofErr w:type="spellStart"/>
      <w:r w:rsidRPr="00391CDD">
        <w:rPr>
          <w:rFonts w:ascii="Times New Roman" w:hAnsi="Times New Roman"/>
          <w:bCs/>
          <w:sz w:val="20"/>
        </w:rPr>
        <w:t>Саковича</w:t>
      </w:r>
      <w:proofErr w:type="spellEnd"/>
      <w:r w:rsidRPr="00391CDD">
        <w:rPr>
          <w:rFonts w:ascii="Times New Roman" w:hAnsi="Times New Roman"/>
          <w:bCs/>
          <w:sz w:val="20"/>
        </w:rPr>
        <w:t xml:space="preserve">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 xml:space="preserve">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w:t>
      </w:r>
      <w:proofErr w:type="gramStart"/>
      <w:r w:rsidR="00DA29F6" w:rsidRPr="00DA29F6">
        <w:rPr>
          <w:rFonts w:ascii="Times New Roman" w:hAnsi="Times New Roman"/>
          <w:sz w:val="20"/>
        </w:rPr>
        <w:t>1650</w:t>
      </w:r>
      <w:r w:rsidR="00D31944">
        <w:rPr>
          <w:rFonts w:ascii="Times New Roman" w:hAnsi="Times New Roman"/>
          <w:sz w:val="20"/>
        </w:rPr>
        <w:t xml:space="preserve"> </w:t>
      </w:r>
      <w:r>
        <w:rPr>
          <w:rFonts w:ascii="Times New Roman" w:hAnsi="Times New Roman"/>
          <w:sz w:val="20"/>
        </w:rPr>
        <w:t xml:space="preserve"> –</w:t>
      </w:r>
      <w:proofErr w:type="gramEnd"/>
      <w:r>
        <w:rPr>
          <w:rFonts w:ascii="Times New Roman" w:hAnsi="Times New Roman"/>
          <w:sz w:val="20"/>
        </w:rPr>
        <w:t xml:space="preserve">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или срок годности.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быть равен гарантийному сроку, установленному производителем</w:t>
      </w:r>
      <w:r w:rsidR="002B5AC0" w:rsidRPr="00391CDD">
        <w:rPr>
          <w:rFonts w:ascii="Times New Roman" w:hAnsi="Times New Roman"/>
          <w:sz w:val="20"/>
        </w:rPr>
        <w:t>. Срок годности на момент передачи Товара Покупателю должен составлять не менее 80% от общего срока годности.</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xml:space="preserve">. Если в течение 5 (Пяти) рабочих дней полномочный представитель Поставщика не прибудет для составления акта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 Покупатель вправе в одностороннем порядке составить акт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 xml:space="preserve">ОКЦ № 1 </w:t>
      </w:r>
      <w:proofErr w:type="spellStart"/>
      <w:r w:rsidRPr="00DA6A87">
        <w:rPr>
          <w:rFonts w:ascii="Times New Roman" w:hAnsi="Times New Roman" w:cs="Times New Roman"/>
        </w:rPr>
        <w:t>СибГУ</w:t>
      </w:r>
      <w:proofErr w:type="spellEnd"/>
      <w:r w:rsidRPr="00DA6A87">
        <w:rPr>
          <w:rFonts w:ascii="Times New Roman" w:hAnsi="Times New Roman" w:cs="Times New Roman"/>
        </w:rPr>
        <w:t xml:space="preserve">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w:t>
      </w:r>
      <w:proofErr w:type="spellStart"/>
      <w:r w:rsidR="004C1F4C">
        <w:rPr>
          <w:rFonts w:ascii="Times New Roman" w:hAnsi="Times New Roman"/>
          <w:sz w:val="20"/>
        </w:rPr>
        <w:t>агрегатора</w:t>
      </w:r>
      <w:proofErr w:type="spellEnd"/>
      <w:r w:rsidR="004C1F4C">
        <w:rPr>
          <w:rFonts w:ascii="Times New Roman" w:hAnsi="Times New Roman"/>
          <w:sz w:val="20"/>
        </w:rPr>
        <w:t xml:space="preserve">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w:t>
            </w:r>
            <w:proofErr w:type="gramStart"/>
            <w:r w:rsidRPr="00484632">
              <w:rPr>
                <w:rFonts w:ascii="Times New Roman" w:hAnsi="Times New Roman"/>
                <w:sz w:val="20"/>
              </w:rPr>
              <w:t>ФЦССХ“ Минздрава</w:t>
            </w:r>
            <w:proofErr w:type="gramEnd"/>
            <w:r w:rsidRPr="00484632">
              <w:rPr>
                <w:rFonts w:ascii="Times New Roman" w:hAnsi="Times New Roman"/>
                <w:sz w:val="20"/>
              </w:rPr>
              <w:t xml:space="preserve">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w:t>
            </w:r>
            <w:proofErr w:type="spellStart"/>
            <w:r w:rsidRPr="00484632">
              <w:rPr>
                <w:rFonts w:ascii="Times New Roman" w:hAnsi="Times New Roman"/>
                <w:sz w:val="20"/>
              </w:rPr>
              <w:t>СибГУ</w:t>
            </w:r>
            <w:proofErr w:type="spellEnd"/>
            <w:r w:rsidRPr="00484632">
              <w:rPr>
                <w:rFonts w:ascii="Times New Roman" w:hAnsi="Times New Roman"/>
                <w:sz w:val="20"/>
              </w:rPr>
              <w:t xml:space="preserve">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 xml:space="preserve">ОКЦ № 1 </w:t>
            </w:r>
            <w:proofErr w:type="spellStart"/>
            <w:r w:rsidR="00484632" w:rsidRPr="00484632">
              <w:rPr>
                <w:rFonts w:ascii="Times New Roman" w:hAnsi="Times New Roman"/>
                <w:sz w:val="20"/>
              </w:rPr>
              <w:t>СибГУ</w:t>
            </w:r>
            <w:proofErr w:type="spellEnd"/>
            <w:r w:rsidR="00484632" w:rsidRPr="00484632">
              <w:rPr>
                <w:rFonts w:ascii="Times New Roman" w:hAnsi="Times New Roman"/>
                <w:sz w:val="20"/>
              </w:rPr>
              <w:t xml:space="preserve">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proofErr w:type="spellStart"/>
              <w:r w:rsidR="00A1589F" w:rsidRPr="00A1589F">
                <w:rPr>
                  <w:rStyle w:val="ad"/>
                  <w:rFonts w:ascii="Times New Roman" w:hAnsi="Times New Roman"/>
                  <w:sz w:val="20"/>
                  <w:lang w:val="en-US"/>
                </w:rPr>
                <w:t>ru</w:t>
              </w:r>
              <w:proofErr w:type="spellEnd"/>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1843"/>
        <w:gridCol w:w="7370"/>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ED2B0F">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580"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320"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ED2B0F">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58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32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ED2B0F">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58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32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ED2B0F">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580" w:type="pct"/>
            <w:tcBorders>
              <w:top w:val="nil"/>
              <w:left w:val="nil"/>
              <w:bottom w:val="single" w:sz="4" w:space="0" w:color="auto"/>
              <w:right w:val="nil"/>
            </w:tcBorders>
            <w:vAlign w:val="center"/>
          </w:tcPr>
          <w:p w:rsidR="00307186" w:rsidRPr="00345E08" w:rsidRDefault="00ED2B0F" w:rsidP="000B03B8">
            <w:pPr>
              <w:jc w:val="left"/>
              <w:rPr>
                <w:rFonts w:ascii="Times New Roman" w:hAnsi="Times New Roman"/>
                <w:color w:val="000000"/>
                <w:sz w:val="20"/>
              </w:rPr>
            </w:pPr>
            <w:r w:rsidRPr="00ED2B0F">
              <w:rPr>
                <w:rFonts w:ascii="Times New Roman" w:hAnsi="Times New Roman"/>
                <w:color w:val="000000"/>
                <w:sz w:val="20"/>
              </w:rPr>
              <w:t>Протез митрального клапана механический двустворчатый</w:t>
            </w:r>
          </w:p>
        </w:tc>
        <w:tc>
          <w:tcPr>
            <w:tcW w:w="2320" w:type="pct"/>
            <w:tcBorders>
              <w:top w:val="nil"/>
              <w:left w:val="single" w:sz="4" w:space="0" w:color="auto"/>
              <w:bottom w:val="single" w:sz="4" w:space="0" w:color="auto"/>
              <w:right w:val="nil"/>
            </w:tcBorders>
            <w:vAlign w:val="center"/>
          </w:tcPr>
          <w:p w:rsidR="00ED2B0F" w:rsidRPr="00ED2B0F" w:rsidRDefault="00ED2B0F" w:rsidP="00ED2B0F">
            <w:pPr>
              <w:jc w:val="left"/>
              <w:rPr>
                <w:rFonts w:ascii="Times New Roman" w:hAnsi="Times New Roman"/>
                <w:iCs/>
                <w:color w:val="000000"/>
                <w:sz w:val="20"/>
              </w:rPr>
            </w:pPr>
            <w:r w:rsidRPr="00ED2B0F">
              <w:rPr>
                <w:rFonts w:ascii="Times New Roman" w:hAnsi="Times New Roman"/>
                <w:iCs/>
                <w:color w:val="000000"/>
                <w:sz w:val="20"/>
              </w:rPr>
              <w:t xml:space="preserve">Код позиции КТРУ: 32.50.22.190-00005223  </w:t>
            </w:r>
          </w:p>
          <w:p w:rsidR="00ED2B0F" w:rsidRPr="00ED2B0F" w:rsidRDefault="00ED2B0F" w:rsidP="00ED2B0F">
            <w:pPr>
              <w:jc w:val="left"/>
              <w:rPr>
                <w:rFonts w:ascii="Times New Roman" w:hAnsi="Times New Roman"/>
                <w:iCs/>
                <w:color w:val="000000"/>
                <w:sz w:val="20"/>
              </w:rPr>
            </w:pPr>
            <w:r w:rsidRPr="00ED2B0F">
              <w:rPr>
                <w:rFonts w:ascii="Times New Roman" w:hAnsi="Times New Roman"/>
                <w:iCs/>
                <w:color w:val="000000"/>
                <w:sz w:val="20"/>
              </w:rPr>
              <w:t>Код по ОКПД2: 32.50.22.192: Протезы сердечно-сосудистые</w:t>
            </w:r>
          </w:p>
          <w:p w:rsidR="00ED2B0F" w:rsidRPr="00ED2B0F" w:rsidRDefault="00ED2B0F" w:rsidP="00ED2B0F">
            <w:pPr>
              <w:jc w:val="left"/>
              <w:rPr>
                <w:rFonts w:ascii="Times New Roman" w:hAnsi="Times New Roman"/>
                <w:iCs/>
                <w:color w:val="000000"/>
                <w:sz w:val="20"/>
              </w:rPr>
            </w:pPr>
            <w:r w:rsidRPr="00ED2B0F">
              <w:rPr>
                <w:rFonts w:ascii="Times New Roman" w:hAnsi="Times New Roman"/>
                <w:iCs/>
                <w:color w:val="000000"/>
                <w:sz w:val="20"/>
              </w:rPr>
              <w:t>Код НКМИ: 316450</w:t>
            </w:r>
          </w:p>
          <w:p w:rsidR="00ED2B0F" w:rsidRPr="00ED2B0F" w:rsidRDefault="00ED2B0F" w:rsidP="00ED2B0F">
            <w:pPr>
              <w:jc w:val="left"/>
              <w:rPr>
                <w:rFonts w:ascii="Times New Roman" w:hAnsi="Times New Roman"/>
                <w:iCs/>
                <w:color w:val="000000"/>
                <w:sz w:val="20"/>
              </w:rPr>
            </w:pPr>
            <w:r>
              <w:rPr>
                <w:rFonts w:ascii="Times New Roman" w:hAnsi="Times New Roman"/>
                <w:iCs/>
                <w:color w:val="000000"/>
                <w:sz w:val="20"/>
              </w:rPr>
              <w:t xml:space="preserve">Вид медицинского изделия - </w:t>
            </w:r>
            <w:r w:rsidRPr="00ED2B0F">
              <w:rPr>
                <w:rFonts w:ascii="Times New Roman" w:hAnsi="Times New Roman"/>
                <w:iCs/>
                <w:color w:val="000000"/>
                <w:sz w:val="20"/>
              </w:rPr>
              <w:t>Искусственный заменитель естественного митрального сердечного клапана. Он состоит из двух полукруглых створок из пиролитического углерода, которые вращаются вокруг стоек из пиролитического углерода или металла, прикрепленных к корпусу клапана с помощью шарниров, образуя в итоге три отверстия. Когда ток крови давит на клапан, две полукруглые створки отгибаются от кольца клапана и пропускают поток крови в три отверстия, после чего створки опять закрываются.</w:t>
            </w:r>
          </w:p>
          <w:p w:rsidR="00ED2B0F" w:rsidRPr="00ED2B0F" w:rsidRDefault="00ED2B0F" w:rsidP="00ED2B0F">
            <w:pPr>
              <w:jc w:val="left"/>
              <w:rPr>
                <w:rFonts w:ascii="Times New Roman" w:hAnsi="Times New Roman"/>
                <w:iCs/>
                <w:color w:val="000000"/>
                <w:sz w:val="20"/>
              </w:rPr>
            </w:pPr>
            <w:r>
              <w:rPr>
                <w:rFonts w:ascii="Times New Roman" w:hAnsi="Times New Roman"/>
                <w:iCs/>
                <w:color w:val="000000"/>
                <w:sz w:val="20"/>
              </w:rPr>
              <w:t xml:space="preserve">Стерильность – </w:t>
            </w:r>
            <w:r w:rsidRPr="00ED2B0F">
              <w:rPr>
                <w:rFonts w:ascii="Times New Roman" w:hAnsi="Times New Roman"/>
                <w:iCs/>
                <w:color w:val="000000"/>
                <w:sz w:val="20"/>
              </w:rPr>
              <w:t>Стерильное</w:t>
            </w:r>
            <w:r>
              <w:rPr>
                <w:rFonts w:ascii="Times New Roman" w:hAnsi="Times New Roman"/>
                <w:iCs/>
                <w:color w:val="000000"/>
                <w:sz w:val="20"/>
              </w:rPr>
              <w:t>;</w:t>
            </w:r>
          </w:p>
          <w:p w:rsidR="00ED2B0F" w:rsidRPr="00ED2B0F" w:rsidRDefault="00ED2B0F" w:rsidP="00ED2B0F">
            <w:pPr>
              <w:jc w:val="left"/>
              <w:rPr>
                <w:rFonts w:ascii="Times New Roman" w:hAnsi="Times New Roman"/>
                <w:iCs/>
                <w:color w:val="000000"/>
                <w:sz w:val="20"/>
              </w:rPr>
            </w:pPr>
            <w:r>
              <w:rPr>
                <w:rFonts w:ascii="Times New Roman" w:hAnsi="Times New Roman"/>
                <w:iCs/>
                <w:color w:val="000000"/>
                <w:sz w:val="20"/>
              </w:rPr>
              <w:t xml:space="preserve">Материал створок и корпуса - </w:t>
            </w:r>
            <w:r w:rsidRPr="00ED2B0F">
              <w:rPr>
                <w:rFonts w:ascii="Times New Roman" w:hAnsi="Times New Roman"/>
                <w:iCs/>
                <w:color w:val="000000"/>
                <w:sz w:val="20"/>
              </w:rPr>
              <w:t xml:space="preserve">Изотропный </w:t>
            </w:r>
            <w:proofErr w:type="spellStart"/>
            <w:r w:rsidRPr="00ED2B0F">
              <w:rPr>
                <w:rFonts w:ascii="Times New Roman" w:hAnsi="Times New Roman"/>
                <w:iCs/>
                <w:color w:val="000000"/>
                <w:sz w:val="20"/>
              </w:rPr>
              <w:t>пиролититический</w:t>
            </w:r>
            <w:proofErr w:type="spellEnd"/>
            <w:r w:rsidRPr="00ED2B0F">
              <w:rPr>
                <w:rFonts w:ascii="Times New Roman" w:hAnsi="Times New Roman"/>
                <w:iCs/>
                <w:color w:val="000000"/>
                <w:sz w:val="20"/>
              </w:rPr>
              <w:t xml:space="preserve"> углерод</w:t>
            </w:r>
          </w:p>
          <w:p w:rsidR="00ED2B0F" w:rsidRPr="00ED2B0F" w:rsidRDefault="00ED2B0F" w:rsidP="00ED2B0F">
            <w:pPr>
              <w:jc w:val="left"/>
              <w:rPr>
                <w:rFonts w:ascii="Times New Roman" w:hAnsi="Times New Roman"/>
                <w:iCs/>
                <w:color w:val="000000"/>
                <w:sz w:val="20"/>
              </w:rPr>
            </w:pPr>
            <w:r w:rsidRPr="00ED2B0F">
              <w:rPr>
                <w:rFonts w:ascii="Times New Roman" w:hAnsi="Times New Roman"/>
                <w:iCs/>
                <w:color w:val="000000"/>
                <w:sz w:val="20"/>
              </w:rPr>
              <w:t>Особенн</w:t>
            </w:r>
            <w:r>
              <w:rPr>
                <w:rFonts w:ascii="Times New Roman" w:hAnsi="Times New Roman"/>
                <w:iCs/>
                <w:color w:val="000000"/>
                <w:sz w:val="20"/>
              </w:rPr>
              <w:t xml:space="preserve">ости конструкции - </w:t>
            </w:r>
            <w:r w:rsidRPr="00ED2B0F">
              <w:rPr>
                <w:rFonts w:ascii="Times New Roman" w:hAnsi="Times New Roman"/>
                <w:iCs/>
                <w:color w:val="000000"/>
                <w:sz w:val="20"/>
              </w:rPr>
              <w:t xml:space="preserve">Створки </w:t>
            </w:r>
            <w:proofErr w:type="spellStart"/>
            <w:r w:rsidRPr="00ED2B0F">
              <w:rPr>
                <w:rFonts w:ascii="Times New Roman" w:hAnsi="Times New Roman"/>
                <w:iCs/>
                <w:color w:val="000000"/>
                <w:sz w:val="20"/>
              </w:rPr>
              <w:t>самоориентируются</w:t>
            </w:r>
            <w:proofErr w:type="spellEnd"/>
            <w:r w:rsidRPr="00ED2B0F">
              <w:rPr>
                <w:rFonts w:ascii="Times New Roman" w:hAnsi="Times New Roman"/>
                <w:iCs/>
                <w:color w:val="000000"/>
                <w:sz w:val="20"/>
              </w:rPr>
              <w:t xml:space="preserve"> в потоке, обеспечивая оптимальные условия функционирования, что исключает необходимость корректировать ориентацию протеза во время проведения операции и обеспечивает более равномерное безотрывное </w:t>
            </w:r>
            <w:proofErr w:type="spellStart"/>
            <w:r w:rsidRPr="00ED2B0F">
              <w:rPr>
                <w:rFonts w:ascii="Times New Roman" w:hAnsi="Times New Roman"/>
                <w:iCs/>
                <w:color w:val="000000"/>
                <w:sz w:val="20"/>
              </w:rPr>
              <w:t>омывание</w:t>
            </w:r>
            <w:proofErr w:type="spellEnd"/>
            <w:r w:rsidRPr="00ED2B0F">
              <w:rPr>
                <w:rFonts w:ascii="Times New Roman" w:hAnsi="Times New Roman"/>
                <w:iCs/>
                <w:color w:val="000000"/>
                <w:sz w:val="20"/>
              </w:rPr>
              <w:t xml:space="preserve"> всех его элементов и окружающих структур сердца, что исключает наличие застойных зон и снижает вероятность </w:t>
            </w:r>
            <w:proofErr w:type="spellStart"/>
            <w:r w:rsidRPr="00ED2B0F">
              <w:rPr>
                <w:rFonts w:ascii="Times New Roman" w:hAnsi="Times New Roman"/>
                <w:iCs/>
                <w:color w:val="000000"/>
                <w:sz w:val="20"/>
              </w:rPr>
              <w:t>тромбообразований</w:t>
            </w:r>
            <w:proofErr w:type="spellEnd"/>
            <w:r w:rsidRPr="00ED2B0F">
              <w:rPr>
                <w:rFonts w:ascii="Times New Roman" w:hAnsi="Times New Roman"/>
                <w:iCs/>
                <w:color w:val="000000"/>
                <w:sz w:val="20"/>
              </w:rPr>
              <w:t>;</w:t>
            </w:r>
          </w:p>
          <w:p w:rsidR="00ED2B0F" w:rsidRPr="00ED2B0F" w:rsidRDefault="00ED2B0F" w:rsidP="00ED2B0F">
            <w:pPr>
              <w:jc w:val="left"/>
              <w:rPr>
                <w:rFonts w:ascii="Times New Roman" w:hAnsi="Times New Roman"/>
                <w:iCs/>
                <w:color w:val="000000"/>
                <w:sz w:val="20"/>
              </w:rPr>
            </w:pPr>
            <w:r>
              <w:rPr>
                <w:rFonts w:ascii="Times New Roman" w:hAnsi="Times New Roman"/>
                <w:iCs/>
                <w:color w:val="000000"/>
                <w:sz w:val="20"/>
              </w:rPr>
              <w:t xml:space="preserve">Упрочняющее кольцо из </w:t>
            </w:r>
            <w:proofErr w:type="gramStart"/>
            <w:r>
              <w:rPr>
                <w:rFonts w:ascii="Times New Roman" w:hAnsi="Times New Roman"/>
                <w:iCs/>
                <w:color w:val="000000"/>
                <w:sz w:val="20"/>
              </w:rPr>
              <w:t>титана  -</w:t>
            </w:r>
            <w:proofErr w:type="gramEnd"/>
            <w:r>
              <w:rPr>
                <w:rFonts w:ascii="Times New Roman" w:hAnsi="Times New Roman"/>
                <w:iCs/>
                <w:color w:val="000000"/>
                <w:sz w:val="20"/>
              </w:rPr>
              <w:t xml:space="preserve"> </w:t>
            </w:r>
            <w:r w:rsidRPr="00ED2B0F">
              <w:rPr>
                <w:rFonts w:ascii="Times New Roman" w:hAnsi="Times New Roman"/>
                <w:iCs/>
                <w:color w:val="000000"/>
                <w:sz w:val="20"/>
              </w:rPr>
              <w:t>Наличие</w:t>
            </w:r>
          </w:p>
          <w:p w:rsidR="00ED2B0F" w:rsidRPr="00ED2B0F" w:rsidRDefault="00ED2B0F" w:rsidP="00ED2B0F">
            <w:pPr>
              <w:jc w:val="left"/>
              <w:rPr>
                <w:rFonts w:ascii="Times New Roman" w:hAnsi="Times New Roman"/>
                <w:iCs/>
                <w:color w:val="000000"/>
                <w:sz w:val="20"/>
              </w:rPr>
            </w:pPr>
            <w:r>
              <w:rPr>
                <w:rFonts w:ascii="Times New Roman" w:hAnsi="Times New Roman"/>
                <w:iCs/>
                <w:color w:val="000000"/>
                <w:sz w:val="20"/>
              </w:rPr>
              <w:t xml:space="preserve">Формы </w:t>
            </w:r>
            <w:proofErr w:type="gramStart"/>
            <w:r>
              <w:rPr>
                <w:rFonts w:ascii="Times New Roman" w:hAnsi="Times New Roman"/>
                <w:iCs/>
                <w:color w:val="000000"/>
                <w:sz w:val="20"/>
              </w:rPr>
              <w:t>манжет  -</w:t>
            </w:r>
            <w:proofErr w:type="gramEnd"/>
            <w:r>
              <w:rPr>
                <w:rFonts w:ascii="Times New Roman" w:hAnsi="Times New Roman"/>
                <w:iCs/>
                <w:color w:val="000000"/>
                <w:sz w:val="20"/>
              </w:rPr>
              <w:t xml:space="preserve"> </w:t>
            </w:r>
            <w:proofErr w:type="spellStart"/>
            <w:r w:rsidRPr="00ED2B0F">
              <w:rPr>
                <w:rFonts w:ascii="Times New Roman" w:hAnsi="Times New Roman"/>
                <w:iCs/>
                <w:color w:val="000000"/>
                <w:sz w:val="20"/>
              </w:rPr>
              <w:t>Супрааннулярная</w:t>
            </w:r>
            <w:proofErr w:type="spellEnd"/>
            <w:r w:rsidRPr="00ED2B0F">
              <w:rPr>
                <w:rFonts w:ascii="Times New Roman" w:hAnsi="Times New Roman"/>
                <w:iCs/>
                <w:color w:val="000000"/>
                <w:sz w:val="20"/>
              </w:rPr>
              <w:t xml:space="preserve"> (</w:t>
            </w:r>
            <w:proofErr w:type="spellStart"/>
            <w:r w:rsidRPr="00ED2B0F">
              <w:rPr>
                <w:rFonts w:ascii="Times New Roman" w:hAnsi="Times New Roman"/>
                <w:iCs/>
                <w:color w:val="000000"/>
                <w:sz w:val="20"/>
              </w:rPr>
              <w:t>Su</w:t>
            </w:r>
            <w:proofErr w:type="spellEnd"/>
            <w:r w:rsidRPr="00ED2B0F">
              <w:rPr>
                <w:rFonts w:ascii="Times New Roman" w:hAnsi="Times New Roman"/>
                <w:iCs/>
                <w:color w:val="000000"/>
                <w:sz w:val="20"/>
              </w:rPr>
              <w:t xml:space="preserve">), </w:t>
            </w:r>
            <w:proofErr w:type="spellStart"/>
            <w:r w:rsidRPr="00ED2B0F">
              <w:rPr>
                <w:rFonts w:ascii="Times New Roman" w:hAnsi="Times New Roman"/>
                <w:iCs/>
                <w:color w:val="000000"/>
                <w:sz w:val="20"/>
              </w:rPr>
              <w:t>интрааннулярная</w:t>
            </w:r>
            <w:proofErr w:type="spellEnd"/>
            <w:r w:rsidRPr="00ED2B0F">
              <w:rPr>
                <w:rFonts w:ascii="Times New Roman" w:hAnsi="Times New Roman"/>
                <w:iCs/>
                <w:color w:val="000000"/>
                <w:sz w:val="20"/>
              </w:rPr>
              <w:t xml:space="preserve"> (</w:t>
            </w:r>
            <w:proofErr w:type="spellStart"/>
            <w:r w:rsidRPr="00ED2B0F">
              <w:rPr>
                <w:rFonts w:ascii="Times New Roman" w:hAnsi="Times New Roman"/>
                <w:iCs/>
                <w:color w:val="000000"/>
                <w:sz w:val="20"/>
              </w:rPr>
              <w:t>In</w:t>
            </w:r>
            <w:proofErr w:type="spellEnd"/>
            <w:r w:rsidRPr="00ED2B0F">
              <w:rPr>
                <w:rFonts w:ascii="Times New Roman" w:hAnsi="Times New Roman"/>
                <w:iCs/>
                <w:color w:val="000000"/>
                <w:sz w:val="20"/>
              </w:rPr>
              <w:t>)</w:t>
            </w:r>
            <w:r>
              <w:rPr>
                <w:rFonts w:ascii="Times New Roman" w:hAnsi="Times New Roman"/>
                <w:iCs/>
                <w:color w:val="000000"/>
                <w:sz w:val="20"/>
              </w:rPr>
              <w:t>;</w:t>
            </w:r>
          </w:p>
          <w:p w:rsidR="00ED2B0F" w:rsidRPr="00ED2B0F" w:rsidRDefault="00ED2B0F" w:rsidP="00ED2B0F">
            <w:pPr>
              <w:jc w:val="left"/>
              <w:rPr>
                <w:rFonts w:ascii="Times New Roman" w:hAnsi="Times New Roman"/>
                <w:iCs/>
                <w:color w:val="000000"/>
                <w:sz w:val="20"/>
              </w:rPr>
            </w:pPr>
            <w:r w:rsidRPr="00ED2B0F">
              <w:rPr>
                <w:rFonts w:ascii="Times New Roman" w:hAnsi="Times New Roman"/>
                <w:iCs/>
                <w:color w:val="000000"/>
                <w:sz w:val="20"/>
              </w:rPr>
              <w:t>Стери</w:t>
            </w:r>
            <w:r>
              <w:rPr>
                <w:rFonts w:ascii="Times New Roman" w:hAnsi="Times New Roman"/>
                <w:iCs/>
                <w:color w:val="000000"/>
                <w:sz w:val="20"/>
              </w:rPr>
              <w:t xml:space="preserve">льные ручка-держатель и калибры – </w:t>
            </w:r>
            <w:r w:rsidRPr="00ED2B0F">
              <w:rPr>
                <w:rFonts w:ascii="Times New Roman" w:hAnsi="Times New Roman"/>
                <w:iCs/>
                <w:color w:val="000000"/>
                <w:sz w:val="20"/>
              </w:rPr>
              <w:t>Наличие</w:t>
            </w:r>
            <w:r>
              <w:rPr>
                <w:rFonts w:ascii="Times New Roman" w:hAnsi="Times New Roman"/>
                <w:iCs/>
                <w:color w:val="000000"/>
                <w:sz w:val="20"/>
              </w:rPr>
              <w:t>;</w:t>
            </w:r>
          </w:p>
          <w:p w:rsidR="00ED2B0F" w:rsidRPr="00ED2B0F" w:rsidRDefault="00ED2B0F" w:rsidP="00ED2B0F">
            <w:pPr>
              <w:jc w:val="left"/>
              <w:rPr>
                <w:rFonts w:ascii="Times New Roman" w:hAnsi="Times New Roman"/>
                <w:iCs/>
                <w:color w:val="000000"/>
                <w:sz w:val="20"/>
              </w:rPr>
            </w:pPr>
            <w:r w:rsidRPr="00ED2B0F">
              <w:rPr>
                <w:rFonts w:ascii="Times New Roman" w:hAnsi="Times New Roman"/>
                <w:iCs/>
                <w:color w:val="000000"/>
                <w:sz w:val="20"/>
              </w:rPr>
              <w:t xml:space="preserve">Типоразмер, </w:t>
            </w:r>
            <w:proofErr w:type="spellStart"/>
            <w:r w:rsidRPr="00ED2B0F">
              <w:rPr>
                <w:rFonts w:ascii="Times New Roman" w:hAnsi="Times New Roman"/>
                <w:iCs/>
                <w:color w:val="000000"/>
                <w:sz w:val="20"/>
              </w:rPr>
              <w:t>супрааннулярная</w:t>
            </w:r>
            <w:proofErr w:type="spellEnd"/>
            <w:r w:rsidRPr="00ED2B0F">
              <w:rPr>
                <w:rFonts w:ascii="Times New Roman" w:hAnsi="Times New Roman"/>
                <w:iCs/>
                <w:color w:val="000000"/>
                <w:sz w:val="20"/>
              </w:rPr>
              <w:t xml:space="preserve"> позиция, миллиметр</w:t>
            </w:r>
            <w:r w:rsidRPr="00ED2B0F">
              <w:rPr>
                <w:rFonts w:ascii="Times New Roman" w:hAnsi="Times New Roman"/>
                <w:iCs/>
                <w:color w:val="000000"/>
                <w:sz w:val="20"/>
              </w:rPr>
              <w:tab/>
              <w:t>25</w:t>
            </w:r>
            <w:r>
              <w:rPr>
                <w:rFonts w:ascii="Times New Roman" w:hAnsi="Times New Roman"/>
                <w:iCs/>
                <w:color w:val="000000"/>
                <w:sz w:val="20"/>
              </w:rPr>
              <w:t>;</w:t>
            </w:r>
            <w:r w:rsidRPr="00ED2B0F">
              <w:rPr>
                <w:rFonts w:ascii="Times New Roman" w:hAnsi="Times New Roman"/>
                <w:iCs/>
                <w:color w:val="000000"/>
                <w:sz w:val="20"/>
              </w:rPr>
              <w:t xml:space="preserve"> </w:t>
            </w:r>
          </w:p>
          <w:p w:rsidR="00307186" w:rsidRPr="0025052E" w:rsidRDefault="00ED2B0F" w:rsidP="00ED2B0F">
            <w:pPr>
              <w:jc w:val="left"/>
              <w:rPr>
                <w:rFonts w:ascii="Times New Roman" w:hAnsi="Times New Roman"/>
                <w:iCs/>
                <w:color w:val="000000"/>
                <w:sz w:val="20"/>
              </w:rPr>
            </w:pPr>
            <w:r w:rsidRPr="00ED2B0F">
              <w:rPr>
                <w:rFonts w:ascii="Times New Roman" w:hAnsi="Times New Roman"/>
                <w:iCs/>
                <w:color w:val="000000"/>
                <w:sz w:val="20"/>
              </w:rPr>
              <w:t xml:space="preserve">Типоразмеров, </w:t>
            </w:r>
            <w:proofErr w:type="spellStart"/>
            <w:r w:rsidRPr="00ED2B0F">
              <w:rPr>
                <w:rFonts w:ascii="Times New Roman" w:hAnsi="Times New Roman"/>
                <w:iCs/>
                <w:color w:val="000000"/>
                <w:sz w:val="20"/>
              </w:rPr>
              <w:t>интрааннулярная</w:t>
            </w:r>
            <w:proofErr w:type="spellEnd"/>
            <w:r w:rsidRPr="00ED2B0F">
              <w:rPr>
                <w:rFonts w:ascii="Times New Roman" w:hAnsi="Times New Roman"/>
                <w:iCs/>
                <w:color w:val="000000"/>
                <w:sz w:val="20"/>
              </w:rPr>
              <w:t xml:space="preserve"> позиция, миллиметр</w:t>
            </w:r>
            <w:r w:rsidRPr="00ED2B0F">
              <w:rPr>
                <w:rFonts w:ascii="Times New Roman" w:hAnsi="Times New Roman"/>
                <w:iCs/>
                <w:color w:val="000000"/>
                <w:sz w:val="20"/>
              </w:rPr>
              <w:tab/>
              <w:t>25</w:t>
            </w:r>
            <w:r>
              <w:rPr>
                <w:rFonts w:ascii="Times New Roman" w:hAnsi="Times New Roman"/>
                <w:iCs/>
                <w:color w:val="000000"/>
                <w:sz w:val="20"/>
              </w:rPr>
              <w:t>;</w:t>
            </w:r>
            <w:r w:rsidRPr="00ED2B0F">
              <w:rPr>
                <w:rFonts w:ascii="Times New Roman" w:hAnsi="Times New Roman"/>
                <w:iCs/>
                <w:color w:val="000000"/>
                <w:sz w:val="20"/>
              </w:rPr>
              <w:t xml:space="preserve"> </w:t>
            </w: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ED2B0F" w:rsidP="000B03B8">
            <w:pPr>
              <w:jc w:val="center"/>
              <w:rPr>
                <w:rFonts w:ascii="Times New Roman" w:hAnsi="Times New Roman"/>
                <w:color w:val="000000"/>
                <w:sz w:val="20"/>
              </w:rPr>
            </w:pPr>
            <w:r>
              <w:rPr>
                <w:rFonts w:ascii="Times New Roman" w:hAnsi="Times New Roman"/>
                <w:color w:val="000000"/>
                <w:sz w:val="20"/>
              </w:rPr>
              <w:t>штука</w:t>
            </w: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ED2B0F" w:rsidP="000B03B8">
            <w:pPr>
              <w:jc w:val="center"/>
              <w:rPr>
                <w:rFonts w:ascii="Times New Roman" w:hAnsi="Times New Roman"/>
                <w:color w:val="000000"/>
                <w:sz w:val="20"/>
              </w:rPr>
            </w:pPr>
            <w:r>
              <w:rPr>
                <w:rFonts w:ascii="Times New Roman" w:hAnsi="Times New Roman"/>
                <w:color w:val="000000"/>
                <w:sz w:val="20"/>
              </w:rPr>
              <w:t>5</w:t>
            </w: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ED2B0F">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580"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320"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w:t>
            </w:r>
            <w:r w:rsidRPr="00ED2B0F">
              <w:rPr>
                <w:rFonts w:ascii="Times New Roman" w:hAnsi="Times New Roman"/>
                <w:bCs/>
                <w:sz w:val="20"/>
              </w:rPr>
              <w:t xml:space="preserve">в течение </w:t>
            </w:r>
            <w:r w:rsidR="00ED2B0F" w:rsidRPr="00ED2B0F">
              <w:rPr>
                <w:rFonts w:ascii="Times New Roman" w:hAnsi="Times New Roman"/>
                <w:bCs/>
                <w:sz w:val="20"/>
              </w:rPr>
              <w:t xml:space="preserve">10 </w:t>
            </w:r>
            <w:r w:rsidRPr="00ED2B0F">
              <w:rPr>
                <w:rFonts w:ascii="Times New Roman" w:hAnsi="Times New Roman"/>
                <w:bCs/>
                <w:sz w:val="20"/>
              </w:rPr>
              <w:t>(</w:t>
            </w:r>
            <w:r w:rsidR="00ED2B0F" w:rsidRPr="00ED2B0F">
              <w:rPr>
                <w:rFonts w:ascii="Times New Roman" w:hAnsi="Times New Roman"/>
                <w:bCs/>
                <w:sz w:val="20"/>
              </w:rPr>
              <w:t>десяти</w:t>
            </w:r>
            <w:r w:rsidRPr="00ED2B0F">
              <w:rPr>
                <w:rFonts w:ascii="Times New Roman" w:hAnsi="Times New Roman"/>
                <w:bCs/>
                <w:sz w:val="20"/>
              </w:rPr>
              <w:t>) календарных дней с момента</w:t>
            </w:r>
            <w:r w:rsidRPr="00307186">
              <w:rPr>
                <w:rFonts w:ascii="Times New Roman" w:hAnsi="Times New Roman"/>
                <w:bCs/>
                <w:sz w:val="20"/>
              </w:rPr>
              <w:t xml:space="preserve"> заключения Контракта.</w:t>
            </w:r>
          </w:p>
          <w:p w:rsidR="00307186" w:rsidRPr="00391CDD" w:rsidRDefault="00307186" w:rsidP="000B03B8">
            <w:pPr>
              <w:rPr>
                <w:rFonts w:ascii="Times New Roman" w:hAnsi="Times New Roman"/>
                <w:b/>
                <w:bCs/>
                <w:sz w:val="20"/>
              </w:rPr>
            </w:pPr>
          </w:p>
          <w:p w:rsidR="000B03B8" w:rsidRPr="00391CDD" w:rsidRDefault="000B03B8" w:rsidP="00ED2B0F">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007E361D" w:rsidRPr="007E361D">
              <w:rPr>
                <w:rFonts w:ascii="Times New Roman" w:hAnsi="Times New Roman"/>
                <w:bCs/>
                <w:sz w:val="20"/>
              </w:rPr>
              <w:t>Красноярский край,</w:t>
            </w:r>
            <w:r w:rsidR="007E361D">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 xml:space="preserve">Караульная </w:t>
            </w:r>
            <w:r w:rsidRPr="00ED2B0F">
              <w:rPr>
                <w:rFonts w:ascii="Times New Roman" w:hAnsi="Times New Roman"/>
                <w:sz w:val="20"/>
              </w:rPr>
              <w:t xml:space="preserve">д. 45, </w:t>
            </w:r>
            <w:r w:rsidR="0056410F" w:rsidRPr="00ED2B0F">
              <w:rPr>
                <w:rFonts w:ascii="Times New Roman" w:hAnsi="Times New Roman"/>
                <w:b/>
                <w:bCs/>
                <w:sz w:val="20"/>
              </w:rPr>
              <w:t>Аптечный склад, (391) 222-24-81 (доб.5236)</w:t>
            </w:r>
            <w:r w:rsidR="0056410F">
              <w:rPr>
                <w:rFonts w:ascii="Times New Roman" w:hAnsi="Times New Roman"/>
                <w:b/>
                <w:bCs/>
                <w:color w:val="FF0000"/>
                <w:sz w:val="20"/>
              </w:rPr>
              <w:t xml:space="preserve"> </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 xml:space="preserve">к Контракту поставки №          от </w:t>
      </w:r>
      <w:proofErr w:type="gramStart"/>
      <w:r w:rsidRPr="00FE39F3">
        <w:rPr>
          <w:rFonts w:ascii="Times New Roman" w:hAnsi="Times New Roman"/>
          <w:b/>
          <w:bCs/>
          <w:sz w:val="20"/>
        </w:rPr>
        <w:t xml:space="preserve">«  </w:t>
      </w:r>
      <w:proofErr w:type="gramEnd"/>
      <w:r w:rsidRPr="00FE39F3">
        <w:rPr>
          <w:rFonts w:ascii="Times New Roman" w:hAnsi="Times New Roman"/>
          <w:b/>
          <w:bCs/>
          <w:sz w:val="20"/>
        </w:rPr>
        <w:t xml:space="preserve">  »     2025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proofErr w:type="spellStart"/>
            <w:r w:rsidRPr="00FE39F3">
              <w:rPr>
                <w:rFonts w:ascii="Times New Roman" w:hAnsi="Times New Roman"/>
                <w:sz w:val="13"/>
                <w:szCs w:val="13"/>
              </w:rPr>
              <w:t>Сакович</w:t>
            </w:r>
            <w:proofErr w:type="spellEnd"/>
            <w:r w:rsidRPr="00FE39F3">
              <w:rPr>
                <w:rFonts w:ascii="Times New Roman" w:hAnsi="Times New Roman"/>
                <w:sz w:val="13"/>
                <w:szCs w:val="13"/>
              </w:rPr>
              <w:t xml:space="preserve">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w:t>
            </w:r>
            <w:proofErr w:type="spellStart"/>
            <w:r w:rsidRPr="00FE39F3">
              <w:rPr>
                <w:rFonts w:ascii="Times New Roman" w:hAnsi="Times New Roman"/>
                <w:sz w:val="13"/>
                <w:szCs w:val="13"/>
              </w:rPr>
              <w:t>Сакович</w:t>
            </w:r>
            <w:proofErr w:type="spellEnd"/>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 xml:space="preserve">   "       "                           2025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02504F" w:rsidRDefault="0002504F" w:rsidP="00FE39F3">
            <w:pPr>
              <w:jc w:val="center"/>
              <w:rPr>
                <w:rFonts w:ascii="Arial" w:hAnsi="Arial"/>
              </w:rPr>
            </w:pPr>
            <w:r w:rsidRPr="0002504F">
              <w:rPr>
                <w:rFonts w:ascii="Times New Roman" w:hAnsi="Times New Roman"/>
                <w:sz w:val="13"/>
                <w:szCs w:val="13"/>
              </w:rPr>
              <w:t>А</w:t>
            </w:r>
            <w:r w:rsidR="00FE39F3" w:rsidRPr="0002504F">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02504F" w:rsidRDefault="00FE39F3" w:rsidP="00FE39F3">
            <w:pPr>
              <w:jc w:val="center"/>
              <w:rPr>
                <w:rFonts w:ascii="Arial" w:hAnsi="Arial"/>
              </w:rPr>
            </w:pPr>
            <w:r w:rsidRPr="0002504F">
              <w:rPr>
                <w:rFonts w:ascii="Times New Roman" w:hAnsi="Times New Roman"/>
                <w:sz w:val="13"/>
                <w:szCs w:val="13"/>
              </w:rPr>
              <w:t>Министерство здравоохранения Российской Федерации</w:t>
            </w:r>
            <w:bookmarkStart w:id="0" w:name="_GoBack"/>
            <w:bookmarkEnd w:id="0"/>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660020, Красноярский край, Красноярск г, Караульная </w:t>
            </w:r>
            <w:proofErr w:type="spellStart"/>
            <w:r w:rsidRPr="00FE39F3">
              <w:rPr>
                <w:rFonts w:ascii="Times New Roman" w:hAnsi="Times New Roman"/>
                <w:sz w:val="13"/>
                <w:szCs w:val="13"/>
              </w:rPr>
              <w:t>ул</w:t>
            </w:r>
            <w:proofErr w:type="spellEnd"/>
            <w:r w:rsidRPr="00FE39F3">
              <w:rPr>
                <w:rFonts w:ascii="Times New Roman" w:hAnsi="Times New Roman"/>
                <w:sz w:val="13"/>
                <w:szCs w:val="13"/>
              </w:rPr>
              <w:t>,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w:t>
            </w:r>
            <w:proofErr w:type="spellStart"/>
            <w:r w:rsidRPr="00FE39F3">
              <w:rPr>
                <w:rFonts w:ascii="Times New Roman" w:hAnsi="Times New Roman"/>
                <w:sz w:val="13"/>
                <w:szCs w:val="13"/>
              </w:rPr>
              <w:t>г.Красноярск</w:t>
            </w:r>
            <w:proofErr w:type="spellEnd"/>
            <w:r w:rsidRPr="00FE39F3">
              <w:rPr>
                <w:rFonts w:ascii="Times New Roman" w:hAnsi="Times New Roman"/>
                <w:sz w:val="13"/>
                <w:szCs w:val="13"/>
              </w:rPr>
              <w:t>))</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proofErr w:type="spellStart"/>
            <w:r w:rsidRPr="00FE39F3">
              <w:rPr>
                <w:rFonts w:ascii="Times New Roman" w:hAnsi="Times New Roman"/>
                <w:sz w:val="11"/>
                <w:szCs w:val="11"/>
              </w:rPr>
              <w:t>Отклоне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ние</w:t>
            </w:r>
            <w:proofErr w:type="spellEnd"/>
            <w:r w:rsidRPr="00FE39F3">
              <w:rPr>
                <w:rFonts w:ascii="Times New Roman" w:hAnsi="Times New Roman"/>
                <w:sz w:val="11"/>
                <w:szCs w:val="11"/>
              </w:rPr>
              <w:t xml:space="preserve">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в том числе количество (объем) фактически принятого товара, работы, услуги, не </w:t>
            </w:r>
            <w:proofErr w:type="spellStart"/>
            <w:r w:rsidRPr="00FE39F3">
              <w:rPr>
                <w:rFonts w:ascii="Times New Roman" w:hAnsi="Times New Roman"/>
                <w:sz w:val="11"/>
                <w:szCs w:val="11"/>
              </w:rPr>
              <w:t>соответству</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ющие</w:t>
            </w:r>
            <w:proofErr w:type="spellEnd"/>
            <w:r w:rsidRPr="00FE39F3">
              <w:rPr>
                <w:rFonts w:ascii="Times New Roman" w:hAnsi="Times New Roman"/>
                <w:sz w:val="11"/>
                <w:szCs w:val="11"/>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w:t>
            </w:r>
            <w:proofErr w:type="spellStart"/>
            <w:r w:rsidRPr="00FE39F3">
              <w:rPr>
                <w:rFonts w:ascii="Times New Roman" w:hAnsi="Times New Roman"/>
                <w:sz w:val="11"/>
                <w:szCs w:val="11"/>
              </w:rPr>
              <w:t>националь</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ное</w:t>
            </w:r>
            <w:proofErr w:type="spellEnd"/>
            <w:r w:rsidRPr="00FE39F3">
              <w:rPr>
                <w:rFonts w:ascii="Times New Roman" w:hAnsi="Times New Roman"/>
                <w:sz w:val="11"/>
                <w:szCs w:val="11"/>
              </w:rPr>
              <w:t>)</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краткое </w:t>
            </w: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02504F">
      <w:rPr>
        <w:rStyle w:val="a3"/>
        <w:noProof/>
        <w:sz w:val="16"/>
        <w:szCs w:val="16"/>
      </w:rPr>
      <w:t>10</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504F"/>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D2B0F"/>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5748</Words>
  <Characters>32766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38438</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Ильичева Марина Владимировна</cp:lastModifiedBy>
  <cp:revision>18</cp:revision>
  <cp:lastPrinted>2015-05-28T02:48:00Z</cp:lastPrinted>
  <dcterms:created xsi:type="dcterms:W3CDTF">2025-02-24T06:22:00Z</dcterms:created>
  <dcterms:modified xsi:type="dcterms:W3CDTF">2026-05-22T06:55:00Z</dcterms:modified>
</cp:coreProperties>
</file>