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93"/>
        <w:jc w:val="left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</w:r>
      <w:r>
        <w:rPr>
          <w:rFonts w:ascii="Times New Roman" w:hAnsi="Times New Roman"/>
          <w:sz w:val="20"/>
          <w:lang w:val="ru-RU"/>
        </w:rPr>
      </w:r>
      <w:r>
        <w:rPr>
          <w:rFonts w:ascii="Times New Roman" w:hAnsi="Times New Roman"/>
          <w:sz w:val="20"/>
          <w:lang w:val="ru-RU"/>
        </w:rPr>
      </w:r>
    </w:p>
    <w:p>
      <w:pPr>
        <w:pStyle w:val="893"/>
        <w:rPr>
          <w:rFonts w:ascii="Times New Roman" w:hAnsi="Times New Roman"/>
          <w:sz w:val="20"/>
          <w:lang w:val="ru-RU"/>
        </w:rPr>
      </w:pPr>
      <w:r>
        <w:rPr>
          <w:rFonts w:ascii="Times New Roman" w:hAnsi="Times New Roman"/>
          <w:sz w:val="20"/>
          <w:lang w:val="ru-RU"/>
        </w:rPr>
      </w:r>
      <w:r>
        <w:rPr>
          <w:rFonts w:ascii="Times New Roman" w:hAnsi="Times New Roman"/>
          <w:sz w:val="20"/>
          <w:lang w:val="ru-RU"/>
        </w:rPr>
      </w:r>
      <w:r>
        <w:rPr>
          <w:rFonts w:ascii="Times New Roman" w:hAnsi="Times New Roman"/>
          <w:sz w:val="20"/>
          <w:lang w:val="ru-RU"/>
        </w:rPr>
      </w:r>
    </w:p>
    <w:p>
      <w:pPr>
        <w:pStyle w:val="89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Государственный контракт</w:t>
      </w:r>
      <w:r>
        <w:rPr>
          <w:rFonts w:ascii="Times New Roman" w:hAnsi="Times New Roman"/>
          <w:sz w:val="24"/>
          <w:szCs w:val="24"/>
          <w:lang w:val="ru-RU"/>
        </w:rPr>
        <w:t xml:space="preserve"> №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10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029"/>
        <w:gridCol w:w="5313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5032" w:type="dxa"/>
            <w:vAlign w:val="top"/>
            <w:textDirection w:val="lrTb"/>
            <w:noWrap w:val="false"/>
          </w:tcPr>
          <w:p>
            <w:pPr>
              <w:pStyle w:val="882"/>
              <w:ind w:left="-108"/>
              <w:jc w:val="both"/>
              <w:spacing w:before="2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г. </w:t>
            </w:r>
            <w:r>
              <w:rPr>
                <w:rFonts w:ascii="Times New Roman" w:hAnsi="Times New Roman"/>
              </w:rPr>
              <w:t xml:space="preserve">Пермь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5316" w:type="dxa"/>
            <w:vAlign w:val="top"/>
            <w:textDirection w:val="lrTb"/>
            <w:noWrap w:val="false"/>
          </w:tcPr>
          <w:p>
            <w:pPr>
              <w:pStyle w:val="882"/>
              <w:ind w:right="-108"/>
              <w:jc w:val="center"/>
              <w:spacing w:before="24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_____2026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</w:tbl>
    <w:p>
      <w:pPr>
        <w:pStyle w:val="882"/>
        <w:jc w:val="both"/>
        <w:spacing w:before="6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2"/>
        <w:ind w:firstLine="708"/>
        <w:jc w:val="both"/>
        <w:spacing w:before="6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  <w:t xml:space="preserve">________</w:t>
      </w:r>
      <w:r>
        <w:rPr>
          <w:rFonts w:ascii="Times New Roman" w:hAnsi="Times New Roman"/>
          <w:b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именуемое в дальнейшем «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Исполнитель», в лице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  <w:shd w:val="clear" w:color="auto" w:fill="ffffff"/>
        </w:rPr>
        <w:t xml:space="preserve">___________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действующего на основании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  <w:shd w:val="clear" w:color="auto" w:fill="ffffff"/>
        </w:rPr>
        <w:t xml:space="preserve">___________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с одной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стороны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и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Западно-Уральское межрегиональное управление Федеральной службы по надзору в сфере природопользования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, именуемый в дальнейшем</w:t>
      </w:r>
      <w:r>
        <w:rPr>
          <w:rFonts w:ascii="Times New Roman" w:hAnsi="Times New Roman"/>
          <w:b w:val="0"/>
          <w:bCs w:val="0"/>
          <w:color w:val="000000" w:themeColor="text1"/>
          <w:sz w:val="24"/>
          <w:szCs w:val="24"/>
          <w:highlight w:val="white"/>
        </w:rPr>
        <w:t xml:space="preserve"> «Заказчик»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, в лице </w:t>
      </w:r>
      <w:r>
        <w:rPr>
          <w:rFonts w:ascii="Times New Roman" w:hAnsi="Times New Roman"/>
          <w:color w:val="000000" w:themeColor="text1"/>
          <w:sz w:val="24"/>
          <w:szCs w:val="24"/>
          <w:highlight w:val="white"/>
        </w:rPr>
        <w:t xml:space="preserve">_________</w:t>
      </w:r>
      <w:r>
        <w:rPr>
          <w:rFonts w:ascii="Times New Roman" w:hAnsi="Times New Roman"/>
          <w:sz w:val="24"/>
          <w:szCs w:val="24"/>
        </w:rPr>
        <w:t xml:space="preserve">, действующего на основании ___________</w:t>
      </w:r>
      <w:r>
        <w:rPr>
          <w:rFonts w:ascii="Times New Roman" w:hAnsi="Times New Roman"/>
          <w:sz w:val="24"/>
          <w:szCs w:val="24"/>
        </w:rPr>
        <w:t xml:space="preserve">, с другой стороны,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именуемые совместно Стороны, </w:t>
      </w:r>
      <w:r>
        <w:rPr>
          <w:rFonts w:ascii="Times New Roman" w:hAnsi="Times New Roman"/>
          <w:sz w:val="24"/>
          <w:szCs w:val="24"/>
        </w:rPr>
        <w:t xml:space="preserve">на основ</w:t>
      </w:r>
      <w:r>
        <w:rPr>
          <w:rFonts w:ascii="Times New Roman" w:hAnsi="Times New Roman"/>
          <w:sz w:val="24"/>
          <w:szCs w:val="24"/>
        </w:rPr>
        <w:t xml:space="preserve">ании п.4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>
        <w:rPr>
          <w:rFonts w:ascii="Times New Roman" w:hAnsi="Times New Roman"/>
          <w:sz w:val="24"/>
          <w:szCs w:val="24"/>
        </w:rPr>
        <w:t xml:space="preserve">заключили настоящий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 (далее 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 нижесл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дующем</w:t>
      </w:r>
      <w:r>
        <w:rPr>
          <w:rFonts w:ascii="Times New Roman" w:hAnsi="Times New Roman"/>
          <w:sz w:val="24"/>
          <w:szCs w:val="24"/>
        </w:rPr>
        <w:t xml:space="preserve"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708"/>
        <w:jc w:val="both"/>
        <w:spacing w:before="60"/>
        <w:rPr>
          <w:rFonts w:ascii="Times New Roman" w:hAnsi="Times New Roman"/>
        </w:rPr>
      </w:pP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2"/>
        <w:jc w:val="center"/>
        <w:spacing w:before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 </w:t>
      </w:r>
      <w:r>
        <w:rPr>
          <w:rFonts w:ascii="Times New Roman" w:hAnsi="Times New Roman"/>
          <w:b/>
          <w:sz w:val="24"/>
          <w:szCs w:val="24"/>
        </w:rPr>
        <w:t xml:space="preserve">Предмет </w:t>
      </w:r>
      <w:r>
        <w:rPr>
          <w:rFonts w:ascii="Times New Roman" w:hAnsi="Times New Roman"/>
          <w:b/>
          <w:sz w:val="24"/>
          <w:szCs w:val="24"/>
        </w:rPr>
        <w:t xml:space="preserve">Контракт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2"/>
        <w:jc w:val="both"/>
        <w:shd w:val="clear" w:color="auto" w:fill="ffffff"/>
        <w:widowControl w:val="off"/>
        <w:tabs>
          <w:tab w:val="left" w:pos="360" w:leader="none"/>
        </w:tabs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1.1</w:t>
      </w:r>
      <w:r>
        <w:rPr>
          <w:rFonts w:ascii="Times New Roman" w:hAnsi="Times New Roman"/>
          <w:bCs/>
          <w:sz w:val="24"/>
          <w:szCs w:val="24"/>
        </w:rPr>
        <w:t xml:space="preserve">.</w:t>
      </w:r>
      <w:r>
        <w:rPr>
          <w:rFonts w:ascii="Times New Roman" w:hAnsi="Times New Roman"/>
          <w:bCs/>
          <w:sz w:val="24"/>
          <w:szCs w:val="24"/>
        </w:rPr>
        <w:t xml:space="preserve"> Заказчик поручает и обязуется оплатить, а Исполнитель обязуется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передать сертификат активации сервиса прямой технической поддержки (далее – Сертификат активации или товар) </w:t>
      </w:r>
      <w:r>
        <w:rPr>
          <w:rFonts w:ascii="Times New Roman" w:hAnsi="Times New Roman"/>
          <w:bCs/>
          <w:sz w:val="24"/>
          <w:szCs w:val="24"/>
        </w:rPr>
        <w:t xml:space="preserve">согласно следующей Спецификации:</w:t>
      </w:r>
      <w:r>
        <w:rPr>
          <w:rFonts w:ascii="Times New Roman" w:hAnsi="Times New Roman"/>
          <w:bCs/>
          <w:sz w:val="24"/>
          <w:szCs w:val="24"/>
        </w:rPr>
      </w:r>
      <w:r>
        <w:rPr>
          <w:rFonts w:ascii="Times New Roman" w:hAnsi="Times New Roman"/>
          <w:bCs/>
          <w:sz w:val="24"/>
          <w:szCs w:val="24"/>
        </w:rPr>
      </w:r>
    </w:p>
    <w:p>
      <w:pPr>
        <w:pStyle w:val="882"/>
        <w:jc w:val="both"/>
        <w:shd w:val="clear" w:color="auto" w:fill="ffffff"/>
        <w:widowControl w:val="off"/>
        <w:tabs>
          <w:tab w:val="left" w:pos="360" w:leader="none"/>
        </w:tabs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tbl>
      <w:tblPr>
        <w:tblW w:w="10221" w:type="dxa"/>
        <w:tblInd w:w="93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59"/>
        <w:gridCol w:w="359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1"/>
        <w:gridCol w:w="321"/>
        <w:gridCol w:w="321"/>
        <w:gridCol w:w="321"/>
        <w:gridCol w:w="321"/>
        <w:gridCol w:w="321"/>
        <w:gridCol w:w="321"/>
        <w:gridCol w:w="321"/>
        <w:gridCol w:w="278"/>
        <w:gridCol w:w="278"/>
        <w:gridCol w:w="278"/>
        <w:gridCol w:w="360"/>
        <w:gridCol w:w="360"/>
        <w:gridCol w:w="368"/>
        <w:gridCol w:w="368"/>
        <w:gridCol w:w="368"/>
        <w:gridCol w:w="259"/>
        <w:gridCol w:w="259"/>
        <w:gridCol w:w="259"/>
        <w:gridCol w:w="620"/>
      </w:tblGrid>
      <w:tr>
        <w:tblPrEx/>
        <w:trPr>
          <w:trHeight w:val="465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448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Товары (работы, услуги)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Кол-во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Ед.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Цена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Сумма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</w:tc>
      </w:tr>
      <w:tr>
        <w:tblPrEx/>
        <w:trPr>
          <w:trHeight w:val="115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1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17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5448" w:type="dxa"/>
            <w:vAlign w:val="center"/>
            <w:textDirection w:val="lrTb"/>
            <w:noWrap w:val="false"/>
          </w:tcPr>
          <w:p>
            <w:pPr>
              <w:pStyle w:val="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Сертификат активации сервиса прямой технической поддержки ПО ViPNet Client for Windows 4.x (КС2) на срок 1 год, уровень – Расширенный (сеть 1274)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834" w:type="dxa"/>
            <w:vAlign w:val="center"/>
            <w:textDirection w:val="lrTb"/>
            <w:noWrap/>
          </w:tcPr>
          <w:p>
            <w:pPr>
              <w:pStyle w:val="8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шт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104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4"/>
            <w:tcBorders>
              <w:top w:val="single" w:color="000000" w:sz="4" w:space="0"/>
              <w:left w:val="none" w:color="FFFFFF" w:sz="255" w:space="0"/>
              <w:bottom w:val="single" w:color="000000" w:sz="4" w:space="0"/>
              <w:right w:val="single" w:color="000000" w:sz="4" w:space="0"/>
            </w:tcBorders>
            <w:tcW w:w="1397" w:type="dxa"/>
            <w:vAlign w:val="center"/>
            <w:textDirection w:val="lrTb"/>
            <w:noWrap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7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7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7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6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59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21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7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7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278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360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3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104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Итого:</w:t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4"/>
            <w:tcBorders>
              <w:top w:val="none" w:color="FFFFFF" w:sz="255" w:space="0"/>
              <w:left w:val="none" w:color="FFFFFF" w:sz="255" w:space="0"/>
              <w:bottom w:val="none" w:color="FFFFFF" w:sz="255" w:space="0"/>
              <w:right w:val="none" w:color="FFFFFF" w:sz="255" w:space="0"/>
            </w:tcBorders>
            <w:tcW w:w="1397" w:type="dxa"/>
            <w:vAlign w:val="center"/>
            <w:textDirection w:val="lrTb"/>
            <w:noWrap/>
          </w:tcPr>
          <w:p>
            <w:pPr>
              <w:pStyle w:val="882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</w:tbl>
    <w:p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center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</w:rPr>
        <w:t xml:space="preserve">2. Цена Контракта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909"/>
        <w:ind w:left="0"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>
        <w:rPr>
          <w:rFonts w:ascii="Times New Roman" w:hAnsi="Times New Roman"/>
          <w:sz w:val="24"/>
          <w:szCs w:val="24"/>
        </w:rPr>
        <w:t xml:space="preserve">Цена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 составляет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_____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(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__________)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рубля___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 копеек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в том числе НДС (__) / НДС не облагается.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contextualSpacing/>
        <w:ind w:left="0" w:righ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Цена Контракта является твердой, не может изменяться в ходе заключения и исполнения Контракта, за исключением случаев, установленных Контрактом и (или) предусмотренных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 Цена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 ука</w:t>
      </w:r>
      <w:r>
        <w:rPr>
          <w:rFonts w:ascii="Times New Roman" w:hAnsi="Times New Roman"/>
          <w:sz w:val="24"/>
          <w:szCs w:val="24"/>
        </w:rPr>
        <w:t xml:space="preserve">зана с учетом всех расходов Исполнителя, связанных с оказанием услуг, в том числе уплатой налогов, пошлин, сборов, расходов по оплате стоимости сторонних организаций и третьих лиц и других обязательных платежей, которые необходимо выплатить при исполнении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а.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Авансовые платежи по Контракту не предусмотрены.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2.</w:t>
      </w:r>
      <w:r>
        <w:rPr>
          <w:rFonts w:ascii="Times New Roman" w:hAnsi="Times New Roman"/>
          <w:sz w:val="24"/>
          <w:szCs w:val="24"/>
        </w:rPr>
        <w:t xml:space="preserve">5</w:t>
      </w:r>
      <w:r>
        <w:rPr>
          <w:rFonts w:ascii="Times New Roman" w:hAnsi="Times New Roman"/>
          <w:sz w:val="24"/>
          <w:szCs w:val="24"/>
        </w:rPr>
        <w:t xml:space="preserve">. Оплата по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у производится Заказчиком путем безналичного перечисления денежных средств на расчетный счет Исп</w:t>
      </w:r>
      <w:r>
        <w:rPr>
          <w:rFonts w:ascii="Times New Roman" w:hAnsi="Times New Roman"/>
          <w:sz w:val="24"/>
          <w:szCs w:val="24"/>
        </w:rPr>
        <w:t xml:space="preserve">олните</w:t>
      </w:r>
      <w:r>
        <w:rPr>
          <w:rFonts w:ascii="Times New Roman" w:hAnsi="Times New Roman"/>
          <w:sz w:val="24"/>
          <w:szCs w:val="24"/>
          <w:highlight w:val="white"/>
        </w:rPr>
        <w:t xml:space="preserve">ля, указан</w:t>
      </w:r>
      <w:r>
        <w:rPr>
          <w:rFonts w:ascii="Times New Roman" w:hAnsi="Times New Roman"/>
          <w:sz w:val="24"/>
          <w:szCs w:val="24"/>
          <w:highlight w:val="white"/>
        </w:rPr>
        <w:t xml:space="preserve">ный в разделе 10</w:t>
      </w:r>
      <w:r>
        <w:rPr>
          <w:rFonts w:ascii="Times New Roman" w:hAnsi="Times New Roman"/>
          <w:sz w:val="24"/>
          <w:szCs w:val="24"/>
          <w:highlight w:val="white"/>
        </w:rPr>
        <w:t xml:space="preserve"> настоя</w:t>
      </w:r>
      <w:r>
        <w:rPr>
          <w:rFonts w:ascii="Times New Roman" w:hAnsi="Times New Roman"/>
          <w:sz w:val="24"/>
          <w:szCs w:val="24"/>
          <w:highlight w:val="white"/>
        </w:rPr>
        <w:t xml:space="preserve">щего </w:t>
      </w:r>
      <w:r>
        <w:rPr>
          <w:rFonts w:ascii="Times New Roman" w:hAnsi="Times New Roman"/>
          <w:sz w:val="24"/>
          <w:szCs w:val="24"/>
          <w:highlight w:val="white"/>
        </w:rPr>
        <w:t xml:space="preserve">Контр</w:t>
      </w:r>
      <w:r>
        <w:rPr>
          <w:rFonts w:ascii="Times New Roman" w:hAnsi="Times New Roman"/>
          <w:sz w:val="24"/>
          <w:szCs w:val="24"/>
        </w:rPr>
        <w:t xml:space="preserve">акт</w:t>
      </w:r>
      <w:r>
        <w:rPr>
          <w:rFonts w:ascii="Times New Roman" w:hAnsi="Times New Roman"/>
          <w:sz w:val="24"/>
          <w:szCs w:val="24"/>
        </w:rPr>
        <w:t xml:space="preserve">а, в течение </w:t>
      </w:r>
      <w:r>
        <w:rPr>
          <w:rFonts w:ascii="Times New Roman" w:hAnsi="Times New Roman"/>
          <w:sz w:val="24"/>
          <w:szCs w:val="24"/>
        </w:rPr>
        <w:t xml:space="preserve">7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семи</w:t>
      </w:r>
      <w:r>
        <w:rPr>
          <w:rFonts w:ascii="Times New Roman" w:hAnsi="Times New Roman"/>
          <w:sz w:val="24"/>
          <w:szCs w:val="24"/>
        </w:rPr>
        <w:t xml:space="preserve">) рабочих дней с момента подписания документа о приемке Сторонами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pStyle w:val="909"/>
        <w:ind w:left="0" w:firstLine="0"/>
        <w:jc w:val="both"/>
        <w:spacing w:after="0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4"/>
          <w:szCs w:val="24"/>
          <w:highlight w:val="white"/>
        </w:rPr>
        <w:t xml:space="preserve">Источник финансирования: </w:t>
      </w:r>
      <w:r>
        <w:rPr>
          <w:rFonts w:ascii="Times New Roman" w:hAnsi="Times New Roman"/>
          <w:sz w:val="24"/>
          <w:szCs w:val="24"/>
          <w:highlight w:val="white"/>
        </w:rPr>
        <w:t xml:space="preserve">федеральный бюджет, КБК </w:t>
      </w:r>
      <w:r>
        <w:rPr>
          <w:rFonts w:ascii="Times New Roman" w:hAnsi="Times New Roman"/>
          <w:sz w:val="24"/>
          <w:szCs w:val="24"/>
          <w:highlight w:val="white"/>
          <w:shd w:val="clear" w:color="auto" w:fill="ffffff"/>
        </w:rPr>
        <w:t xml:space="preserve">04806051240190020242</w:t>
      </w:r>
      <w:r>
        <w:rPr>
          <w:rFonts w:ascii="Times New Roman" w:hAnsi="Times New Roman"/>
          <w:sz w:val="24"/>
          <w:szCs w:val="24"/>
          <w:highlight w:val="white"/>
        </w:rPr>
        <w:t xml:space="preserve">.</w:t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</w:t>
      </w:r>
      <w:r>
        <w:rPr>
          <w:rFonts w:ascii="Times New Roman" w:hAnsi="Times New Roman"/>
          <w:sz w:val="24"/>
          <w:szCs w:val="24"/>
        </w:rPr>
        <w:t xml:space="preserve">. При наличии возможности, формирование и подписание документов о приемке осуществляется в форме электронного документооборота с применением усиленной квалифицированной электронной подписи.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Документы о приемке принимаются к учету Сторонами в качестве первичных учетных документов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contextualSpacing/>
        <w:ind w:left="567"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3. Порядок приемки и срок поставки 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3.1. Поставка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должна быть осуществлена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течение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0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рабочих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 момента подписания Контракта по адресу: г.Пермь, ул.Крылова, 34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3.2. Датой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исполнения обязательств Исполнителя по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поставк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являе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тся дата подписания документа о приемке Сторонами.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3.3. Исполнитель не позднее, чем за 24 часа до момента поставки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должен уведомить Заказчика о планируемой отгрузке. Сообщение д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олжно содержать ссылку на реквизиты Контракта, а также дату и планируемое время отгрузки. Сообщение может быть направлено Заказчику путем использования электронной связи. Адресом электронной почты для получения сообщений является: </w:t>
      </w:r>
      <w:r>
        <w:rPr>
          <w:rFonts w:ascii="Times New Roman" w:hAnsi="Times New Roman" w:eastAsia="Times New Roman" w:cs="Times New Roman"/>
          <w:sz w:val="24"/>
          <w:szCs w:val="24"/>
        </w:rPr>
      </w:r>
      <w:hyperlink r:id="rId10" w:tooltip="mailto:pirogova.es@rpn.gov.ru," w:history="1">
        <w:r>
          <w:rPr>
            <w:rStyle w:val="899"/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t xml:space="preserve">pirogova.es@rpn.gov.ru</w:t>
        </w:r>
        <w:r>
          <w:rPr>
            <w:rStyle w:val="899"/>
            <w:rFonts w:ascii="Times New Roman" w:hAnsi="Times New Roman" w:eastAsia="Times New Roman" w:cs="Times New Roman"/>
            <w:color w:val="000000" w:themeColor="text1"/>
            <w:sz w:val="24"/>
            <w:szCs w:val="24"/>
          </w:rPr>
          <w:t xml:space="preserve">,</w:t>
        </w:r>
      </w:hyperlink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kidyasheva.on@rpn.gov.ru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Номером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телефона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8(342) 206-12-39, доб. 59172; 59173.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3.4. Приемка осуществляется уполномоченным представителем Заказчика (материально ответственным лицом) на предмет его соответствия условиям Контракта.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После внешнего осмотра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осуществляется проверка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количеству путем пересчета единиц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 сопоставления полученного количества с количеством, указанным в Спецификации (пункт 1.1. Кон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тракта).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Количество поступивших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Сертификатов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приемке определяется в тех же единицах измерения, которые указаны в Спецификации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пункт 1.1. Кон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3.6.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обнаружения недостатков в качестве поставленного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Заказчик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непосредственно 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ходе проведения приемки извещает об этом представителя Поставщика.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3.7.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Обо всех нарушениях условий Контракта о количестве, об ассортименте, о качестве, комплектности, об упаковке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Заказчик извещает Исполнителя не позднее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 (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трех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рабочих дней с даты обнаружения указанных нарушений. Извещение о невыполнении или ненадлежащем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олнении Исполнителем обязательств по Контракту составляется Заказчиком в письменной форме с указанием сроков по устранению допущенных Исполнителем нарушений, вручается Исполнителю под расписку. В случае отсутствия уполномоченного представителя Исполнителя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извещение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 невыполнении или ненадлежащем выполнении Исполнителем обязательств по Контракту направляется Исполнителю по почте, электронной почте либо нарочным.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3.8.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Риск случайной гибели или случайного повреждения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приемки (до подписания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) Заказчиком несет Исполнитель. 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3.9. Исполнитель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обеспечивает хранение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до момента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передачи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– приемки.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909"/>
        <w:ind w:left="1080"/>
        <w:jc w:val="center"/>
        <w:spacing w:after="0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24"/>
          <w:szCs w:val="24"/>
        </w:rPr>
        <w:t xml:space="preserve">4</w:t>
      </w:r>
      <w:r>
        <w:rPr>
          <w:rFonts w:ascii="Times New Roman" w:hAnsi="Times New Roman"/>
          <w:b/>
          <w:sz w:val="24"/>
          <w:szCs w:val="24"/>
        </w:rPr>
        <w:t xml:space="preserve">. Ответственность сторон</w:t>
      </w:r>
      <w:r>
        <w:rPr>
          <w:rFonts w:ascii="Times New Roman" w:hAnsi="Times New Roman"/>
          <w:b/>
          <w:sz w:val="18"/>
          <w:szCs w:val="18"/>
        </w:rPr>
      </w:r>
      <w:r>
        <w:rPr>
          <w:rFonts w:ascii="Times New Roman" w:hAnsi="Times New Roman"/>
          <w:b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настоящим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Заказчик и Исполнитель несут ответственность в соответствии с действующим законодательством Российской Федерации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 В случае просрочки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обязательств, предусмотренного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.3. В случае просрочки исполнения Исполнителем обязательств (в том числе гарантийного обязательства), предусмотренных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Заказчик направляет Исполнителю требование об уплате неустоек (штрафов, пеней). Пеня начисляется за  каждый день просрочки исполнения Исполнителем обязательства, предусмотренного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 срока исполнения обязательства, и устанавливается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 в размере одной трехсд, уменьшенной на сумму, пропорциональную объему обязательств, предусмотренных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.4. Сторона освобождается от уплаты неустойки (штрафа, пени), если докажет, что, неисполнение или ненадлежащее исполнение обязательства, предусмотренного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произошло вследствие непреодолимой силы или по вине другой Стороны.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ind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contextualSpacing/>
        <w:ind w:left="567" w:firstLine="0"/>
        <w:jc w:val="center"/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5. Права и обязанности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торон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 Заказчик имеет право: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5.1.1. Привлекать экспертов для проверки соответствия качества поставляем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требованиям, установленным Контрактом.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5.1.2. Требовать возмещения неустойки (штрафа, пени) и (или) убытков, причиненных по вине Исполнителя.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 Заказчик обязан: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5.2.1. Обеспечить приемку поставляемого по Контракту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соответствии с условиями Контракта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5.2.2. В течение 5 (пяти) рабочих дней с момента получения документа о приемке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подписать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или направить мотивированный отказ от подписания документа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порядке, предусмотренном п. 3.7. 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5.2.3.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Оплатить поставленн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товар и принят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порядке, предусмотренном Контрактом.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 Исполнитель обязан: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5.3.1. Поставить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сроки, предусмотренные Контрактом.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5.3.2. Доставить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за свой счет, а также представить все принадлежности и документы, относящиеся к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(документы, обязательные для данного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подтверждающие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соответствие данн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всем необходимым требованиям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оформленные в соответствии с законодательством Российской Федерации).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5.3.3. Передать Заказчику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надлежащего качества, в количестве, ассортименте и комплектации согласно условиям Контракта.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 требованию Заказчика своими средствами и за свой счет в срок, согласованный с Заказчиком, произвести замену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ненадлежащего качества.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5.3.4. Бесплатно осуществлять гарантийные обязательства в отношении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Сертификата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активации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5.3.5. Предостав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5.3.6. Выполнять иные обязанности, предусмотренные Контрактом.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5.3.7. 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редостав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ить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документы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подтверждающи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выполнение обязательств по контракту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 в момент поставки товара.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5.4. Исполнитель вправе: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5.4.1.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Требовать приемки и оплаты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Товара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в объеме, порядке, сроки и на условиях, предусмотренных Контрактом.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0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910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6. Обстоятельства непреодолимой силы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6.2. В случае если надлежащее исполнение Стороной предусмотренных Контрактом обязательств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оказалось невозможным вследствие обстоятельств непреодолимой силы, такая Сторона не позднее 5 (пяти)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7.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Рассмотрение и разрешение споров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7.2. Претензия оформляется в письменной форме. В претензии перечисляются доп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ущенные при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исполнении Контракта нарушения со ссылкой на соответствующие пункты Контракта или его приложений (при наличии),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7.3. Срок рас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смотрения претензии не может превышать 10 (десяти) календарных дней. Переписка Сторон может осуществляться в виде писем или телеграмм, а в случаях направления  электронного сообщения - с последующим предоставлением оригинала документа.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7.4. При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не урегулировании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Сторонами спора в досудебном порядке, спор разрешается в судебном порядке в Арбитражном суде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 подсудности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10"/>
        <w:jc w:val="center"/>
        <w:rPr>
          <w:rFonts w:ascii="Times New Roman" w:hAnsi="Times New Roman" w:cs="Times New Roman"/>
          <w:b/>
          <w:sz w:val="22"/>
          <w:szCs w:val="22"/>
        </w:rPr>
        <w:outlineLvl w:val="1"/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8. Срок действия и порядок расторжения Контракта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8.1. Контракт вступает в силу с момента его подписания обеими Сторонами и действует по 25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.12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.2026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года. Окончание срока действия Контракта не влечет прекращения неисполненных об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язательств Сторон по Контракту.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10"/>
        <w:ind w:firstLine="0"/>
        <w:jc w:val="both"/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8.2.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статьей 95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Закона № 44-ФЗ.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910"/>
        <w:ind w:firstLine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  <w:t xml:space="preserve">9. Заключительные положения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highlight w:val="none"/>
        </w:rPr>
      </w:r>
    </w:p>
    <w:p>
      <w:pPr>
        <w:pStyle w:val="909"/>
        <w:ind w:left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9.1. Любые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у действительны лишь при условии,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что они совершены в письменной форме и подписаны Сторонами.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909"/>
        <w:ind w:left="0" w:firstLine="0"/>
        <w:jc w:val="both"/>
        <w:spacing w:after="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9.2. Во всем остальном, что не предусмотрено настоящим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ом, Стороны руководствуются действующим законодательством.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2"/>
        <w:ind w:firstLine="0"/>
        <w:jc w:val="both"/>
        <w:spacing w:after="0"/>
        <w:rPr>
          <w:rFonts w:ascii="Times New Roman" w:hAnsi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</w:rPr>
        <w:t xml:space="preserve">9.3. Настоящий </w:t>
      </w:r>
      <w:r>
        <w:rPr>
          <w:rFonts w:ascii="Times New Roman" w:hAnsi="Times New Roman"/>
          <w:sz w:val="24"/>
          <w:szCs w:val="24"/>
        </w:rPr>
        <w:t xml:space="preserve">Контракт</w:t>
      </w:r>
      <w:r>
        <w:rPr>
          <w:rFonts w:ascii="Times New Roman" w:hAnsi="Times New Roman"/>
          <w:sz w:val="24"/>
          <w:szCs w:val="24"/>
        </w:rPr>
        <w:t xml:space="preserve"> заключен в электронном виде с применением усиленной квалифицированной электронной подписи Сторон.</w:t>
      </w:r>
      <w:r>
        <w:rPr>
          <w:rFonts w:ascii="Times New Roman" w:hAnsi="Times New Roman"/>
          <w:sz w:val="24"/>
          <w:szCs w:val="24"/>
          <w:highlight w:val="none"/>
        </w:rPr>
      </w:r>
      <w:r>
        <w:rPr>
          <w:rFonts w:ascii="Times New Roman" w:hAnsi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</w:pPr>
      <w:r>
        <w:rPr>
          <w:rFonts w:ascii="Times New Roman" w:hAnsi="Times New Roman"/>
          <w:sz w:val="24"/>
          <w:szCs w:val="24"/>
          <w:highlight w:val="none"/>
        </w:rPr>
        <w:t xml:space="preserve">9.4.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В случае изменения наименования, адреса места нахождения или банковских реквизитов Стороны, она письменно извещает об этом другую Сторону в течение 3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(трех)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рабочих дней с даты такого изменения.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contextualSpacing/>
        <w:ind w:left="0" w:firstLine="0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  <w:t xml:space="preserve">9.5.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При исполнении Контракта не допускается перемена Поставщика, за исключением случаев,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8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10. Адреса и реквизиты Сторон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8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10149" w:type="dxa"/>
        <w:tblInd w:w="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19"/>
        <w:gridCol w:w="5330"/>
      </w:tblGrid>
      <w:tr>
        <w:tblPrEx/>
        <w:trPr>
          <w:trHeight w:val="696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9" w:type="dxa"/>
            <w:vAlign w:val="top"/>
            <w:textDirection w:val="lrTb"/>
            <w:noWrap w:val="false"/>
          </w:tcPr>
          <w:p>
            <w:pPr>
              <w:pStyle w:val="882"/>
              <w:jc w:val="both"/>
              <w:widowControl w:val="off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Исполнитель: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</w:p>
          <w:p>
            <w:pPr>
              <w:pStyle w:val="882"/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jc w:val="both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ind w:left="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0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/>
              <w:widowControl w:val="o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__________________/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330" w:type="dxa"/>
            <w:vAlign w:val="top"/>
            <w:textDirection w:val="lrTb"/>
            <w:noWrap w:val="false"/>
          </w:tcPr>
          <w:p>
            <w:pPr>
              <w:pStyle w:val="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</w:rPr>
              <w:t xml:space="preserve">Западно-Уральское межрегиональное управление Федеральной службы по надзору в сфере природопользования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Юридический адр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ес: 614081, г. Пермь, ул. Крылова, 34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5904157090, КПП 590301001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ОГРН 1075904001271,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УФК по Новосибирской области (Западно-Уральское межрегиональное управление Федеральной службы по надзору в сфере природопользования, л/с 03561855200)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Номер казначейско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го счета: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0321164300000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0015111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ЕКС: 40102810445370000043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БИК 015004950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Наименование банка: ОКЦ № 1 СибГУ БАНКА РОССИИ//УФК по Новосибирской области, 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г.  Новосибирск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тел. (342) 206-12-39 доб. 59172; 59173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pStyle w:val="91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  <w:lang w:val="en-US"/>
              </w:rPr>
              <w:t xml:space="preserve">buh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  <w:lang w:val="en-US"/>
              </w:rPr>
              <w:t xml:space="preserve">prm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</w:rPr>
              <w:t xml:space="preserve">59@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  <w:lang w:val="en-US"/>
              </w:rPr>
              <w:t xml:space="preserve">rpn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  <w:lang w:val="en-US"/>
              </w:rPr>
              <w:t xml:space="preserve">gov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shd w:val="clear" w:color="auto" w:fill="f8f8f8"/>
                <w:lang w:val="en-US"/>
              </w:rPr>
              <w:t xml:space="preserve">ru</w: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__________________ /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882"/>
              <w:ind w:left="-108" w:right="-108"/>
              <w:widowControl w:val="off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</w:tr>
    </w:tbl>
    <w:p>
      <w:r/>
      <w:r/>
    </w:p>
    <w:sectPr>
      <w:headerReference w:type="even" r:id="rId9"/>
      <w:footnotePr/>
      <w:endnotePr/>
      <w:type w:val="nextPage"/>
      <w:pgSz w:w="11906" w:h="16838" w:orient="portrait"/>
      <w:pgMar w:top="567" w:right="680" w:bottom="284" w:left="992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Tahoma">
    <w:panose1 w:val="020B0606040504020204"/>
  </w:font>
  <w:font w:name="Segoe UI">
    <w:panose1 w:val="020B0502040504020204"/>
  </w:font>
  <w:font w:name="Times New Roman CYR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8"/>
      <w:rPr>
        <w:rStyle w:val="890"/>
      </w:rPr>
      <w:framePr w:wrap="around" w:vAnchor="text" w:hAnchor="margin" w:xAlign="center" w:y="1"/>
    </w:pPr>
    <w:r>
      <w:rPr>
        <w:rStyle w:val="890"/>
      </w:rPr>
      <w:fldChar w:fldCharType="begin"/>
    </w:r>
    <w:r>
      <w:rPr>
        <w:rStyle w:val="890"/>
      </w:rPr>
      <w:instrText xml:space="preserve">PAGE  </w:instrText>
    </w:r>
    <w:r>
      <w:rPr>
        <w:rStyle w:val="890"/>
      </w:rPr>
      <w:fldChar w:fldCharType="separate"/>
    </w:r>
    <w:r>
      <w:rPr>
        <w:rStyle w:val="890"/>
      </w:rPr>
      <w:t xml:space="preserve">1</w:t>
    </w:r>
    <w:r>
      <w:rPr>
        <w:rStyle w:val="890"/>
      </w:rPr>
      <w:fldChar w:fldCharType="end"/>
    </w:r>
    <w:r>
      <w:rPr>
        <w:rStyle w:val="890"/>
      </w:rPr>
    </w:r>
    <w:r>
      <w:rPr>
        <w:rStyle w:val="890"/>
      </w:rPr>
    </w:r>
  </w:p>
  <w:p>
    <w:pPr>
      <w:pStyle w:val="888"/>
    </w:pPr>
    <w:r/>
    <w:r/>
  </w:p>
  <w:p>
    <w:pPr>
      <w:pStyle w:val="88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71" w:hanging="360"/>
      </w:pPr>
      <w:rPr>
        <w:rFonts w:hint="default"/>
        <w:b w:val="0"/>
      </w:rPr>
    </w:lvl>
    <w:lvl w:ilvl="2">
      <w:start w:val="1"/>
      <w:numFmt w:val="decimal"/>
      <w:isLgl/>
      <w:suff w:val="tab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4">
    <w:name w:val="Heading 1"/>
    <w:basedOn w:val="882"/>
    <w:next w:val="882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882"/>
    <w:next w:val="882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882"/>
    <w:next w:val="882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882"/>
    <w:next w:val="882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882"/>
    <w:next w:val="882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882"/>
    <w:next w:val="882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882"/>
    <w:next w:val="882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882"/>
    <w:next w:val="882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882"/>
    <w:next w:val="882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882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before="0" w:after="0" w:line="240" w:lineRule="auto"/>
    </w:pPr>
  </w:style>
  <w:style w:type="paragraph" w:styleId="724">
    <w:name w:val="Title"/>
    <w:basedOn w:val="882"/>
    <w:next w:val="882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link w:val="724"/>
    <w:uiPriority w:val="10"/>
    <w:rPr>
      <w:sz w:val="48"/>
      <w:szCs w:val="48"/>
    </w:rPr>
  </w:style>
  <w:style w:type="paragraph" w:styleId="726">
    <w:name w:val="Subtitle"/>
    <w:basedOn w:val="882"/>
    <w:next w:val="882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link w:val="726"/>
    <w:uiPriority w:val="11"/>
    <w:rPr>
      <w:sz w:val="24"/>
      <w:szCs w:val="24"/>
    </w:rPr>
  </w:style>
  <w:style w:type="paragraph" w:styleId="728">
    <w:name w:val="Quote"/>
    <w:basedOn w:val="882"/>
    <w:next w:val="882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882"/>
    <w:next w:val="882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paragraph" w:styleId="732">
    <w:name w:val="Header"/>
    <w:basedOn w:val="882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Header Char"/>
    <w:link w:val="732"/>
    <w:uiPriority w:val="99"/>
  </w:style>
  <w:style w:type="paragraph" w:styleId="734">
    <w:name w:val="Footer"/>
    <w:basedOn w:val="882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Footer Char"/>
    <w:link w:val="734"/>
    <w:uiPriority w:val="99"/>
  </w:style>
  <w:style w:type="paragraph" w:styleId="736">
    <w:name w:val="Caption"/>
    <w:basedOn w:val="882"/>
    <w:next w:val="882"/>
    <w:link w:val="7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link w:val="736"/>
    <w:uiPriority w:val="35"/>
    <w:rPr>
      <w:b/>
      <w:bCs/>
      <w:color w:val="4f81bd" w:themeColor="accent1"/>
      <w:sz w:val="18"/>
      <w:szCs w:val="18"/>
    </w:rPr>
  </w:style>
  <w:style w:type="table" w:styleId="73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4">
    <w:name w:val="Hyperlink"/>
    <w:uiPriority w:val="99"/>
    <w:unhideWhenUsed/>
    <w:rPr>
      <w:color w:val="0000ff" w:themeColor="hyperlink"/>
      <w:u w:val="single"/>
    </w:rPr>
  </w:style>
  <w:style w:type="paragraph" w:styleId="865">
    <w:name w:val="footnote text"/>
    <w:basedOn w:val="882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uiPriority w:val="99"/>
    <w:unhideWhenUsed/>
    <w:rPr>
      <w:vertAlign w:val="superscript"/>
    </w:rPr>
  </w:style>
  <w:style w:type="paragraph" w:styleId="868">
    <w:name w:val="endnote text"/>
    <w:basedOn w:val="882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uiPriority w:val="99"/>
    <w:semiHidden/>
    <w:unhideWhenUsed/>
    <w:rPr>
      <w:vertAlign w:val="superscript"/>
    </w:rPr>
  </w:style>
  <w:style w:type="paragraph" w:styleId="871">
    <w:name w:val="toc 1"/>
    <w:basedOn w:val="882"/>
    <w:next w:val="882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882"/>
    <w:next w:val="882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882"/>
    <w:next w:val="882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882"/>
    <w:next w:val="882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882"/>
    <w:next w:val="882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882"/>
    <w:next w:val="882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882"/>
    <w:next w:val="882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882"/>
    <w:next w:val="882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882"/>
    <w:next w:val="882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882"/>
    <w:next w:val="882"/>
    <w:uiPriority w:val="99"/>
    <w:unhideWhenUsed/>
    <w:pPr>
      <w:spacing w:after="0" w:afterAutospacing="0"/>
    </w:pPr>
  </w:style>
  <w:style w:type="paragraph" w:styleId="882" w:default="1">
    <w:name w:val="Normal"/>
    <w:next w:val="882"/>
    <w:link w:val="882"/>
    <w:qFormat/>
    <w:rPr>
      <w:rFonts w:ascii="Times New Roman CYR" w:hAnsi="Times New Roman CYR" w:eastAsia="Times New Roman"/>
      <w:lang w:val="ru-RU" w:eastAsia="ru-RU" w:bidi="ar-SA"/>
    </w:rPr>
  </w:style>
  <w:style w:type="character" w:styleId="883">
    <w:name w:val="Основной шрифт абзаца"/>
    <w:next w:val="883"/>
    <w:link w:val="882"/>
    <w:uiPriority w:val="1"/>
    <w:unhideWhenUsed/>
  </w:style>
  <w:style w:type="table" w:styleId="884">
    <w:name w:val="Обычная таблица"/>
    <w:next w:val="884"/>
    <w:link w:val="882"/>
    <w:uiPriority w:val="99"/>
    <w:semiHidden/>
    <w:unhideWhenUsed/>
    <w:qFormat/>
    <w:tblPr/>
  </w:style>
  <w:style w:type="numbering" w:styleId="885">
    <w:name w:val="Нет списка"/>
    <w:next w:val="885"/>
    <w:link w:val="882"/>
    <w:uiPriority w:val="99"/>
    <w:semiHidden/>
    <w:unhideWhenUsed/>
  </w:style>
  <w:style w:type="paragraph" w:styleId="886">
    <w:name w:val="Основной текст с отступом"/>
    <w:basedOn w:val="882"/>
    <w:next w:val="886"/>
    <w:link w:val="887"/>
    <w:semiHidden/>
    <w:pPr>
      <w:ind w:firstLine="720"/>
      <w:jc w:val="both"/>
    </w:pPr>
    <w:rPr>
      <w:sz w:val="24"/>
      <w:lang w:val="en-US"/>
    </w:rPr>
  </w:style>
  <w:style w:type="character" w:styleId="887">
    <w:name w:val="Основной текст с отступом Знак"/>
    <w:next w:val="887"/>
    <w:link w:val="886"/>
    <w:semiHidden/>
    <w:rPr>
      <w:rFonts w:ascii="Times New Roman CYR" w:hAnsi="Times New Roman CYR" w:eastAsia="Times New Roman" w:cs="Times New Roman"/>
      <w:sz w:val="24"/>
      <w:szCs w:val="20"/>
      <w:lang w:eastAsia="ru-RU"/>
    </w:rPr>
  </w:style>
  <w:style w:type="paragraph" w:styleId="888">
    <w:name w:val="Верхний колонтитул"/>
    <w:basedOn w:val="882"/>
    <w:next w:val="888"/>
    <w:link w:val="889"/>
    <w:semiHidden/>
    <w:pPr>
      <w:tabs>
        <w:tab w:val="center" w:pos="4153" w:leader="none"/>
        <w:tab w:val="right" w:pos="8306" w:leader="none"/>
      </w:tabs>
    </w:pPr>
    <w:rPr>
      <w:lang w:val="en-US"/>
    </w:rPr>
  </w:style>
  <w:style w:type="character" w:styleId="889">
    <w:name w:val="Верхний колонтитул Знак"/>
    <w:next w:val="889"/>
    <w:link w:val="888"/>
    <w:semiHidden/>
    <w:rPr>
      <w:rFonts w:ascii="Times New Roman CYR" w:hAnsi="Times New Roman CYR" w:eastAsia="Times New Roman" w:cs="Times New Roman"/>
      <w:sz w:val="20"/>
      <w:szCs w:val="20"/>
      <w:lang w:eastAsia="ru-RU"/>
    </w:rPr>
  </w:style>
  <w:style w:type="character" w:styleId="890">
    <w:name w:val="Номер страницы"/>
    <w:basedOn w:val="883"/>
    <w:next w:val="890"/>
    <w:link w:val="882"/>
    <w:semiHidden/>
  </w:style>
  <w:style w:type="paragraph" w:styleId="891">
    <w:name w:val="Основной текст"/>
    <w:basedOn w:val="882"/>
    <w:next w:val="891"/>
    <w:link w:val="892"/>
    <w:semiHidden/>
    <w:pPr>
      <w:jc w:val="both"/>
    </w:pPr>
    <w:rPr>
      <w:sz w:val="24"/>
      <w:lang w:val="en-US"/>
    </w:rPr>
  </w:style>
  <w:style w:type="character" w:styleId="892">
    <w:name w:val="Основной текст Знак"/>
    <w:next w:val="892"/>
    <w:link w:val="891"/>
    <w:semiHidden/>
    <w:rPr>
      <w:rFonts w:ascii="Times New Roman CYR" w:hAnsi="Times New Roman CYR" w:eastAsia="Times New Roman" w:cs="Times New Roman"/>
      <w:sz w:val="24"/>
      <w:szCs w:val="20"/>
      <w:lang w:eastAsia="ru-RU"/>
    </w:rPr>
  </w:style>
  <w:style w:type="paragraph" w:styleId="893">
    <w:name w:val="Название"/>
    <w:basedOn w:val="882"/>
    <w:next w:val="893"/>
    <w:link w:val="894"/>
    <w:qFormat/>
    <w:pPr>
      <w:jc w:val="center"/>
    </w:pPr>
    <w:rPr>
      <w:b/>
      <w:sz w:val="32"/>
      <w:lang w:val="en-US"/>
    </w:rPr>
  </w:style>
  <w:style w:type="character" w:styleId="894">
    <w:name w:val="Название Знак"/>
    <w:next w:val="894"/>
    <w:link w:val="893"/>
    <w:rPr>
      <w:rFonts w:ascii="Times New Roman CYR" w:hAnsi="Times New Roman CYR" w:eastAsia="Times New Roman" w:cs="Times New Roman"/>
      <w:b/>
      <w:sz w:val="32"/>
      <w:szCs w:val="20"/>
      <w:lang w:eastAsia="ru-RU"/>
    </w:rPr>
  </w:style>
  <w:style w:type="paragraph" w:styleId="895">
    <w:name w:val="Абзац списка1"/>
    <w:basedOn w:val="882"/>
    <w:next w:val="895"/>
    <w:link w:val="882"/>
    <w:pPr>
      <w:ind w:left="720"/>
      <w:jc w:val="both"/>
      <w:spacing w:line="276" w:lineRule="auto"/>
      <w:tabs>
        <w:tab w:val="left" w:pos="708" w:leader="none"/>
      </w:tabs>
    </w:pPr>
    <w:rPr>
      <w:rFonts w:ascii="Times New Roman" w:hAnsi="Times New Roman"/>
      <w:color w:val="00000a"/>
      <w:sz w:val="24"/>
      <w:szCs w:val="22"/>
      <w:lang w:eastAsia="ar-SA"/>
    </w:rPr>
  </w:style>
  <w:style w:type="paragraph" w:styleId="896">
    <w:name w:val="Текст выноски"/>
    <w:basedOn w:val="882"/>
    <w:next w:val="896"/>
    <w:link w:val="897"/>
    <w:uiPriority w:val="99"/>
    <w:semiHidden/>
    <w:unhideWhenUsed/>
    <w:rPr>
      <w:rFonts w:ascii="Segoe UI" w:hAnsi="Segoe UI"/>
      <w:sz w:val="18"/>
      <w:szCs w:val="18"/>
      <w:lang w:val="en-US" w:eastAsia="en-US"/>
    </w:rPr>
  </w:style>
  <w:style w:type="character" w:styleId="897">
    <w:name w:val="Текст выноски Знак"/>
    <w:next w:val="897"/>
    <w:link w:val="896"/>
    <w:uiPriority w:val="99"/>
    <w:semiHidden/>
    <w:rPr>
      <w:rFonts w:ascii="Segoe UI" w:hAnsi="Segoe UI" w:eastAsia="Times New Roman" w:cs="Segoe UI"/>
      <w:sz w:val="18"/>
      <w:szCs w:val="18"/>
    </w:rPr>
  </w:style>
  <w:style w:type="table" w:styleId="898">
    <w:name w:val="Сетка таблицы"/>
    <w:basedOn w:val="884"/>
    <w:next w:val="898"/>
    <w:link w:val="882"/>
    <w:uiPriority w:val="59"/>
    <w:tblPr/>
  </w:style>
  <w:style w:type="character" w:styleId="899">
    <w:name w:val="Гиперссылка"/>
    <w:next w:val="899"/>
    <w:link w:val="882"/>
    <w:uiPriority w:val="99"/>
    <w:unhideWhenUsed/>
    <w:rPr>
      <w:color w:val="0563c1"/>
      <w:u w:val="single"/>
    </w:rPr>
  </w:style>
  <w:style w:type="paragraph" w:styleId="900">
    <w:name w:val="Нижний колонтитул"/>
    <w:basedOn w:val="882"/>
    <w:next w:val="900"/>
    <w:link w:val="901"/>
    <w:uiPriority w:val="99"/>
    <w:unhideWhenUsed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01">
    <w:name w:val="Нижний колонтитул Знак"/>
    <w:next w:val="901"/>
    <w:link w:val="900"/>
    <w:uiPriority w:val="99"/>
    <w:rPr>
      <w:rFonts w:ascii="Times New Roman CYR" w:hAnsi="Times New Roman CYR" w:eastAsia="Times New Roman"/>
    </w:rPr>
  </w:style>
  <w:style w:type="paragraph" w:styleId="902">
    <w:name w:val="Обычный (веб)"/>
    <w:basedOn w:val="882"/>
    <w:next w:val="902"/>
    <w:link w:val="882"/>
    <w:uiPriority w:val="99"/>
    <w:semiHidden/>
    <w:unhideWhenUsed/>
    <w:pPr>
      <w:spacing w:before="100" w:beforeAutospacing="1" w:after="100" w:afterAutospacing="1"/>
    </w:pPr>
    <w:rPr>
      <w:rFonts w:ascii="Calibri" w:hAnsi="Calibri" w:eastAsia="Calibri" w:cs="Calibri"/>
      <w:sz w:val="22"/>
      <w:szCs w:val="22"/>
    </w:rPr>
  </w:style>
  <w:style w:type="character" w:styleId="903">
    <w:name w:val="Строгий"/>
    <w:next w:val="903"/>
    <w:link w:val="882"/>
    <w:uiPriority w:val="22"/>
    <w:qFormat/>
    <w:rPr>
      <w:b/>
      <w:bCs/>
    </w:rPr>
  </w:style>
  <w:style w:type="paragraph" w:styleId="904">
    <w:name w:val=" Знак Знак1"/>
    <w:basedOn w:val="882"/>
    <w:next w:val="904"/>
    <w:link w:val="882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905">
    <w:name w:val="Текст1"/>
    <w:basedOn w:val="882"/>
    <w:next w:val="905"/>
    <w:link w:val="882"/>
    <w:rPr>
      <w:rFonts w:ascii="Courier New" w:hAnsi="Courier New"/>
      <w:lang w:eastAsia="ar-SA"/>
    </w:rPr>
  </w:style>
  <w:style w:type="character" w:styleId="906" w:default="1">
    <w:name w:val="Default Paragraph Font"/>
    <w:uiPriority w:val="1"/>
    <w:semiHidden/>
    <w:unhideWhenUsed/>
  </w:style>
  <w:style w:type="numbering" w:styleId="907" w:default="1">
    <w:name w:val="No List"/>
    <w:uiPriority w:val="99"/>
    <w:semiHidden/>
    <w:unhideWhenUsed/>
  </w:style>
  <w:style w:type="table" w:styleId="908" w:default="1">
    <w:name w:val="Normal Table"/>
    <w:uiPriority w:val="99"/>
    <w:semiHidden/>
    <w:unhideWhenUsed/>
    <w:tblPr/>
  </w:style>
  <w:style w:type="paragraph" w:styleId="909" w:customStyle="1">
    <w:name w:val="Абзац списка"/>
    <w:basedOn w:val="893"/>
    <w:next w:val="898"/>
    <w:link w:val="893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160" w:afterAutospacing="0" w:line="259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91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911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mailto:pirogova.es@rpn.gov.ru,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ЗАО Бионт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П/15-2018</dc:title>
  <dc:creator>Нехлюдов Олег</dc:creator>
  <cp:lastModifiedBy>pirogova.es</cp:lastModifiedBy>
  <cp:revision>19</cp:revision>
  <dcterms:created xsi:type="dcterms:W3CDTF">2023-04-26T11:36:00Z</dcterms:created>
  <dcterms:modified xsi:type="dcterms:W3CDTF">2026-07-29T09:00:58Z</dcterms:modified>
  <cp:version>983040</cp:version>
</cp:coreProperties>
</file>