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PT Astra Serif" w:hAnsi="PT Astra Serif" w:eastAsia="Calibri"/>
          <w:lang w:eastAsia="en-US"/>
        </w:rPr>
      </w:pPr>
      <w:r>
        <w:rPr>
          <w:rFonts w:eastAsia="Calibri" w:ascii="PT Astra Serif" w:hAnsi="PT Astra Serif"/>
          <w:lang w:eastAsia="en-US"/>
        </w:rPr>
        <w:t>Обоснование начальной (максимальной) цены контракта, начальных цен единиц товара, работы, услуги</w:t>
      </w:r>
    </w:p>
    <w:p>
      <w:pPr>
        <w:pStyle w:val="Normal"/>
        <w:widowControl w:val="false"/>
        <w:jc w:val="center"/>
        <w:rPr>
          <w:b w:val="false"/>
          <w:bCs w:val="false"/>
          <w:color w:val="000000"/>
          <w:sz w:val="24"/>
          <w:szCs w:val="24"/>
        </w:rPr>
      </w:pPr>
      <w:r>
        <w:rPr>
          <w:rFonts w:eastAsia="Calibri" w:ascii="PT Astra Serif" w:hAnsi="PT Astra Serif"/>
          <w:b/>
          <w:bCs/>
          <w:color w:val="000000"/>
          <w:sz w:val="24"/>
          <w:szCs w:val="24"/>
          <w:lang w:eastAsia="en-US"/>
        </w:rPr>
        <w:t xml:space="preserve">      </w:t>
      </w:r>
      <w:r>
        <w:rPr>
          <w:rFonts w:eastAsia="Calibri" w:ascii="PT Astra Serif" w:hAnsi="PT Astra Serif"/>
          <w:b/>
          <w:bCs/>
          <w:color w:val="000000"/>
          <w:sz w:val="20"/>
          <w:szCs w:val="20"/>
          <w:lang w:eastAsia="zh-CN"/>
        </w:rPr>
        <w:t>Сетка-слинг хирургическая для лечения стрессового недержания мочи у женщин, из синтетического полимера</w:t>
      </w:r>
      <w:r>
        <w:rPr>
          <w:rFonts w:eastAsia="Calibri" w:ascii="PT Astra Serif" w:hAnsi="PT Astra Serif"/>
          <w:b/>
          <w:bCs/>
          <w:color w:val="000000"/>
          <w:sz w:val="24"/>
          <w:szCs w:val="24"/>
          <w:lang w:eastAsia="en-US"/>
        </w:rPr>
        <w:t xml:space="preserve"> </w:t>
      </w:r>
    </w:p>
    <w:p>
      <w:pPr>
        <w:pStyle w:val="Normal"/>
        <w:suppressAutoHyphens w:val="true"/>
        <w:jc w:val="center"/>
        <w:rPr>
          <w:rFonts w:ascii="PT Astra Serif" w:hAnsi="PT Astra Serif" w:eastAsia="Calibri"/>
          <w:b/>
          <w:bCs/>
          <w:lang w:eastAsia="en-US"/>
        </w:rPr>
      </w:pPr>
      <w:r>
        <w:rPr>
          <w:rFonts w:eastAsia="Calibri" w:ascii="PT Astra Serif" w:hAnsi="PT Astra Serif"/>
          <w:b/>
          <w:bCs/>
          <w:lang w:eastAsia="en-US"/>
        </w:rPr>
      </w:r>
    </w:p>
    <w:tbl>
      <w:tblPr>
        <w:tblW w:w="14909" w:type="dxa"/>
        <w:jc w:val="left"/>
        <w:tblInd w:w="33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000"/>
      </w:tblPr>
      <w:tblGrid>
        <w:gridCol w:w="55"/>
        <w:gridCol w:w="1646"/>
        <w:gridCol w:w="162"/>
        <w:gridCol w:w="85"/>
        <w:gridCol w:w="2439"/>
        <w:gridCol w:w="470"/>
        <w:gridCol w:w="10051"/>
      </w:tblGrid>
      <w:tr>
        <w:trPr>
          <w:trHeight w:val="426" w:hRule="atLeast"/>
        </w:trPr>
        <w:tc>
          <w:tcPr>
            <w:tcW w:w="1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rPr>
                <w:rFonts w:ascii="PT Astra Serif" w:hAnsi="PT Astra Serif" w:eastAsia="Calibri"/>
                <w:b/>
                <w:bCs/>
                <w:lang w:eastAsia="en-US"/>
              </w:rPr>
            </w:pPr>
            <w:r>
              <w:rPr>
                <w:rFonts w:eastAsia="Calibri" w:ascii="PT Astra Serif" w:hAnsi="PT Astra Serif"/>
                <w:b/>
                <w:bCs/>
                <w:sz w:val="22"/>
                <w:szCs w:val="22"/>
                <w:lang w:eastAsia="en-US"/>
              </w:rPr>
              <w:t>Основные характеристики объекта закупки</w:t>
            </w:r>
          </w:p>
        </w:tc>
        <w:tc>
          <w:tcPr>
            <w:tcW w:w="12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jc w:val="both"/>
              <w:rPr>
                <w:rFonts w:ascii="PT Astra Serif" w:hAnsi="PT Astra Serif" w:eastAsia="Calibri"/>
                <w:lang w:eastAsia="en-US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В соответствии с описанием объекта закупки</w:t>
            </w:r>
          </w:p>
        </w:tc>
      </w:tr>
      <w:tr>
        <w:trPr/>
        <w:tc>
          <w:tcPr>
            <w:tcW w:w="1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rPr>
                <w:rFonts w:ascii="PT Astra Serif" w:hAnsi="PT Astra Serif" w:eastAsia="Calibri"/>
                <w:b/>
                <w:bCs/>
                <w:lang w:eastAsia="en-US"/>
              </w:rPr>
            </w:pPr>
            <w:r>
              <w:rPr>
                <w:rFonts w:eastAsia="Calibri" w:ascii="PT Astra Serif" w:hAnsi="PT Astra Serif"/>
                <w:b/>
                <w:bCs/>
                <w:sz w:val="22"/>
                <w:szCs w:val="22"/>
                <w:lang w:eastAsia="en-US"/>
              </w:rPr>
              <w:t>Используемый метод определения с обоснованием:</w:t>
            </w:r>
          </w:p>
        </w:tc>
        <w:tc>
          <w:tcPr>
            <w:tcW w:w="12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PT Astra Serif" w:hAnsi="PT Astra Serif" w:eastAsia="Calibri"/>
                <w:bCs/>
                <w:lang w:eastAsia="en-US"/>
              </w:rPr>
            </w:pPr>
            <w:r>
              <w:rPr>
                <w:rFonts w:eastAsia="Calibri" w:ascii="PT Astra Serif" w:hAnsi="PT Astra Serif"/>
                <w:bCs/>
                <w:sz w:val="22"/>
                <w:szCs w:val="22"/>
                <w:lang w:eastAsia="en-US"/>
              </w:rPr>
              <w:t>Иной метод: На основании ч. 12 ст. 22 Федерального закона от 05.04.2013 №44-ФЗ</w:t>
            </w:r>
          </w:p>
          <w:p>
            <w:pPr>
              <w:pStyle w:val="Normal"/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eastAsia="Calibri" w:ascii="PT Astra Serif" w:hAnsi="PT Astra Serif"/>
                <w:bCs/>
                <w:sz w:val="22"/>
                <w:szCs w:val="22"/>
                <w:lang w:eastAsia="en-US"/>
              </w:rPr>
              <w:t>В  соответствии с Приказом Министерства здравоохранения РФ от 15 мая 2020 г. N 450н "Об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и начальной цены единицы товара, работы, услуги при осуществлении закупок медицинских изделий" (далее - Приказ № 450н)); с положениями Распоряжения Правительства Ульяновской области от 17.09.2018 № 411-пр «Об утверждении Методических 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для обеспечения государственных нужд Ульяновской области»</w:t>
            </w:r>
          </w:p>
        </w:tc>
      </w:tr>
      <w:tr>
        <w:trPr>
          <w:trHeight w:val="132" w:hRule="atLeast"/>
        </w:trPr>
        <w:tc>
          <w:tcPr>
            <w:tcW w:w="1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rPr>
                <w:rFonts w:ascii="PT Astra Serif" w:hAnsi="PT Astra Serif" w:eastAsia="Calibri"/>
                <w:b/>
                <w:bCs/>
                <w:lang w:eastAsia="en-US"/>
              </w:rPr>
            </w:pPr>
            <w:r>
              <w:rPr>
                <w:rFonts w:eastAsia="Calibri" w:ascii="PT Astra Serif" w:hAnsi="PT Astra Serif"/>
                <w:b/>
                <w:bCs/>
                <w:sz w:val="22"/>
                <w:szCs w:val="22"/>
                <w:lang w:eastAsia="en-US"/>
              </w:rPr>
              <w:t>Расчет</w:t>
            </w:r>
          </w:p>
        </w:tc>
        <w:tc>
          <w:tcPr>
            <w:tcW w:w="12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hanging="0" w:left="0"/>
              <w:jc w:val="both"/>
              <w:outlineLvl w:val="1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Расчет цены единицы планируемого к закупке медицинского изделия, рассчитан посредством применения метода, указанного в подпункте а) пункта 9 Порядка определения начальной (максимальной) цены контракта, цены контракта, заключаемого с единственным поставщиком (подрядчиком, исполнителем), и начальной цены единицы товара, работы, услуги при осуществлении закупок медицинских изделий (далее - Порядок), утвержденного Приказом № 450н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ind w:hanging="0" w:left="0"/>
              <w:jc w:val="both"/>
              <w:outlineLvl w:val="1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(Метод сопоставимых рыночных цен)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ind w:hanging="0" w:left="0"/>
              <w:jc w:val="both"/>
              <w:outlineLvl w:val="1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Заказчик получил три коммерческих предложения от Поставщиков: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ind w:hanging="0" w:left="0"/>
              <w:jc w:val="both"/>
              <w:outlineLvl w:val="1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Поставщик № 1 коммерческое предложение вх.</w:t>
            </w:r>
            <w:r>
              <w:rPr>
                <w:rFonts w:ascii="PT Astra Serif" w:hAnsi="PT Astra Serif"/>
                <w:color w:val="000000"/>
                <w:sz w:val="22"/>
                <w:szCs w:val="22"/>
                <w:shd w:fill="auto" w:val="clear"/>
              </w:rPr>
              <w:t xml:space="preserve"> № </w:t>
            </w:r>
            <w:r>
              <w:rPr>
                <w:rFonts w:ascii="PT Astra Serif" w:hAnsi="PT Astra Serif"/>
                <w:color w:val="000000"/>
                <w:sz w:val="22"/>
                <w:szCs w:val="22"/>
                <w:shd w:fill="auto" w:val="clear"/>
              </w:rPr>
              <w:t>290</w:t>
            </w:r>
            <w:r>
              <w:rPr>
                <w:rFonts w:ascii="PT Astra Serif" w:hAnsi="PT Astra Serif"/>
                <w:color w:val="000000"/>
                <w:sz w:val="22"/>
                <w:szCs w:val="22"/>
                <w:shd w:fill="auto" w:val="clear"/>
              </w:rPr>
              <w:t xml:space="preserve"> от </w:t>
            </w:r>
            <w:r>
              <w:rPr>
                <w:rFonts w:ascii="PT Astra Serif" w:hAnsi="PT Astra Serif"/>
                <w:color w:val="000000"/>
                <w:sz w:val="22"/>
                <w:szCs w:val="22"/>
                <w:shd w:fill="auto" w:val="clear"/>
              </w:rPr>
              <w:t>20.03</w:t>
            </w:r>
            <w:r>
              <w:rPr>
                <w:rFonts w:ascii="PT Astra Serif" w:hAnsi="PT Astra Serif"/>
                <w:color w:val="000000"/>
                <w:sz w:val="22"/>
                <w:szCs w:val="22"/>
                <w:shd w:fill="auto" w:val="clear"/>
              </w:rPr>
              <w:t>.2026г.,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ind w:hanging="0" w:left="0"/>
              <w:jc w:val="both"/>
              <w:outlineLvl w:val="1"/>
              <w:rPr>
                <w:highlight w:val="none"/>
                <w:shd w:fill="auto" w:val="clear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  <w:shd w:fill="auto" w:val="clear"/>
              </w:rPr>
              <w:t xml:space="preserve">Поставщик № 2 </w:t>
            </w:r>
            <w:r>
              <w:rPr>
                <w:rFonts w:eastAsia="SimSun" w:cs="Times New Roman" w:ascii="PT Astra Serif" w:hAnsi="PT Astra Serif"/>
                <w:color w:val="000000"/>
                <w:kern w:val="2"/>
                <w:sz w:val="22"/>
                <w:szCs w:val="22"/>
                <w:shd w:fill="auto" w:val="clear"/>
                <w:lang w:val="en-US" w:eastAsia="zh-CN" w:bidi="ar-SA"/>
              </w:rPr>
              <w:t xml:space="preserve">коммерческое предложение вх. № </w:t>
            </w:r>
            <w:r>
              <w:rPr>
                <w:rFonts w:eastAsia="SimSun" w:cs="Times New Roman" w:ascii="PT Astra Serif" w:hAnsi="PT Astra Serif"/>
                <w:color w:val="000000"/>
                <w:kern w:val="2"/>
                <w:sz w:val="22"/>
                <w:szCs w:val="22"/>
                <w:shd w:fill="auto" w:val="clear"/>
                <w:lang w:val="en-US" w:eastAsia="zh-CN" w:bidi="ar-SA"/>
              </w:rPr>
              <w:t>292</w:t>
            </w:r>
            <w:r>
              <w:rPr>
                <w:rFonts w:eastAsia="SimSun" w:cs="Times New Roman" w:ascii="PT Astra Serif" w:hAnsi="PT Astra Serif"/>
                <w:color w:val="000000"/>
                <w:kern w:val="2"/>
                <w:sz w:val="22"/>
                <w:szCs w:val="22"/>
                <w:shd w:fill="auto" w:val="clear"/>
                <w:lang w:val="en-US" w:eastAsia="zh-CN" w:bidi="ar-SA"/>
              </w:rPr>
              <w:t xml:space="preserve"> от </w:t>
            </w:r>
            <w:r>
              <w:rPr>
                <w:rFonts w:eastAsia="SimSun" w:cs="Times New Roman" w:ascii="PT Astra Serif" w:hAnsi="PT Astra Serif"/>
                <w:color w:val="000000"/>
                <w:kern w:val="2"/>
                <w:sz w:val="22"/>
                <w:szCs w:val="22"/>
                <w:shd w:fill="auto" w:val="clear"/>
                <w:lang w:val="en-US" w:eastAsia="zh-CN" w:bidi="ar-SA"/>
              </w:rPr>
              <w:t>20.03</w:t>
            </w:r>
            <w:r>
              <w:rPr>
                <w:rFonts w:eastAsia="SimSun" w:cs="Times New Roman" w:ascii="PT Astra Serif" w:hAnsi="PT Astra Serif"/>
                <w:color w:val="000000"/>
                <w:kern w:val="2"/>
                <w:sz w:val="22"/>
                <w:szCs w:val="22"/>
                <w:shd w:fill="auto" w:val="clear"/>
                <w:lang w:val="en-US" w:eastAsia="zh-CN" w:bidi="ar-SA"/>
              </w:rPr>
              <w:t>.2026г.,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ind w:hanging="0" w:left="0"/>
              <w:jc w:val="both"/>
              <w:outlineLvl w:val="1"/>
              <w:rPr>
                <w:highlight w:val="none"/>
                <w:shd w:fill="auto" w:val="clear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  <w:shd w:fill="auto" w:val="clear"/>
              </w:rPr>
              <w:t xml:space="preserve">Поставщик № 3 коммерческое предложение вх. № </w:t>
            </w:r>
            <w:r>
              <w:rPr>
                <w:rFonts w:ascii="PT Astra Serif" w:hAnsi="PT Astra Serif"/>
                <w:color w:val="000000"/>
                <w:sz w:val="22"/>
                <w:szCs w:val="22"/>
                <w:shd w:fill="auto" w:val="clear"/>
              </w:rPr>
              <w:t>293</w:t>
            </w:r>
            <w:r>
              <w:rPr>
                <w:rFonts w:eastAsia="SimSun" w:cs="Times New Roman" w:ascii="PT Astra Serif" w:hAnsi="PT Astra Serif"/>
                <w:color w:val="000000"/>
                <w:kern w:val="2"/>
                <w:sz w:val="22"/>
                <w:szCs w:val="22"/>
                <w:shd w:fill="auto" w:val="clear"/>
                <w:lang w:val="en-US" w:eastAsia="zh-CN" w:bidi="ar-SA"/>
              </w:rPr>
              <w:t xml:space="preserve"> от </w:t>
            </w:r>
            <w:r>
              <w:rPr>
                <w:rFonts w:eastAsia="SimSun" w:cs="Times New Roman" w:ascii="PT Astra Serif" w:hAnsi="PT Astra Serif"/>
                <w:color w:val="000000"/>
                <w:kern w:val="2"/>
                <w:sz w:val="22"/>
                <w:szCs w:val="22"/>
                <w:shd w:fill="auto" w:val="clear"/>
                <w:lang w:val="en-US" w:eastAsia="zh-CN" w:bidi="ar-SA"/>
              </w:rPr>
              <w:t>20.03</w:t>
            </w:r>
            <w:r>
              <w:rPr>
                <w:rFonts w:eastAsia="SimSun" w:cs="Times New Roman" w:ascii="PT Astra Serif" w:hAnsi="PT Astra Serif"/>
                <w:color w:val="000000"/>
                <w:kern w:val="2"/>
                <w:sz w:val="22"/>
                <w:szCs w:val="22"/>
                <w:shd w:fill="auto" w:val="clear"/>
                <w:lang w:val="en-US" w:eastAsia="zh-CN" w:bidi="ar-SA"/>
              </w:rPr>
              <w:t>.2026г</w:t>
            </w:r>
            <w:r>
              <w:rPr>
                <w:rFonts w:ascii="PT Astra Serif" w:hAnsi="PT Astra Serif"/>
                <w:color w:val="000000"/>
                <w:sz w:val="22"/>
                <w:szCs w:val="22"/>
                <w:shd w:fill="auto" w:val="clear"/>
              </w:rPr>
              <w:t>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ind w:hanging="0" w:left="0"/>
              <w:jc w:val="both"/>
              <w:outlineLvl w:val="1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  <w:shd w:fill="auto" w:val="clear"/>
              </w:rPr>
              <w:t>Применение корректирующих коэффициентов не требуется. Коэффи</w:t>
            </w:r>
            <w:r>
              <w:rPr>
                <w:rFonts w:ascii="PT Astra Serif" w:hAnsi="PT Astra Serif"/>
                <w:sz w:val="22"/>
                <w:szCs w:val="22"/>
              </w:rPr>
              <w:t>циент вариации &lt; 33% - совокупность цен принимается однородной.</w:t>
            </w:r>
          </w:p>
          <w:tbl>
            <w:tblPr>
              <w:tblW w:w="12750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a0"/>
            </w:tblPr>
            <w:tblGrid>
              <w:gridCol w:w="394"/>
              <w:gridCol w:w="2550"/>
              <w:gridCol w:w="515"/>
              <w:gridCol w:w="619"/>
              <w:gridCol w:w="1527"/>
              <w:gridCol w:w="1538"/>
              <w:gridCol w:w="1502"/>
              <w:gridCol w:w="1015"/>
              <w:gridCol w:w="732"/>
              <w:gridCol w:w="1162"/>
              <w:gridCol w:w="1196"/>
            </w:tblGrid>
            <w:tr>
              <w:trPr>
                <w:trHeight w:val="305" w:hRule="atLeast"/>
              </w:trPr>
              <w:tc>
                <w:tcPr>
                  <w:tcW w:w="394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rPr>
                      <w:rFonts w:ascii="PT Astra Serif" w:hAnsi="PT Astra Serif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b/>
                      <w:bCs/>
                      <w:sz w:val="16"/>
                      <w:szCs w:val="16"/>
                    </w:rPr>
                    <w:t xml:space="preserve">№ </w:t>
                  </w:r>
                  <w:r>
                    <w:rPr>
                      <w:rFonts w:ascii="PT Astra Serif" w:hAnsi="PT Astra Serif"/>
                      <w:b/>
                      <w:bCs/>
                      <w:sz w:val="16"/>
                      <w:szCs w:val="16"/>
                    </w:rPr>
                    <w:t>п/п</w:t>
                  </w:r>
                </w:p>
              </w:tc>
              <w:tc>
                <w:tcPr>
                  <w:tcW w:w="2550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b/>
                      <w:bCs/>
                      <w:sz w:val="16"/>
                      <w:szCs w:val="16"/>
                    </w:rPr>
                    <w:t>Наименование товара</w:t>
                  </w:r>
                </w:p>
              </w:tc>
              <w:tc>
                <w:tcPr>
                  <w:tcW w:w="51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b/>
                      <w:bCs/>
                      <w:sz w:val="16"/>
                      <w:szCs w:val="16"/>
                    </w:rPr>
                    <w:t>Ед. изм</w:t>
                  </w:r>
                </w:p>
              </w:tc>
              <w:tc>
                <w:tcPr>
                  <w:tcW w:w="619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b/>
                      <w:bCs/>
                      <w:sz w:val="16"/>
                      <w:szCs w:val="16"/>
                    </w:rPr>
                    <w:t>Кол-во</w:t>
                  </w:r>
                </w:p>
              </w:tc>
              <w:tc>
                <w:tcPr>
                  <w:tcW w:w="1527" w:type="dxa"/>
                  <w:tcBorders>
                    <w:top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b/>
                      <w:bCs/>
                      <w:sz w:val="16"/>
                      <w:szCs w:val="16"/>
                    </w:rPr>
                    <w:t>Поставщик  1</w:t>
                  </w:r>
                </w:p>
              </w:tc>
              <w:tc>
                <w:tcPr>
                  <w:tcW w:w="1538" w:type="dxa"/>
                  <w:tcBorders>
                    <w:top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b/>
                      <w:bCs/>
                      <w:sz w:val="16"/>
                      <w:szCs w:val="16"/>
                    </w:rPr>
                    <w:t>Поставщик  2</w:t>
                  </w:r>
                </w:p>
              </w:tc>
              <w:tc>
                <w:tcPr>
                  <w:tcW w:w="1502" w:type="dxa"/>
                  <w:tcBorders>
                    <w:top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b/>
                      <w:bCs/>
                      <w:sz w:val="16"/>
                      <w:szCs w:val="16"/>
                    </w:rPr>
                    <w:t>Поставщик 3</w:t>
                  </w:r>
                </w:p>
              </w:tc>
              <w:tc>
                <w:tcPr>
                  <w:tcW w:w="1015" w:type="dxa"/>
                  <w:vMerge w:val="restart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b/>
                      <w:bCs/>
                      <w:sz w:val="16"/>
                      <w:szCs w:val="16"/>
                    </w:rPr>
                    <w:t>Средняя цена ед., руб. (без учета НДС)</w:t>
                  </w:r>
                </w:p>
              </w:tc>
              <w:tc>
                <w:tcPr>
                  <w:tcW w:w="73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b/>
                      <w:bCs/>
                      <w:sz w:val="16"/>
                      <w:szCs w:val="16"/>
                    </w:rPr>
                    <w:t>Коэф-т вари- ации, %</w:t>
                  </w:r>
                </w:p>
              </w:tc>
              <w:tc>
                <w:tcPr>
                  <w:tcW w:w="116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b/>
                      <w:bCs/>
                      <w:sz w:val="16"/>
                      <w:szCs w:val="16"/>
                    </w:rPr>
                    <w:t>НМЦК по средней цене, руб. (без учета НДС)</w:t>
                  </w:r>
                </w:p>
              </w:tc>
              <w:tc>
                <w:tcPr>
                  <w:tcW w:w="1196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b/>
                      <w:bCs/>
                      <w:sz w:val="16"/>
                      <w:szCs w:val="16"/>
                    </w:rPr>
                    <w:t>НМЦК по минимальной цене, руб. (без учета НДС)</w:t>
                  </w:r>
                </w:p>
              </w:tc>
            </w:tr>
            <w:tr>
              <w:trPr>
                <w:trHeight w:val="301" w:hRule="atLeast"/>
              </w:trPr>
              <w:tc>
                <w:tcPr>
                  <w:tcW w:w="394" w:type="dxa"/>
                  <w:vMerge w:val="continue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>
                  <w:pPr>
                    <w:pStyle w:val="Normal"/>
                    <w:rPr>
                      <w:rFonts w:ascii="PT Astra Serif" w:hAnsi="PT Astra Serif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b/>
                      <w:bCs/>
                      <w:sz w:val="16"/>
                      <w:szCs w:val="16"/>
                    </w:rPr>
                  </w:r>
                </w:p>
              </w:tc>
              <w:tc>
                <w:tcPr>
                  <w:tcW w:w="2550" w:type="dxa"/>
                  <w:vMerge w:val="continue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>
                  <w:pPr>
                    <w:pStyle w:val="Normal"/>
                    <w:rPr>
                      <w:rFonts w:ascii="PT Astra Serif" w:hAnsi="PT Astra Serif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b/>
                      <w:bCs/>
                      <w:sz w:val="16"/>
                      <w:szCs w:val="16"/>
                    </w:rPr>
                  </w:r>
                </w:p>
              </w:tc>
              <w:tc>
                <w:tcPr>
                  <w:tcW w:w="515" w:type="dxa"/>
                  <w:vMerge w:val="continue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b/>
                      <w:bCs/>
                      <w:sz w:val="16"/>
                      <w:szCs w:val="16"/>
                    </w:rPr>
                  </w:r>
                </w:p>
              </w:tc>
              <w:tc>
                <w:tcPr>
                  <w:tcW w:w="619" w:type="dxa"/>
                  <w:vMerge w:val="continue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b/>
                      <w:bCs/>
                      <w:sz w:val="16"/>
                      <w:szCs w:val="16"/>
                    </w:rPr>
                  </w:r>
                </w:p>
              </w:tc>
              <w:tc>
                <w:tcPr>
                  <w:tcW w:w="1527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sz w:val="16"/>
                      <w:szCs w:val="16"/>
                    </w:rPr>
                    <w:t>Цена за ед, руб. (без учета НДС)</w:t>
                  </w:r>
                </w:p>
              </w:tc>
              <w:tc>
                <w:tcPr>
                  <w:tcW w:w="1538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sz w:val="16"/>
                      <w:szCs w:val="16"/>
                    </w:rPr>
                    <w:t>Цена за ед, руб. (без учета НДС)</w:t>
                  </w:r>
                </w:p>
              </w:tc>
              <w:tc>
                <w:tcPr>
                  <w:tcW w:w="1502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sz w:val="16"/>
                      <w:szCs w:val="16"/>
                    </w:rPr>
                    <w:t>Цена за ед, руб. (без учета НДС)</w:t>
                  </w:r>
                </w:p>
              </w:tc>
              <w:tc>
                <w:tcPr>
                  <w:tcW w:w="1015" w:type="dxa"/>
                  <w:vMerge w:val="continue"/>
                  <w:tcBorders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b/>
                      <w:bCs/>
                      <w:sz w:val="16"/>
                      <w:szCs w:val="16"/>
                    </w:rPr>
                  </w:r>
                </w:p>
              </w:tc>
              <w:tc>
                <w:tcPr>
                  <w:tcW w:w="732" w:type="dxa"/>
                  <w:vMerge w:val="continue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b/>
                      <w:bCs/>
                      <w:sz w:val="16"/>
                      <w:szCs w:val="16"/>
                    </w:rPr>
                  </w:r>
                </w:p>
              </w:tc>
              <w:tc>
                <w:tcPr>
                  <w:tcW w:w="1162" w:type="dxa"/>
                  <w:vMerge w:val="continue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b/>
                      <w:bCs/>
                      <w:sz w:val="16"/>
                      <w:szCs w:val="16"/>
                    </w:rPr>
                  </w:r>
                </w:p>
              </w:tc>
              <w:tc>
                <w:tcPr>
                  <w:tcW w:w="1196" w:type="dxa"/>
                  <w:vMerge w:val="continue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b/>
                      <w:bCs/>
                      <w:sz w:val="16"/>
                      <w:szCs w:val="16"/>
                    </w:rPr>
                  </w:r>
                </w:p>
              </w:tc>
            </w:tr>
            <w:tr>
              <w:trPr>
                <w:trHeight w:val="224" w:hRule="atLeast"/>
              </w:trPr>
              <w:tc>
                <w:tcPr>
                  <w:tcW w:w="39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2550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515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619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527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538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1502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1015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732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162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196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sz w:val="16"/>
                      <w:szCs w:val="16"/>
                    </w:rPr>
                    <w:t>12</w:t>
                  </w:r>
                </w:p>
              </w:tc>
            </w:tr>
            <w:tr>
              <w:trPr>
                <w:trHeight w:val="224" w:hRule="atLeast"/>
              </w:trPr>
              <w:tc>
                <w:tcPr>
                  <w:tcW w:w="39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Style22"/>
                    <w:ind w:hanging="0" w:left="0" w:right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550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user4"/>
                    <w:ind w:hanging="0" w:left="0" w:right="0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Сетка-слинг хирургическая для лечения стрессового недержания мочи у женщин, из синтетического полимера</w:t>
                  </w:r>
                </w:p>
              </w:tc>
              <w:tc>
                <w:tcPr>
                  <w:tcW w:w="515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user4"/>
                    <w:ind w:hanging="0" w:left="0" w:right="0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шт</w:t>
                  </w:r>
                </w:p>
              </w:tc>
              <w:tc>
                <w:tcPr>
                  <w:tcW w:w="619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user4"/>
                    <w:ind w:hanging="0" w:left="0" w:right="0"/>
                    <w:jc w:val="center"/>
                    <w:rPr>
                      <w:lang w:val="en-US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10</w:t>
                  </w:r>
                </w:p>
              </w:tc>
              <w:tc>
                <w:tcPr>
                  <w:tcW w:w="1527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user4"/>
                    <w:ind w:hanging="0" w:left="0" w:right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17400,00</w:t>
                  </w:r>
                </w:p>
              </w:tc>
              <w:tc>
                <w:tcPr>
                  <w:tcW w:w="1538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user4"/>
                    <w:ind w:hanging="0" w:left="0" w:right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28800,00</w:t>
                  </w:r>
                </w:p>
              </w:tc>
              <w:tc>
                <w:tcPr>
                  <w:tcW w:w="1502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user4"/>
                    <w:ind w:hanging="0" w:left="0" w:right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19000,00</w:t>
                  </w:r>
                </w:p>
              </w:tc>
              <w:tc>
                <w:tcPr>
                  <w:tcW w:w="1015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user4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21733,33</w:t>
                  </w:r>
                </w:p>
              </w:tc>
              <w:tc>
                <w:tcPr>
                  <w:tcW w:w="732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user4"/>
                    <w:ind w:hanging="0" w:left="0" w:right="0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28,40</w:t>
                  </w:r>
                </w:p>
              </w:tc>
              <w:tc>
                <w:tcPr>
                  <w:tcW w:w="1162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Style22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217333,30</w:t>
                  </w:r>
                </w:p>
              </w:tc>
              <w:tc>
                <w:tcPr>
                  <w:tcW w:w="1196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Style22"/>
                    <w:spacing w:before="0" w:after="0"/>
                    <w:ind w:hanging="0" w:left="0" w:right="0"/>
                    <w:jc w:val="center"/>
                    <w:rPr>
                      <w:rFonts w:ascii="Times New Roman" w:hAnsi="Times New Roman"/>
                      <w:b w:val="false"/>
                      <w:bCs w:val="false"/>
                      <w:color w:val="000000"/>
                      <w:sz w:val="20"/>
                      <w:szCs w:val="20"/>
                    </w:rPr>
                  </w:pPr>
                  <w:r>
                    <w:rPr>
                      <w:b w:val="false"/>
                      <w:bCs w:val="false"/>
                      <w:color w:val="000000"/>
                      <w:sz w:val="20"/>
                      <w:szCs w:val="20"/>
                    </w:rPr>
                    <w:t>174000,00</w:t>
                  </w:r>
                </w:p>
                <w:p>
                  <w:pPr>
                    <w:pStyle w:val="Style22"/>
                    <w:spacing w:before="0" w:after="0"/>
                    <w:ind w:hanging="0" w:left="0" w:right="0"/>
                    <w:jc w:val="center"/>
                    <w:rPr>
                      <w:rFonts w:ascii="Times New Roman" w:hAnsi="Times New Roman"/>
                      <w:b w:val="false"/>
                      <w:bCs w:val="false"/>
                      <w:color w:val="000000"/>
                      <w:sz w:val="20"/>
                      <w:szCs w:val="20"/>
                    </w:rPr>
                  </w:pPr>
                  <w:r>
                    <w:rPr>
                      <w:b w:val="false"/>
                      <w:bCs w:val="false"/>
                      <w:color w:val="000000"/>
                      <w:sz w:val="20"/>
                      <w:szCs w:val="20"/>
                    </w:rPr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0392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bottom"/>
                </w:tcPr>
                <w:p>
                  <w:pPr>
                    <w:pStyle w:val="Normal"/>
                    <w:spacing w:before="114" w:after="114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b w:val="false"/>
                      <w:bCs w:val="false"/>
                      <w:sz w:val="20"/>
                      <w:szCs w:val="20"/>
                    </w:rPr>
                    <w:t> </w:t>
                  </w:r>
                  <w:r>
                    <w:rPr>
                      <w:b w:val="false"/>
                      <w:bCs w:val="false"/>
                      <w:sz w:val="20"/>
                      <w:szCs w:val="20"/>
                    </w:rPr>
                    <w:t>итого</w:t>
                  </w:r>
                </w:p>
              </w:tc>
              <w:tc>
                <w:tcPr>
                  <w:tcW w:w="1162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spacing w:before="57" w:after="57"/>
                    <w:jc w:val="center"/>
                    <w:rPr>
                      <w:rFonts w:ascii="Times New Roman" w:hAnsi="Times New Roman"/>
                      <w:b w:val="false"/>
                      <w:bCs w:val="false"/>
                      <w:sz w:val="20"/>
                      <w:szCs w:val="20"/>
                    </w:rPr>
                  </w:pPr>
                  <w:r>
                    <w:rPr>
                      <w:b w:val="false"/>
                      <w:bCs w:val="false"/>
                      <w:sz w:val="20"/>
                      <w:szCs w:val="20"/>
                    </w:rPr>
                    <w:t>217333,30</w:t>
                  </w:r>
                </w:p>
              </w:tc>
              <w:tc>
                <w:tcPr>
                  <w:tcW w:w="11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Style22"/>
                    <w:spacing w:before="0" w:after="0"/>
                    <w:ind w:hanging="0" w:left="0" w:right="0"/>
                    <w:jc w:val="center"/>
                    <w:rPr>
                      <w:rFonts w:ascii="Times New Roman" w:hAnsi="Times New Roman"/>
                      <w:b w:val="false"/>
                      <w:bCs w:val="false"/>
                      <w:color w:val="000000"/>
                      <w:sz w:val="20"/>
                      <w:szCs w:val="20"/>
                    </w:rPr>
                  </w:pPr>
                  <w:r>
                    <w:rPr>
                      <w:b w:val="false"/>
                      <w:bCs w:val="false"/>
                      <w:color w:val="000000"/>
                      <w:sz w:val="20"/>
                      <w:szCs w:val="20"/>
                    </w:rPr>
                    <w:t>174000,00</w:t>
                  </w:r>
                </w:p>
              </w:tc>
            </w:tr>
          </w:tbl>
          <w:p>
            <w:pPr>
              <w:pStyle w:val="Normal"/>
              <w:spacing w:before="0" w:after="0"/>
              <w:rPr>
                <w:shd w:fill="auto" w:val="clear"/>
              </w:rPr>
            </w:pPr>
            <w:r>
              <w:rPr>
                <w:b/>
                <w:bCs/>
                <w:color w:val="000000"/>
                <w:sz w:val="20"/>
                <w:szCs w:val="20"/>
                <w:shd w:fill="auto" w:val="clear"/>
              </w:rPr>
              <w:t xml:space="preserve">НМЦК на данную закупку составляет </w:t>
            </w:r>
            <w:r>
              <w:rPr>
                <w:b/>
                <w:bCs/>
                <w:color w:val="000000"/>
                <w:sz w:val="20"/>
                <w:szCs w:val="20"/>
                <w:shd w:fill="auto" w:val="clear"/>
              </w:rPr>
              <w:t>174000</w:t>
            </w:r>
            <w:r>
              <w:rPr>
                <w:rFonts w:ascii="PT Astra Serif" w:hAnsi="PT Astra Serif"/>
                <w:b/>
                <w:bCs/>
                <w:color w:val="000000"/>
                <w:sz w:val="20"/>
                <w:szCs w:val="20"/>
                <w:shd w:fill="auto" w:val="clear"/>
              </w:rPr>
              <w:t>,00</w:t>
            </w:r>
            <w:r>
              <w:rPr>
                <w:b/>
                <w:bCs/>
                <w:color w:val="000000"/>
                <w:sz w:val="20"/>
                <w:szCs w:val="20"/>
                <w:shd w:fill="auto" w:val="clear"/>
              </w:rPr>
              <w:t xml:space="preserve"> руб</w:t>
            </w:r>
            <w:r>
              <w:rPr>
                <w:bCs/>
                <w:color w:val="FF0000"/>
                <w:sz w:val="20"/>
                <w:szCs w:val="20"/>
                <w:shd w:fill="auto" w:val="clear"/>
              </w:rPr>
              <w:t>.</w:t>
            </w:r>
          </w:p>
        </w:tc>
      </w:tr>
      <w:tr>
        <w:trPr>
          <w:trHeight w:val="389" w:hRule="atLeast"/>
        </w:trPr>
        <w:tc>
          <w:tcPr>
            <w:tcW w:w="1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rPr>
                <w:rFonts w:ascii="PT Astra Serif" w:hAnsi="PT Astra Serif" w:eastAsia="Calibri"/>
                <w:b/>
                <w:bCs/>
                <w:lang w:eastAsia="en-US"/>
              </w:rPr>
            </w:pPr>
            <w:r>
              <w:rPr>
                <w:rFonts w:eastAsia="Calibri" w:ascii="PT Astra Serif" w:hAnsi="PT Astra Serif"/>
                <w:b/>
                <w:bCs/>
                <w:sz w:val="22"/>
                <w:szCs w:val="22"/>
                <w:lang w:eastAsia="en-US"/>
              </w:rPr>
              <w:t>Дата подготовки обоснования:</w:t>
            </w:r>
          </w:p>
        </w:tc>
        <w:tc>
          <w:tcPr>
            <w:tcW w:w="12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jc w:val="both"/>
              <w:rPr>
                <w:rFonts w:ascii="PT Astra Serif" w:hAnsi="PT Astra Serif" w:eastAsia="Calibri"/>
                <w:lang w:eastAsia="en-US"/>
              </w:rPr>
            </w:pPr>
            <w:r>
              <w:rPr>
                <w:rFonts w:eastAsia="Calibri" w:ascii="PT Astra Serif" w:hAnsi="PT Astra Serif"/>
                <w:sz w:val="22"/>
                <w:szCs w:val="22"/>
                <w:lang w:val="en-US" w:eastAsia="en-US"/>
              </w:rPr>
              <w:t>20.03</w:t>
            </w:r>
            <w:r>
              <w:rPr>
                <w:rFonts w:eastAsia="Calibri" w:ascii="PT Astra Serif" w:hAnsi="PT Astra Serif"/>
                <w:sz w:val="22"/>
                <w:szCs w:val="22"/>
                <w:lang w:val="en-US" w:eastAsia="en-US"/>
              </w:rPr>
              <w:t>.2026г</w:t>
            </w:r>
            <w:r>
              <w:rPr>
                <w:rFonts w:eastAsia="Calibri" w:ascii="PT Astra Serif" w:hAnsi="PT Astra Serif"/>
                <w:sz w:val="22"/>
                <w:szCs w:val="22"/>
                <w:lang w:eastAsia="en-US"/>
              </w:rPr>
              <w:t>.</w:t>
            </w:r>
          </w:p>
        </w:tc>
      </w:tr>
      <w:tr>
        <w:trPr/>
        <w:tc>
          <w:tcPr>
            <w:tcW w:w="5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hanging="0" w:left="0"/>
              <w:jc w:val="center"/>
              <w:outlineLvl w:val="1"/>
              <w:rPr>
                <w:rFonts w:ascii="PT Astra Serif" w:hAnsi="PT Astra Serif" w:cs="PT Astra Serif"/>
                <w:bCs/>
                <w:color w:val="000000"/>
                <w:sz w:val="20"/>
                <w:szCs w:val="20"/>
              </w:rPr>
            </w:pPr>
            <w:r>
              <w:rPr>
                <w:rFonts w:cs="PT Astra Serif" w:ascii="PT Astra Serif" w:hAnsi="PT Astra Serif"/>
                <w:bCs/>
                <w:color w:val="000000"/>
                <w:sz w:val="20"/>
                <w:szCs w:val="20"/>
              </w:rPr>
            </w:r>
          </w:p>
        </w:tc>
        <w:tc>
          <w:tcPr>
            <w:tcW w:w="4802" w:type="dxa"/>
            <w:gridSpan w:val="5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hanging="0" w:left="0"/>
              <w:jc w:val="center"/>
              <w:outlineLvl w:val="1"/>
              <w:rPr>
                <w:rFonts w:ascii="PT Astra Serif" w:hAnsi="PT Astra Serif" w:cs="PT Astra Serif"/>
                <w:bCs/>
                <w:color w:val="000000"/>
                <w:sz w:val="20"/>
                <w:szCs w:val="20"/>
              </w:rPr>
            </w:pPr>
            <w:r>
              <w:rPr>
                <w:rFonts w:cs="PT Astra Serif" w:ascii="PT Astra Serif" w:hAnsi="PT Astra Serif"/>
                <w:bCs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ind w:hanging="0" w:left="0"/>
              <w:outlineLvl w:val="1"/>
              <w:rPr>
                <w:rFonts w:ascii="PT Astra Serif" w:hAnsi="PT Astra Serif" w:cs="PT Astra Serif"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cs="PT Astra Serif" w:ascii="PT Astra Serif" w:hAnsi="PT Astra Serif"/>
                <w:bCs/>
                <w:color w:val="000000"/>
                <w:sz w:val="20"/>
                <w:szCs w:val="20"/>
              </w:rPr>
              <w:t>Руководитель контрактной службы/</w:t>
            </w:r>
          </w:p>
          <w:p>
            <w:pPr>
              <w:pStyle w:val="Normal"/>
              <w:rPr/>
            </w:pPr>
            <w:r>
              <w:rPr>
                <w:rFonts w:cs="PT Astra Serif" w:ascii="PT Astra Serif" w:hAnsi="PT Astra Serif"/>
                <w:bCs/>
                <w:color w:val="000000"/>
                <w:sz w:val="20"/>
                <w:szCs w:val="20"/>
                <w:lang w:eastAsia="ar-SA"/>
              </w:rPr>
              <w:t>Зам. гл. врача по финансово-экономическим вопросам</w:t>
            </w:r>
          </w:p>
        </w:tc>
        <w:tc>
          <w:tcPr>
            <w:tcW w:w="10051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hanging="0" w:left="0"/>
              <w:jc w:val="center"/>
              <w:outlineLvl w:val="1"/>
              <w:rPr>
                <w:rFonts w:ascii="PT Astra Serif" w:hAnsi="PT Astra Serif" w:cs="PT Astra Serif"/>
                <w:color w:val="000000"/>
                <w:sz w:val="20"/>
                <w:szCs w:val="20"/>
              </w:rPr>
            </w:pPr>
            <w:r>
              <w:rPr>
                <w:rFonts w:cs="PT Astra Serif" w:ascii="PT Astra Serif" w:hAnsi="PT Astra Serif"/>
                <w:color w:val="000000"/>
                <w:sz w:val="20"/>
                <w:szCs w:val="20"/>
              </w:rPr>
            </w:r>
          </w:p>
        </w:tc>
        <w:tc>
          <w:tcPr>
            <w:tcW w:w="4802" w:type="dxa"/>
            <w:gridSpan w:val="5"/>
            <w:tcBorders/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hanging="0" w:left="0"/>
              <w:jc w:val="center"/>
              <w:outlineLvl w:val="1"/>
              <w:rPr/>
            </w:pPr>
            <w:r>
              <w:rPr>
                <w:rFonts w:cs="PT Astra Serif" w:ascii="PT Astra Serif" w:hAnsi="PT Astra Serif"/>
                <w:color w:val="000000"/>
                <w:sz w:val="20"/>
                <w:szCs w:val="20"/>
              </w:rPr>
              <w:t>(должность)</w:t>
            </w:r>
          </w:p>
        </w:tc>
        <w:tc>
          <w:tcPr>
            <w:tcW w:w="10051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napToGrid w:val="false"/>
              <w:ind w:hanging="0" w:left="0"/>
              <w:outlineLvl w:val="1"/>
              <w:rPr>
                <w:rFonts w:ascii="PT Astra Serif" w:hAnsi="PT Astra Serif" w:cs="PT Astra Serif"/>
                <w:color w:val="000000"/>
                <w:sz w:val="20"/>
                <w:szCs w:val="20"/>
              </w:rPr>
            </w:pPr>
            <w:r>
              <w:rPr>
                <w:rFonts w:cs="PT Astra Serif" w:ascii="PT Astra Serif" w:hAnsi="PT Astra Serif"/>
                <w:color w:val="000000"/>
                <w:sz w:val="20"/>
                <w:szCs w:val="20"/>
              </w:rPr>
            </w:r>
          </w:p>
        </w:tc>
        <w:tc>
          <w:tcPr>
            <w:tcW w:w="164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napToGrid w:val="false"/>
              <w:ind w:hanging="0" w:left="0"/>
              <w:outlineLvl w:val="1"/>
              <w:rPr>
                <w:rFonts w:ascii="PT Astra Serif" w:hAnsi="PT Astra Serif" w:cs="PT Astra Serif"/>
                <w:color w:val="000000"/>
                <w:sz w:val="20"/>
                <w:szCs w:val="20"/>
              </w:rPr>
            </w:pPr>
            <w:r>
              <w:rPr>
                <w:rFonts w:cs="PT Astra Serif" w:ascii="PT Astra Serif" w:hAnsi="PT Astra Serif"/>
                <w:color w:val="000000"/>
                <w:sz w:val="20"/>
                <w:szCs w:val="20"/>
              </w:rPr>
            </w:r>
          </w:p>
        </w:tc>
        <w:tc>
          <w:tcPr>
            <w:tcW w:w="16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hanging="0" w:left="0"/>
              <w:outlineLvl w:val="1"/>
              <w:rPr/>
            </w:pPr>
            <w:r>
              <w:rPr>
                <w:rFonts w:cs="PT Astra Serif" w:ascii="PT Astra Serif" w:hAnsi="PT Astra Serif"/>
                <w:color w:val="000000"/>
                <w:sz w:val="20"/>
                <w:szCs w:val="20"/>
              </w:rPr>
              <w:t>/</w:t>
            </w:r>
          </w:p>
        </w:tc>
        <w:tc>
          <w:tcPr>
            <w:tcW w:w="2524" w:type="dxa"/>
            <w:gridSpan w:val="2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rPr/>
            </w:pPr>
            <w:r>
              <w:rPr>
                <w:rFonts w:cs="PT Astra Serif" w:ascii="PT Astra Serif" w:hAnsi="PT Astra Serif"/>
                <w:color w:val="000000"/>
                <w:sz w:val="20"/>
                <w:szCs w:val="20"/>
                <w:lang w:eastAsia="ar-SA"/>
              </w:rPr>
              <w:t>Зюнова М.В.</w:t>
            </w:r>
          </w:p>
        </w:tc>
        <w:tc>
          <w:tcPr>
            <w:tcW w:w="47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hanging="0" w:left="0"/>
              <w:outlineLvl w:val="1"/>
              <w:rPr/>
            </w:pPr>
            <w:r>
              <w:rPr>
                <w:rFonts w:cs="PT Astra Serif" w:ascii="PT Astra Serif" w:hAnsi="PT Astra Serif"/>
                <w:color w:val="000000"/>
                <w:sz w:val="20"/>
                <w:szCs w:val="20"/>
              </w:rPr>
              <w:t>/</w:t>
            </w:r>
          </w:p>
        </w:tc>
        <w:tc>
          <w:tcPr>
            <w:tcW w:w="10051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hanging="0" w:left="0"/>
              <w:jc w:val="center"/>
              <w:outlineLvl w:val="1"/>
              <w:rPr>
                <w:rFonts w:ascii="PT Astra Serif" w:hAnsi="PT Astra Serif" w:cs="PT Astra Serif"/>
                <w:color w:val="000000"/>
                <w:sz w:val="20"/>
                <w:szCs w:val="20"/>
              </w:rPr>
            </w:pPr>
            <w:r>
              <w:rPr>
                <w:rFonts w:cs="PT Astra Serif" w:ascii="PT Astra Serif" w:hAnsi="PT Astra Serif"/>
                <w:color w:val="000000"/>
                <w:sz w:val="20"/>
                <w:szCs w:val="20"/>
              </w:rPr>
            </w:r>
          </w:p>
        </w:tc>
        <w:tc>
          <w:tcPr>
            <w:tcW w:w="4802" w:type="dxa"/>
            <w:gridSpan w:val="5"/>
            <w:tcBorders/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hanging="0" w:left="0"/>
              <w:jc w:val="center"/>
              <w:outlineLvl w:val="1"/>
              <w:rPr/>
            </w:pPr>
            <w:r>
              <w:rPr>
                <w:rFonts w:cs="PT Astra Serif" w:ascii="PT Astra Serif" w:hAnsi="PT Astra Serif"/>
                <w:color w:val="000000"/>
                <w:sz w:val="20"/>
                <w:szCs w:val="20"/>
              </w:rPr>
              <w:t>(подпись/ расшифровка подписи)</w:t>
            </w:r>
          </w:p>
        </w:tc>
        <w:tc>
          <w:tcPr>
            <w:tcW w:w="10051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widowControl w:val="false"/>
        <w:numPr>
          <w:ilvl w:val="0"/>
          <w:numId w:val="0"/>
        </w:numPr>
        <w:ind w:hanging="0" w:left="0"/>
        <w:outlineLvl w:val="1"/>
        <w:rPr>
          <w:rFonts w:ascii="PT Astra Serif" w:hAnsi="PT Astra Serif" w:cs="PT Astra Serif"/>
          <w:sz w:val="20"/>
          <w:szCs w:val="20"/>
          <w:u w:val="single"/>
        </w:rPr>
      </w:pPr>
      <w:r>
        <w:rPr>
          <w:rFonts w:cs="PT Astra Serif" w:ascii="PT Astra Serif" w:hAnsi="PT Astra Serif"/>
          <w:sz w:val="20"/>
          <w:szCs w:val="20"/>
          <w:u w:val="single"/>
        </w:rPr>
      </w:r>
    </w:p>
    <w:p>
      <w:pPr>
        <w:pStyle w:val="Normal"/>
        <w:widowControl w:val="false"/>
        <w:numPr>
          <w:ilvl w:val="0"/>
          <w:numId w:val="0"/>
        </w:numPr>
        <w:ind w:hanging="0" w:left="0"/>
        <w:outlineLvl w:val="1"/>
        <w:rPr>
          <w:rFonts w:ascii="PT Astra Serif" w:hAnsi="PT Astra Serif" w:cs="PT Astra Serif"/>
          <w:color w:val="000000"/>
          <w:sz w:val="16"/>
          <w:szCs w:val="16"/>
        </w:rPr>
      </w:pPr>
      <w:r>
        <w:rPr>
          <w:rFonts w:cs="PT Astra Serif" w:ascii="PT Astra Serif" w:hAnsi="PT Astra Serif"/>
          <w:color w:val="000000"/>
          <w:sz w:val="16"/>
          <w:szCs w:val="16"/>
          <w:u w:val="single"/>
        </w:rPr>
        <w:t>Кушнаренко С.С.__(8422) 48 61 23___________</w:t>
      </w:r>
    </w:p>
    <w:p>
      <w:pPr>
        <w:pStyle w:val="Normal"/>
        <w:widowControl w:val="false"/>
        <w:numPr>
          <w:ilvl w:val="0"/>
          <w:numId w:val="0"/>
        </w:numPr>
        <w:ind w:hanging="0" w:left="0"/>
        <w:outlineLvl w:val="1"/>
        <w:rPr/>
      </w:pPr>
      <w:r>
        <w:rPr>
          <w:rFonts w:cs="PT Astra Serif" w:ascii="PT Astra Serif" w:hAnsi="PT Astra Serif"/>
          <w:color w:val="000000"/>
          <w:sz w:val="16"/>
          <w:szCs w:val="16"/>
        </w:rPr>
        <w:t>(Ф.И.О. исполнителя/ контактный телефон)</w:t>
      </w:r>
    </w:p>
    <w:p>
      <w:pPr>
        <w:pStyle w:val="Normal"/>
        <w:widowControl w:val="false"/>
        <w:rPr>
          <w:rFonts w:ascii="PT Astra Serif" w:hAnsi="PT Astra Serif"/>
          <w:bCs/>
          <w:color w:val="000000"/>
          <w:u w:val="single"/>
        </w:rPr>
      </w:pPr>
      <w:r>
        <w:rPr>
          <w:rFonts w:ascii="PT Astra Serif" w:hAnsi="PT Astra Serif"/>
          <w:bCs/>
          <w:color w:val="000000"/>
          <w:u w:val="single"/>
        </w:rPr>
      </w:r>
    </w:p>
    <w:p>
      <w:pPr>
        <w:pStyle w:val="Normal"/>
        <w:widowControl w:val="false"/>
        <w:numPr>
          <w:ilvl w:val="0"/>
          <w:numId w:val="0"/>
        </w:numPr>
        <w:ind w:hanging="0" w:left="0"/>
        <w:outlineLvl w:val="1"/>
        <w:rPr>
          <w:rFonts w:ascii="PT Astra Serif" w:hAnsi="PT Astra Serif"/>
          <w:sz w:val="16"/>
          <w:szCs w:val="16"/>
          <w:u w:val="single"/>
        </w:rPr>
      </w:pPr>
      <w:r>
        <w:rPr>
          <w:rFonts w:ascii="PT Astra Serif" w:hAnsi="PT Astra Serif"/>
          <w:sz w:val="16"/>
          <w:szCs w:val="16"/>
          <w:u w:val="single"/>
        </w:rPr>
      </w:r>
    </w:p>
    <w:sectPr>
      <w:type w:val="nextPage"/>
      <w:pgSz w:orient="landscape" w:w="16838" w:h="11906"/>
      <w:pgMar w:left="1134" w:right="1134" w:gutter="0" w:header="0" w:top="1701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Arial">
    <w:charset w:val="cc"/>
    <w:family w:val="swiss"/>
    <w:pitch w:val="variable"/>
  </w:font>
  <w:font w:name="Times New Roman">
    <w:charset w:val="cc"/>
    <w:family w:val="roman"/>
    <w:pitch w:val="variable"/>
  </w:font>
  <w:font w:name="Tahoma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Arial Unicode MS">
    <w:charset w:val="cc"/>
    <w:family w:val="swiss"/>
    <w:pitch w:val="variable"/>
  </w:font>
  <w:font w:name="PT Astra Serif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DejaVu Sans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77463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link w:val="1"/>
    <w:uiPriority w:val="9"/>
    <w:qFormat/>
    <w:rsid w:val="005460a8"/>
    <w:pPr>
      <w:spacing w:beforeAutospacing="1" w:afterAutospacing="1"/>
      <w:outlineLvl w:val="0"/>
    </w:pPr>
    <w:rPr>
      <w:b/>
      <w:bCs/>
      <w:kern w:val="2"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ize60" w:customStyle="1">
    <w:name w:val="size60"/>
    <w:basedOn w:val="DefaultParagraphFont"/>
    <w:qFormat/>
    <w:rsid w:val="0001788f"/>
    <w:rPr/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e7720e"/>
    <w:rPr>
      <w:rFonts w:ascii="Tahoma" w:hAnsi="Tahoma" w:eastAsia="Times New Roman" w:cs="Tahoma"/>
      <w:sz w:val="16"/>
      <w:szCs w:val="16"/>
      <w:lang w:eastAsia="ru-RU"/>
    </w:rPr>
  </w:style>
  <w:style w:type="character" w:styleId="Style14" w:customStyle="1">
    <w:name w:val="Основной текст Знак"/>
    <w:basedOn w:val="DefaultParagraphFont"/>
    <w:qFormat/>
    <w:rsid w:val="0045587f"/>
    <w:rPr>
      <w:rFonts w:ascii="Times New Roman" w:hAnsi="Times New Roman" w:eastAsia="Times New Roman" w:cs="Times New Roman"/>
      <w:sz w:val="24"/>
      <w:szCs w:val="20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320b18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6" w:customStyle="1">
    <w:name w:val="Нижний колонтитул Знак"/>
    <w:basedOn w:val="DefaultParagraphFont"/>
    <w:uiPriority w:val="99"/>
    <w:qFormat/>
    <w:rsid w:val="00320b18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7" w:customStyle="1">
    <w:name w:val="Текст сноски Знак"/>
    <w:basedOn w:val="DefaultParagraphFont"/>
    <w:uiPriority w:val="99"/>
    <w:semiHidden/>
    <w:qFormat/>
    <w:rsid w:val="0095613b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user">
    <w:name w:val="Символ сноски (user)"/>
    <w:qFormat/>
    <w:rPr>
      <w:vertAlign w:val="superscript"/>
    </w:rPr>
  </w:style>
  <w:style w:type="character" w:styleId="Style18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FootnoteCharacters1">
    <w:name w:val="Footnote Characters1"/>
    <w:qFormat/>
    <w:rPr>
      <w:vertAlign w:val="superscript"/>
    </w:rPr>
  </w:style>
  <w:style w:type="character" w:styleId="FootnoteCharacters11">
    <w:name w:val="Footnote Characters11"/>
    <w:qFormat/>
    <w:rPr>
      <w:vertAlign w:val="superscript"/>
    </w:rPr>
  </w:style>
  <w:style w:type="character" w:styleId="FootnoteCharacters111">
    <w:name w:val="Footnote Characters111"/>
    <w:qFormat/>
    <w:rPr>
      <w:vertAlign w:val="superscript"/>
    </w:rPr>
  </w:style>
  <w:style w:type="character" w:styleId="FootnoteCharacters1111">
    <w:name w:val="Footnote Characters1111"/>
    <w:qFormat/>
    <w:rPr>
      <w:vertAlign w:val="superscript"/>
    </w:rPr>
  </w:style>
  <w:style w:type="character" w:styleId="FootnoteCharacters11111">
    <w:name w:val="Footnote Characters11111"/>
    <w:qFormat/>
    <w:rPr>
      <w:vertAlign w:val="superscript"/>
    </w:rPr>
  </w:style>
  <w:style w:type="character" w:styleId="FootnoteCharacters111111">
    <w:name w:val="Footnote Characters111111"/>
    <w:qFormat/>
    <w:rPr>
      <w:vertAlign w:val="superscript"/>
    </w:rPr>
  </w:style>
  <w:style w:type="character" w:styleId="FootnoteCharacters1111111">
    <w:name w:val="Footnote Characters1111111"/>
    <w:qFormat/>
    <w:rPr>
      <w:vertAlign w:val="superscript"/>
    </w:rPr>
  </w:style>
  <w:style w:type="character" w:styleId="FootnoteCharacters11111111">
    <w:name w:val="Footnote Characters11111111"/>
    <w:qFormat/>
    <w:rPr>
      <w:vertAlign w:val="superscript"/>
    </w:rPr>
  </w:style>
  <w:style w:type="character" w:styleId="FootnoteCharacters111111111">
    <w:name w:val="Footnote Characters111111111"/>
    <w:qFormat/>
    <w:rPr>
      <w:vertAlign w:val="superscript"/>
    </w:rPr>
  </w:style>
  <w:style w:type="character" w:styleId="FootnoteCharacters1111111111">
    <w:name w:val="Footnote Characters1111111111"/>
    <w:qFormat/>
    <w:rPr>
      <w:vertAlign w:val="superscript"/>
    </w:rPr>
  </w:style>
  <w:style w:type="character" w:styleId="FootnoteCharacters11111111111">
    <w:name w:val="Footnote Characters11111111111"/>
    <w:qFormat/>
    <w:rPr>
      <w:vertAlign w:val="superscript"/>
    </w:rPr>
  </w:style>
  <w:style w:type="character" w:styleId="FootnoteCharacters111111111111">
    <w:name w:val="Footnote Characters111111111111"/>
    <w:qFormat/>
    <w:rPr>
      <w:vertAlign w:val="superscript"/>
    </w:rPr>
  </w:style>
  <w:style w:type="character" w:styleId="FootnoteCharacters1111111111111">
    <w:name w:val="Footnote Characters1111111111111"/>
    <w:qFormat/>
    <w:rPr>
      <w:vertAlign w:val="superscript"/>
    </w:rPr>
  </w:style>
  <w:style w:type="character" w:styleId="FootnoteCharacters11111111111111">
    <w:name w:val="Footnote Characters11111111111111"/>
    <w:qFormat/>
    <w:rPr>
      <w:vertAlign w:val="superscript"/>
    </w:rPr>
  </w:style>
  <w:style w:type="character" w:styleId="FootnoteCharacters111111111111111">
    <w:name w:val="Footnote Characters111111111111111"/>
    <w:qFormat/>
    <w:rPr>
      <w:vertAlign w:val="superscript"/>
    </w:rPr>
  </w:style>
  <w:style w:type="character" w:styleId="FootnoteCharacters1111111111111111">
    <w:name w:val="Footnote Characters1111111111111111"/>
    <w:qFormat/>
    <w:rPr>
      <w:vertAlign w:val="superscript"/>
    </w:rPr>
  </w:style>
  <w:style w:type="character" w:styleId="FootnoteCharacters11111111111111111">
    <w:name w:val="Footnote Characters11111111111111111"/>
    <w:basedOn w:val="DefaultParagraphFont"/>
    <w:uiPriority w:val="99"/>
    <w:semiHidden/>
    <w:unhideWhenUsed/>
    <w:qFormat/>
    <w:rsid w:val="0095613b"/>
    <w:rPr>
      <w:vertAlign w:val="superscript"/>
    </w:rPr>
  </w:style>
  <w:style w:type="character" w:styleId="InternetLink">
    <w:name w:val="Internet Link"/>
    <w:basedOn w:val="DefaultParagraphFont"/>
    <w:uiPriority w:val="99"/>
    <w:semiHidden/>
    <w:unhideWhenUsed/>
    <w:qFormat/>
    <w:rsid w:val="00450a93"/>
    <w:rPr>
      <w:color w:val="0000FF"/>
      <w:u w:val="single"/>
    </w:rPr>
  </w:style>
  <w:style w:type="character" w:styleId="1" w:customStyle="1">
    <w:name w:val="Заголовок 1 Знак"/>
    <w:basedOn w:val="DefaultParagraphFont"/>
    <w:uiPriority w:val="9"/>
    <w:qFormat/>
    <w:rsid w:val="005460a8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link w:val="Style14"/>
    <w:rsid w:val="0045587f"/>
    <w:pPr>
      <w:spacing w:before="0" w:after="120"/>
    </w:pPr>
    <w:rPr>
      <w:szCs w:val="20"/>
    </w:rPr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 Unicode MS"/>
    </w:rPr>
  </w:style>
  <w:style w:type="paragraph" w:styleId="user1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user2">
    <w:name w:val="Указатель (user)"/>
    <w:basedOn w:val="Normal"/>
    <w:qFormat/>
    <w:pPr>
      <w:suppressLineNumbers/>
    </w:pPr>
    <w:rPr>
      <w:rFonts w:cs="Arial Unicode MS"/>
    </w:rPr>
  </w:style>
  <w:style w:type="paragraph" w:styleId="ConsPlusNormal" w:customStyle="1">
    <w:name w:val="ConsPlusNormal"/>
    <w:qFormat/>
    <w:rsid w:val="002d7d12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e7720e"/>
    <w:pPr/>
    <w:rPr>
      <w:rFonts w:ascii="Tahoma" w:hAnsi="Tahoma" w:cs="Tahoma"/>
      <w:sz w:val="16"/>
      <w:szCs w:val="16"/>
    </w:rPr>
  </w:style>
  <w:style w:type="paragraph" w:styleId="3" w:customStyle="1">
    <w:name w:val="Стиль3 Знак Знак"/>
    <w:basedOn w:val="Normal"/>
    <w:qFormat/>
    <w:rsid w:val="00031f1b"/>
    <w:pPr>
      <w:widowControl w:val="false"/>
      <w:tabs>
        <w:tab w:val="clear" w:pos="708"/>
        <w:tab w:val="left" w:pos="2160" w:leader="none"/>
      </w:tabs>
      <w:ind w:hanging="360" w:left="2160"/>
      <w:jc w:val="both"/>
    </w:pPr>
    <w:rPr>
      <w:szCs w:val="20"/>
    </w:rPr>
  </w:style>
  <w:style w:type="paragraph" w:styleId="NormalWeb">
    <w:name w:val="Normal (Web)"/>
    <w:basedOn w:val="Normal"/>
    <w:qFormat/>
    <w:rsid w:val="0045587f"/>
    <w:pPr>
      <w:suppressAutoHyphens w:val="true"/>
      <w:spacing w:before="100" w:after="100"/>
    </w:pPr>
    <w:rPr>
      <w:rFonts w:ascii="Arial Unicode MS" w:hAnsi="Arial Unicode MS" w:eastAsia="Arial Unicode MS" w:cs="Arial Unicode MS"/>
      <w:lang w:eastAsia="ar-SA"/>
    </w:rPr>
  </w:style>
  <w:style w:type="paragraph" w:styleId="ListParagraph">
    <w:name w:val="List Paragraph"/>
    <w:basedOn w:val="Normal"/>
    <w:uiPriority w:val="34"/>
    <w:qFormat/>
    <w:rsid w:val="009144c1"/>
    <w:pPr>
      <w:spacing w:before="0" w:after="0"/>
      <w:ind w:left="720"/>
      <w:contextualSpacing/>
    </w:pPr>
    <w:rPr/>
  </w:style>
  <w:style w:type="paragraph" w:styleId="user3">
    <w:name w:val="Колонтитулы (user)"/>
    <w:basedOn w:val="Normal"/>
    <w:qFormat/>
    <w:pPr/>
    <w:rPr/>
  </w:style>
  <w:style w:type="paragraph" w:styleId="Style21">
    <w:name w:val="Колонтитулы"/>
    <w:basedOn w:val="Normal"/>
    <w:qFormat/>
    <w:pPr/>
    <w:rPr/>
  </w:style>
  <w:style w:type="paragraph" w:styleId="Header">
    <w:name w:val="header"/>
    <w:basedOn w:val="Normal"/>
    <w:link w:val="Style15"/>
    <w:uiPriority w:val="99"/>
    <w:unhideWhenUsed/>
    <w:rsid w:val="00320b18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6"/>
    <w:uiPriority w:val="99"/>
    <w:unhideWhenUsed/>
    <w:rsid w:val="00320b18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noteText">
    <w:name w:val="footnote text"/>
    <w:basedOn w:val="Normal"/>
    <w:link w:val="Style17"/>
    <w:uiPriority w:val="99"/>
    <w:semiHidden/>
    <w:unhideWhenUsed/>
    <w:rsid w:val="0095613b"/>
    <w:pPr/>
    <w:rPr>
      <w:sz w:val="20"/>
      <w:szCs w:val="20"/>
    </w:rPr>
  </w:style>
  <w:style w:type="paragraph" w:styleId="Default" w:customStyle="1">
    <w:name w:val="Default"/>
    <w:uiPriority w:val="99"/>
    <w:qFormat/>
    <w:rsid w:val="00224ffd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11" w:customStyle="1">
    <w:name w:val="Обычный1"/>
    <w:qFormat/>
    <w:rsid w:val="0048082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Style22">
    <w:name w:val="Содержимое таблицы"/>
    <w:basedOn w:val="Normal"/>
    <w:qFormat/>
    <w:pPr>
      <w:widowControl w:val="false"/>
      <w:suppressLineNumbers/>
    </w:pPr>
    <w:rPr/>
  </w:style>
  <w:style w:type="paragraph" w:styleId="Style23">
    <w:name w:val="Заголовок таблицы"/>
    <w:basedOn w:val="Style22"/>
    <w:qFormat/>
    <w:pPr>
      <w:suppressLineNumbers/>
      <w:jc w:val="center"/>
    </w:pPr>
    <w:rPr>
      <w:b/>
      <w:bCs/>
    </w:rPr>
  </w:style>
  <w:style w:type="paragraph" w:styleId="NoSpacing">
    <w:name w:val="No Spacing"/>
    <w:qFormat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Arial" w:cs="DejaVu Sans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user4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5">
    <w:name w:val="Заголовок таблицы (user)"/>
    <w:basedOn w:val="user4"/>
    <w:qFormat/>
    <w:pPr>
      <w:suppressLineNumbers/>
      <w:jc w:val="center"/>
    </w:pPr>
    <w:rPr>
      <w:b/>
      <w:bCs/>
    </w:rPr>
  </w:style>
  <w:style w:type="numbering" w:styleId="Style24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d7d12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894326"/>
    <w:pPr>
      <w:spacing w:after="0" w:line="240" w:lineRule="auto"/>
    </w:pPr>
    <w:rPr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D15A73-B6EF-46EF-A1C0-55025AAC1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1154</TotalTime>
  <Application>LibreOffice/25.2.7.2$Windows_X86_64 LibreOffice_project/5cbfd1ab6520636bb5f7b99185aa69bd7456825d</Application>
  <AppVersion>15.0000</AppVersion>
  <Pages>2</Pages>
  <Words>375</Words>
  <Characters>2467</Characters>
  <CharactersWithSpaces>2788</CharactersWithSpaces>
  <Paragraphs>66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2021-08-31T06:33:00Z</dcterms:created>
  <dc:creator>USER</dc:creator>
  <dc:description/>
  <dc:language>ru-RU</dc:language>
  <cp:lastModifiedBy/>
  <cp:lastPrinted>2026-03-20T14:15:39Z</cp:lastPrinted>
  <dcterms:modified xsi:type="dcterms:W3CDTF">2026-03-20T14:16:41Z</dcterms:modified>
  <cp:revision>257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