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
        <w:spacing w:lineRule="auto" w:line="240"/>
        <w:jc w:val="center"/>
        <w:rPr>
          <w:rFonts w:ascii="PT Astra Serif" w:hAnsi="PT Astra Serif"/>
          <w:b/>
          <w:bCs/>
          <w:sz w:val="18"/>
          <w:szCs w:val="18"/>
        </w:rPr>
      </w:pPr>
      <w:r>
        <w:rPr>
          <w:rFonts w:ascii="PT Astra Serif" w:hAnsi="PT Astra Serif"/>
          <w:b/>
          <w:bCs/>
          <w:sz w:val="18"/>
          <w:szCs w:val="18"/>
        </w:rPr>
        <w:t>Проект контракта</w:t>
      </w:r>
    </w:p>
    <w:p>
      <w:pPr>
        <w:pStyle w:val="12"/>
        <w:spacing w:lineRule="auto" w:line="240"/>
        <w:jc w:val="center"/>
        <w:rPr>
          <w:rFonts w:ascii="PT Astra Serif" w:hAnsi="PT Astra Serif"/>
          <w:b/>
          <w:bCs/>
          <w:sz w:val="18"/>
          <w:szCs w:val="18"/>
        </w:rPr>
      </w:pPr>
      <w:r>
        <w:rPr>
          <w:rFonts w:ascii="PT Astra Serif" w:hAnsi="PT Astra Serif"/>
          <w:b/>
          <w:bCs/>
          <w:sz w:val="18"/>
          <w:szCs w:val="18"/>
        </w:rPr>
        <w:t>Контракт ____</w:t>
      </w:r>
    </w:p>
    <w:p>
      <w:pPr>
        <w:pStyle w:val="12"/>
        <w:spacing w:lineRule="auto" w:line="240"/>
        <w:jc w:val="center"/>
        <w:rPr>
          <w:rFonts w:ascii="PT Astra Serif" w:hAnsi="PT Astra Serif"/>
          <w:sz w:val="18"/>
          <w:szCs w:val="18"/>
        </w:rPr>
      </w:pPr>
      <w:r>
        <w:rPr>
          <w:rFonts w:ascii="PT Astra Serif" w:hAnsi="PT Astra Serif"/>
          <w:b/>
          <w:bCs/>
          <w:sz w:val="18"/>
          <w:szCs w:val="18"/>
        </w:rPr>
        <w:t xml:space="preserve">        </w:t>
      </w:r>
    </w:p>
    <w:p>
      <w:pPr>
        <w:pStyle w:val="12"/>
        <w:spacing w:lineRule="auto" w:line="240"/>
        <w:jc w:val="center"/>
        <w:rPr>
          <w:rFonts w:ascii="PT Astra Serif" w:hAnsi="PT Astra Serif"/>
          <w:b/>
          <w:sz w:val="18"/>
          <w:szCs w:val="18"/>
        </w:rPr>
      </w:pPr>
      <w:r>
        <w:rPr>
          <w:rFonts w:ascii="PT Astra Serif" w:hAnsi="PT Astra Serif"/>
          <w:sz w:val="18"/>
          <w:szCs w:val="18"/>
        </w:rPr>
        <w:t>г. Ульяновск                                                                                                                                                                    «____» ________ 2026 г.</w:t>
      </w:r>
    </w:p>
    <w:p>
      <w:pPr>
        <w:pStyle w:val="12"/>
        <w:spacing w:lineRule="auto" w:line="240"/>
        <w:jc w:val="both"/>
        <w:rPr>
          <w:rFonts w:ascii="PT Astra Serif" w:hAnsi="PT Astra Serif"/>
          <w:b/>
          <w:sz w:val="18"/>
          <w:szCs w:val="18"/>
        </w:rPr>
      </w:pPr>
      <w:r>
        <w:rPr>
          <w:rFonts w:ascii="PT Astra Serif" w:hAnsi="PT Astra Serif"/>
          <w:b/>
          <w:sz w:val="18"/>
          <w:szCs w:val="18"/>
        </w:rPr>
      </w:r>
    </w:p>
    <w:p>
      <w:pPr>
        <w:pStyle w:val="12"/>
        <w:ind w:firstLine="851"/>
        <w:jc w:val="both"/>
        <w:rPr>
          <w:rFonts w:ascii="PT Astra Serif" w:hAnsi="PT Astra Serif"/>
          <w:b/>
          <w:sz w:val="18"/>
          <w:szCs w:val="18"/>
        </w:rPr>
      </w:pPr>
      <w:r>
        <w:rPr>
          <w:rFonts w:ascii="PT Astra Serif" w:hAnsi="PT Astra Serif"/>
          <w:b/>
          <w:sz w:val="18"/>
          <w:szCs w:val="18"/>
        </w:rPr>
        <w:t>Государственное учреждение здравоохранения «Центральная клиническая медико-санитарная часть имени заслуженного врача России В.А. Егорова»</w:t>
      </w:r>
      <w:r>
        <w:rPr>
          <w:rFonts w:ascii="PT Astra Serif" w:hAnsi="PT Astra Serif"/>
          <w:sz w:val="18"/>
          <w:szCs w:val="18"/>
        </w:rPr>
        <w:t xml:space="preserve"> (далее по тексту - </w:t>
      </w:r>
      <w:r>
        <w:rPr>
          <w:rFonts w:ascii="PT Astra Serif" w:hAnsi="PT Astra Serif"/>
          <w:sz w:val="18"/>
          <w:szCs w:val="18"/>
          <w:lang w:eastAsia="ru-RU"/>
        </w:rPr>
        <w:t>ГУЗ ЦКМСЧ им. В.А.Егорова</w:t>
      </w:r>
      <w:r>
        <w:rPr>
          <w:rFonts w:ascii="PT Astra Serif" w:hAnsi="PT Astra Serif"/>
          <w:sz w:val="18"/>
          <w:szCs w:val="18"/>
        </w:rPr>
        <w:t xml:space="preserve">), далее именуемое «Заказчик», в лице заместителя главного врача по финансово-экономическим вопросам Зюновой Марины Васильевны, действующего на основании МЧД №010125010000594181 от 28.01.25г, с одной стороны и </w:t>
      </w:r>
      <w:r>
        <w:rPr>
          <w:rFonts w:ascii="PT Astra Serif" w:hAnsi="PT Astra Serif"/>
          <w:b/>
          <w:sz w:val="18"/>
          <w:szCs w:val="18"/>
        </w:rPr>
        <w:t xml:space="preserve">_____,  </w:t>
      </w:r>
      <w:r>
        <w:rPr>
          <w:rFonts w:ascii="PT Astra Serif" w:hAnsi="PT Astra Serif"/>
          <w:sz w:val="18"/>
          <w:szCs w:val="18"/>
        </w:rPr>
        <w:t xml:space="preserve">именуемое в дальнейшем «Поставщик», в лице _______________, действующего на основании Устава, с другой стороны, именуемые по тексту контракта каждая по отдельности – «Сторона», а совместно – «Стороны», </w:t>
      </w:r>
      <w:r>
        <w:rPr>
          <w:rFonts w:ascii="PT Astra Serif" w:hAnsi="PT Astra Serif"/>
          <w:color w:val="000000"/>
          <w:sz w:val="18"/>
          <w:szCs w:val="18"/>
        </w:rPr>
        <w:t>в соответствии с 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12"/>
        <w:ind w:firstLine="851"/>
        <w:jc w:val="both"/>
        <w:rPr>
          <w:rFonts w:ascii="PT Astra Serif" w:hAnsi="PT Astra Serif"/>
          <w:color w:val="000000"/>
          <w:sz w:val="18"/>
          <w:szCs w:val="18"/>
        </w:rPr>
      </w:pPr>
      <w:r>
        <w:rPr>
          <w:rFonts w:ascii="PT Astra Serif" w:hAnsi="PT Astra Serif"/>
          <w:color w:val="000000"/>
          <w:sz w:val="18"/>
          <w:szCs w:val="18"/>
        </w:rPr>
      </w:r>
    </w:p>
    <w:p>
      <w:pPr>
        <w:pStyle w:val="12"/>
        <w:numPr>
          <w:ilvl w:val="0"/>
          <w:numId w:val="2"/>
        </w:numPr>
        <w:spacing w:lineRule="auto" w:line="240"/>
        <w:jc w:val="center"/>
        <w:rPr>
          <w:rFonts w:ascii="PT Astra Serif" w:hAnsi="PT Astra Serif"/>
          <w:b/>
          <w:sz w:val="18"/>
          <w:szCs w:val="18"/>
        </w:rPr>
      </w:pPr>
      <w:r>
        <w:rPr>
          <w:rFonts w:ascii="PT Astra Serif" w:hAnsi="PT Astra Serif"/>
          <w:b/>
          <w:sz w:val="18"/>
          <w:szCs w:val="18"/>
        </w:rPr>
        <w:t>ПРЕДМЕТ КОНТРАКТА.</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1.1. В соответствии с Контрактом Поставщик обязуется в порядке и сроки, предусмотренные Контрактом, осуществить поставку </w:t>
      </w:r>
      <w:r>
        <w:rPr>
          <w:rFonts w:eastAsia="Calibri" w:ascii="PT Astra Serif" w:hAnsi="PT Astra Serif"/>
          <w:b/>
          <w:bCs/>
          <w:sz w:val="18"/>
          <w:szCs w:val="18"/>
          <w:lang w:eastAsia="en-US"/>
        </w:rPr>
        <w:t>Сетка-слинг хирургическая для лечения стрессового недержания мочи у женщин, из синтетического полимера</w:t>
      </w:r>
      <w:r>
        <w:rPr>
          <w:b/>
          <w:sz w:val="20"/>
        </w:rPr>
        <w:t xml:space="preserve"> </w:t>
      </w:r>
      <w:r>
        <w:rPr>
          <w:rFonts w:ascii="PT Astra Serif" w:hAnsi="PT Astra Serif"/>
          <w:sz w:val="18"/>
          <w:szCs w:val="18"/>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pPr>
        <w:pStyle w:val="12"/>
        <w:spacing w:lineRule="auto" w:line="240"/>
        <w:ind w:firstLine="851"/>
        <w:jc w:val="both"/>
        <w:rPr>
          <w:rFonts w:ascii="PT Astra Serif" w:hAnsi="PT Astra Serif"/>
          <w:sz w:val="18"/>
          <w:szCs w:val="18"/>
        </w:rPr>
      </w:pPr>
      <w:r>
        <w:rPr>
          <w:rFonts w:ascii="PT Astra Serif" w:hAnsi="PT Astra Serif"/>
          <w:sz w:val="18"/>
          <w:szCs w:val="18"/>
        </w:rPr>
        <w:t>1.2. Номенклатура Товара и его количество определяются Спецификацией (приложение № 1 к Контракту).</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1.3. Поставка Товара осуществляется Поставщиком с разгрузкой с транспортного средства по адресу: </w:t>
      </w:r>
      <w:bookmarkStart w:id="0" w:name="_Hlk55215083"/>
      <w:r>
        <w:rPr>
          <w:rFonts w:ascii="PT Astra Serif" w:hAnsi="PT Astra Serif"/>
          <w:b/>
          <w:sz w:val="18"/>
          <w:szCs w:val="18"/>
        </w:rPr>
        <w:t>г. Ульяновск, ул. Лихачева, 12. (Аптека находится на 3 этаже, без лифта)</w:t>
      </w:r>
      <w:bookmarkEnd w:id="0"/>
      <w:r>
        <w:rPr>
          <w:rFonts w:ascii="PT Astra Serif" w:hAnsi="PT Astra Serif"/>
          <w:b/>
          <w:sz w:val="18"/>
          <w:szCs w:val="18"/>
        </w:rPr>
        <w:t xml:space="preserve"> </w:t>
      </w:r>
      <w:r>
        <w:rPr>
          <w:rFonts w:ascii="PT Astra Serif" w:hAnsi="PT Astra Serif"/>
          <w:sz w:val="18"/>
          <w:szCs w:val="18"/>
        </w:rPr>
        <w:t>(далее - Место доставки), своими силами и за свой счёт.</w:t>
      </w:r>
    </w:p>
    <w:p>
      <w:pPr>
        <w:pStyle w:val="12"/>
        <w:spacing w:lineRule="auto" w:line="240"/>
        <w:ind w:firstLine="851"/>
        <w:jc w:val="both"/>
        <w:rPr>
          <w:rFonts w:ascii="PT Astra Serif" w:hAnsi="PT Astra Serif"/>
          <w:b/>
          <w:sz w:val="18"/>
          <w:szCs w:val="18"/>
        </w:rPr>
      </w:pPr>
      <w:r>
        <w:rPr>
          <w:rFonts w:ascii="PT Astra Serif" w:hAnsi="PT Astra Serif"/>
          <w:b/>
          <w:sz w:val="18"/>
          <w:szCs w:val="18"/>
        </w:rPr>
      </w:r>
    </w:p>
    <w:p>
      <w:pPr>
        <w:pStyle w:val="12"/>
        <w:spacing w:lineRule="auto" w:line="240"/>
        <w:ind w:firstLine="851"/>
        <w:jc w:val="center"/>
        <w:rPr>
          <w:rFonts w:ascii="PT Astra Serif" w:hAnsi="PT Astra Serif"/>
          <w:sz w:val="18"/>
          <w:szCs w:val="18"/>
        </w:rPr>
      </w:pPr>
      <w:r>
        <w:rPr>
          <w:rFonts w:ascii="PT Astra Serif" w:hAnsi="PT Astra Serif"/>
          <w:b/>
          <w:sz w:val="18"/>
          <w:szCs w:val="18"/>
        </w:rPr>
        <w:t>2. ПРАВА И ОБЯЗАННОСТИ СТОРОН.</w:t>
      </w:r>
    </w:p>
    <w:p>
      <w:pPr>
        <w:pStyle w:val="12"/>
        <w:spacing w:lineRule="auto" w:line="240"/>
        <w:ind w:firstLine="851"/>
        <w:jc w:val="both"/>
        <w:rPr>
          <w:rFonts w:ascii="PT Astra Serif" w:hAnsi="PT Astra Serif"/>
          <w:sz w:val="18"/>
          <w:szCs w:val="18"/>
        </w:rPr>
      </w:pPr>
      <w:r>
        <w:rPr>
          <w:rFonts w:ascii="PT Astra Serif" w:hAnsi="PT Astra Serif"/>
          <w:sz w:val="18"/>
          <w:szCs w:val="18"/>
        </w:rPr>
        <w:t>2.1. Обязанности Поставщика:</w:t>
      </w:r>
    </w:p>
    <w:p>
      <w:pPr>
        <w:pStyle w:val="12"/>
        <w:spacing w:lineRule="auto" w:line="240"/>
        <w:ind w:firstLine="851"/>
        <w:jc w:val="both"/>
        <w:rPr>
          <w:rFonts w:ascii="PT Astra Serif" w:hAnsi="PT Astra Serif"/>
          <w:sz w:val="18"/>
          <w:szCs w:val="18"/>
        </w:rPr>
      </w:pPr>
      <w:r>
        <w:rPr>
          <w:rFonts w:ascii="PT Astra Serif" w:hAnsi="PT Astra Serif"/>
          <w:sz w:val="18"/>
          <w:szCs w:val="18"/>
        </w:rPr>
        <w:t>2.1.1. Уведомить заказчика о времени и дате поставки товара телефонограммой или по факсимильной связи, с последующим письменным подтверждением.</w:t>
      </w:r>
    </w:p>
    <w:p>
      <w:pPr>
        <w:pStyle w:val="12"/>
        <w:spacing w:lineRule="auto" w:line="240"/>
        <w:ind w:firstLine="851"/>
        <w:jc w:val="both"/>
        <w:rPr>
          <w:rFonts w:ascii="PT Astra Serif" w:hAnsi="PT Astra Serif"/>
          <w:sz w:val="18"/>
          <w:szCs w:val="18"/>
        </w:rPr>
      </w:pPr>
      <w:r>
        <w:rPr>
          <w:rFonts w:ascii="PT Astra Serif" w:hAnsi="PT Astra Serif"/>
          <w:sz w:val="18"/>
          <w:szCs w:val="18"/>
        </w:rPr>
        <w:t>2.1.2. Поставить товар в соответствии с условиями настоящего контракта.</w:t>
      </w:r>
    </w:p>
    <w:p>
      <w:pPr>
        <w:pStyle w:val="12"/>
        <w:spacing w:lineRule="auto" w:line="240"/>
        <w:ind w:firstLine="851"/>
        <w:jc w:val="both"/>
        <w:rPr>
          <w:rFonts w:ascii="PT Astra Serif" w:hAnsi="PT Astra Serif"/>
          <w:sz w:val="18"/>
          <w:szCs w:val="18"/>
        </w:rPr>
      </w:pPr>
      <w:r>
        <w:rPr>
          <w:rFonts w:ascii="PT Astra Serif" w:hAnsi="PT Astra Serif"/>
          <w:sz w:val="18"/>
          <w:szCs w:val="18"/>
        </w:rPr>
        <w:t>2.1.3. Передать Заказчику документы на товар, предусмотренные пунктами 5.3 настоящего контракта.</w:t>
      </w:r>
    </w:p>
    <w:p>
      <w:pPr>
        <w:pStyle w:val="12"/>
        <w:spacing w:lineRule="auto" w:line="240"/>
        <w:ind w:firstLine="851"/>
        <w:jc w:val="both"/>
        <w:rPr>
          <w:rFonts w:ascii="PT Astra Serif" w:hAnsi="PT Astra Serif"/>
          <w:sz w:val="18"/>
          <w:szCs w:val="18"/>
        </w:rPr>
      </w:pPr>
      <w:r>
        <w:rPr>
          <w:rFonts w:ascii="PT Astra Serif" w:hAnsi="PT Astra Serif"/>
          <w:sz w:val="18"/>
          <w:szCs w:val="18"/>
        </w:rPr>
        <w:t>2.1.4. Обеспечить качество поставленного товара в соответствии с требованиями нормативно-технической документации.</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2.1.5. По каждой позиции товара, поставляемого по настоящему контракту, предоставить документы по качеству. </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2.1.6. В течение 3 рабочих дней с даты предъявления требования заказчиком заменить товар ненадлежащего качества. </w:t>
      </w:r>
    </w:p>
    <w:p>
      <w:pPr>
        <w:pStyle w:val="12"/>
        <w:spacing w:lineRule="auto" w:line="240"/>
        <w:ind w:firstLine="851"/>
        <w:jc w:val="both"/>
        <w:rPr>
          <w:rFonts w:ascii="PT Astra Serif" w:hAnsi="PT Astra Serif"/>
          <w:sz w:val="18"/>
          <w:szCs w:val="18"/>
        </w:rPr>
      </w:pPr>
      <w:r>
        <w:rPr>
          <w:rFonts w:ascii="PT Astra Serif" w:hAnsi="PT Astra Serif"/>
          <w:sz w:val="18"/>
          <w:szCs w:val="18"/>
        </w:rPr>
        <w:t>2.1.7. Уведомить заказчика в течение 3 дней в письменной форме об изменении места нахождения, почтового адреса.</w:t>
      </w:r>
    </w:p>
    <w:p>
      <w:pPr>
        <w:pStyle w:val="12"/>
        <w:spacing w:lineRule="auto" w:line="240"/>
        <w:ind w:firstLine="851"/>
        <w:jc w:val="both"/>
        <w:rPr>
          <w:rFonts w:ascii="PT Astra Serif" w:hAnsi="PT Astra Serif"/>
          <w:sz w:val="18"/>
          <w:szCs w:val="18"/>
        </w:rPr>
      </w:pPr>
      <w:r>
        <w:rPr>
          <w:rFonts w:ascii="PT Astra Serif" w:hAnsi="PT Astra Serif"/>
          <w:sz w:val="18"/>
          <w:szCs w:val="18"/>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pPr>
        <w:pStyle w:val="12"/>
        <w:spacing w:lineRule="auto" w:line="240"/>
        <w:ind w:firstLine="851"/>
        <w:jc w:val="both"/>
        <w:rPr>
          <w:rFonts w:ascii="PT Astra Serif" w:hAnsi="PT Astra Serif"/>
          <w:sz w:val="18"/>
          <w:szCs w:val="18"/>
        </w:rPr>
      </w:pPr>
      <w:r>
        <w:rPr>
          <w:rFonts w:ascii="PT Astra Serif" w:hAnsi="PT Astra Serif"/>
          <w:sz w:val="18"/>
          <w:szCs w:val="18"/>
        </w:rPr>
        <w:t>2.1.9.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pPr>
        <w:pStyle w:val="12"/>
        <w:spacing w:lineRule="auto" w:line="240"/>
        <w:ind w:firstLine="851"/>
        <w:jc w:val="both"/>
        <w:rPr>
          <w:rFonts w:ascii="PT Astra Serif" w:hAnsi="PT Astra Serif"/>
          <w:sz w:val="18"/>
          <w:szCs w:val="18"/>
        </w:rPr>
      </w:pPr>
      <w:r>
        <w:rPr>
          <w:rFonts w:ascii="PT Astra Serif" w:hAnsi="PT Astra Serif"/>
          <w:sz w:val="18"/>
          <w:szCs w:val="18"/>
        </w:rPr>
        <w:t>2.2. Права Поставщика:</w:t>
      </w:r>
    </w:p>
    <w:p>
      <w:pPr>
        <w:pStyle w:val="12"/>
        <w:spacing w:lineRule="auto" w:line="240"/>
        <w:ind w:firstLine="851"/>
        <w:jc w:val="both"/>
        <w:rPr>
          <w:rFonts w:ascii="PT Astra Serif" w:hAnsi="PT Astra Serif"/>
          <w:sz w:val="18"/>
          <w:szCs w:val="18"/>
        </w:rPr>
      </w:pPr>
      <w:r>
        <w:rPr>
          <w:rFonts w:ascii="PT Astra Serif" w:hAnsi="PT Astra Serif"/>
          <w:sz w:val="18"/>
          <w:szCs w:val="18"/>
        </w:rPr>
        <w:t>2.2.1. Запрашивать в письменной форме у Заказчика сведения и документы, необходимые для надлежащего исполнения принятых на себя обязательств.</w:t>
      </w:r>
    </w:p>
    <w:p>
      <w:pPr>
        <w:pStyle w:val="12"/>
        <w:spacing w:lineRule="auto" w:line="240"/>
        <w:ind w:firstLine="851"/>
        <w:jc w:val="both"/>
        <w:rPr>
          <w:rFonts w:ascii="PT Astra Serif" w:hAnsi="PT Astra Serif"/>
          <w:sz w:val="18"/>
          <w:szCs w:val="18"/>
        </w:rPr>
      </w:pPr>
      <w:r>
        <w:rPr>
          <w:rFonts w:ascii="PT Astra Serif" w:hAnsi="PT Astra Serif"/>
          <w:sz w:val="18"/>
          <w:szCs w:val="18"/>
        </w:rPr>
        <w:t>2.2.2. Требовать своевременное оплаты по настоящему контракту при условии полного и надлежащего исполнения принятых на себя обязательств.</w:t>
      </w:r>
    </w:p>
    <w:p>
      <w:pPr>
        <w:pStyle w:val="12"/>
        <w:spacing w:lineRule="auto" w:line="240"/>
        <w:ind w:firstLine="851"/>
        <w:jc w:val="both"/>
        <w:rPr>
          <w:rFonts w:ascii="PT Astra Serif" w:hAnsi="PT Astra Serif"/>
          <w:sz w:val="18"/>
          <w:szCs w:val="18"/>
        </w:rPr>
      </w:pPr>
      <w:r>
        <w:rPr>
          <w:rFonts w:ascii="PT Astra Serif" w:hAnsi="PT Astra Serif"/>
          <w:sz w:val="18"/>
          <w:szCs w:val="18"/>
        </w:rPr>
        <w:t>2.3. Обязанности Заказчика:</w:t>
      </w:r>
    </w:p>
    <w:p>
      <w:pPr>
        <w:pStyle w:val="12"/>
        <w:spacing w:lineRule="auto" w:line="240"/>
        <w:ind w:firstLine="851"/>
        <w:jc w:val="both"/>
        <w:rPr>
          <w:rFonts w:ascii="PT Astra Serif" w:hAnsi="PT Astra Serif"/>
          <w:sz w:val="18"/>
          <w:szCs w:val="18"/>
        </w:rPr>
      </w:pPr>
      <w:r>
        <w:rPr>
          <w:rFonts w:ascii="PT Astra Serif" w:hAnsi="PT Astra Serif"/>
          <w:sz w:val="18"/>
          <w:szCs w:val="18"/>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2.3.2. Оформить пропуск на проезд на территорию Заказчика транспорта поставщика. </w:t>
      </w:r>
    </w:p>
    <w:p>
      <w:pPr>
        <w:pStyle w:val="12"/>
        <w:spacing w:lineRule="auto" w:line="240"/>
        <w:ind w:firstLine="851"/>
        <w:jc w:val="both"/>
        <w:rPr>
          <w:rFonts w:ascii="PT Astra Serif" w:hAnsi="PT Astra Serif"/>
          <w:sz w:val="18"/>
          <w:szCs w:val="18"/>
        </w:rPr>
      </w:pPr>
      <w:r>
        <w:rPr>
          <w:rFonts w:ascii="PT Astra Serif" w:hAnsi="PT Astra Serif"/>
          <w:sz w:val="18"/>
          <w:szCs w:val="18"/>
        </w:rPr>
        <w:t>2.3.3. Оплатить поставленный товар в соответствии с условиями настоящего контракта.</w:t>
      </w:r>
    </w:p>
    <w:p>
      <w:pPr>
        <w:pStyle w:val="12"/>
        <w:spacing w:lineRule="auto" w:line="240"/>
        <w:ind w:firstLine="851"/>
        <w:jc w:val="both"/>
        <w:rPr>
          <w:rFonts w:ascii="PT Astra Serif" w:hAnsi="PT Astra Serif"/>
          <w:sz w:val="18"/>
          <w:szCs w:val="18"/>
        </w:rPr>
      </w:pPr>
      <w:r>
        <w:rPr>
          <w:rFonts w:ascii="PT Astra Serif" w:hAnsi="PT Astra Serif"/>
          <w:sz w:val="18"/>
          <w:szCs w:val="18"/>
        </w:rPr>
        <w:t>2.4. Права Заказчика:</w:t>
      </w:r>
    </w:p>
    <w:p>
      <w:pPr>
        <w:pStyle w:val="12"/>
        <w:spacing w:lineRule="auto" w:line="240"/>
        <w:ind w:firstLine="851"/>
        <w:jc w:val="both"/>
        <w:rPr>
          <w:rFonts w:ascii="PT Astra Serif" w:hAnsi="PT Astra Serif"/>
          <w:sz w:val="18"/>
          <w:szCs w:val="18"/>
        </w:rPr>
      </w:pPr>
      <w:r>
        <w:rPr>
          <w:rFonts w:ascii="PT Astra Serif" w:hAnsi="PT Astra Serif"/>
          <w:sz w:val="18"/>
          <w:szCs w:val="18"/>
        </w:rPr>
        <w:t>2.4.1. Требовать от Поставщика надлежащего исполнения обязательств в соответствии с условиями настоящего контракта;</w:t>
      </w:r>
    </w:p>
    <w:p>
      <w:pPr>
        <w:pStyle w:val="12"/>
        <w:spacing w:lineRule="auto" w:line="240"/>
        <w:ind w:firstLine="851"/>
        <w:jc w:val="both"/>
        <w:rPr>
          <w:rFonts w:ascii="PT Astra Serif" w:hAnsi="PT Astra Serif"/>
          <w:sz w:val="18"/>
          <w:szCs w:val="18"/>
        </w:rPr>
      </w:pPr>
      <w:r>
        <w:rPr>
          <w:rFonts w:ascii="PT Astra Serif" w:hAnsi="PT Astra Serif"/>
          <w:sz w:val="18"/>
          <w:szCs w:val="18"/>
        </w:rPr>
        <w:t>2.4.2. Запрашивать у Поставщика информацию о ходе исполнения обязательств по настоящему контракту;</w:t>
      </w:r>
    </w:p>
    <w:p>
      <w:pPr>
        <w:pStyle w:val="12"/>
        <w:spacing w:lineRule="auto" w:line="240"/>
        <w:ind w:firstLine="851"/>
        <w:jc w:val="both"/>
        <w:rPr>
          <w:rFonts w:ascii="PT Astra Serif" w:hAnsi="PT Astra Serif"/>
          <w:sz w:val="18"/>
          <w:szCs w:val="18"/>
        </w:rPr>
      </w:pPr>
      <w:r>
        <w:rPr>
          <w:rFonts w:ascii="PT Astra Serif" w:hAnsi="PT Astra Serif"/>
          <w:sz w:val="18"/>
          <w:szCs w:val="18"/>
        </w:rPr>
        <w:t>2.4.3. Осуществлять контроль за порядком и сроками поставки товара;</w:t>
      </w:r>
    </w:p>
    <w:p>
      <w:pPr>
        <w:pStyle w:val="12"/>
        <w:spacing w:lineRule="auto" w:line="2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pPr>
        <w:pStyle w:val="12"/>
        <w:spacing w:lineRule="auto" w:line="240"/>
        <w:ind w:firstLine="851"/>
        <w:jc w:val="both"/>
        <w:rPr>
          <w:rFonts w:ascii="PT Astra Serif" w:hAnsi="PT Astra Serif"/>
          <w:b/>
          <w:sz w:val="18"/>
          <w:szCs w:val="18"/>
        </w:rPr>
      </w:pPr>
      <w:r>
        <w:rPr>
          <w:rFonts w:ascii="PT Astra Serif" w:hAnsi="PT Astra Serif"/>
          <w:sz w:val="18"/>
          <w:szCs w:val="18"/>
        </w:rPr>
        <w:t>2.4.5.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pPr>
        <w:pStyle w:val="12"/>
        <w:spacing w:lineRule="auto" w:line="240"/>
        <w:ind w:firstLine="851"/>
        <w:jc w:val="center"/>
        <w:rPr>
          <w:rFonts w:ascii="PT Astra Serif" w:hAnsi="PT Astra Serif"/>
          <w:b/>
          <w:sz w:val="18"/>
          <w:szCs w:val="18"/>
        </w:rPr>
      </w:pPr>
      <w:r>
        <w:rPr>
          <w:rFonts w:ascii="PT Astra Serif" w:hAnsi="PT Astra Serif"/>
          <w:b/>
          <w:sz w:val="18"/>
          <w:szCs w:val="18"/>
        </w:rPr>
        <w:t>3. ЦЕНА КОНТРАКТА И ПОРЯДОК РАСЧЁТОВ.</w:t>
      </w:r>
    </w:p>
    <w:p>
      <w:pPr>
        <w:pStyle w:val="12"/>
        <w:ind w:firstLine="851"/>
        <w:jc w:val="both"/>
        <w:rPr>
          <w:rFonts w:ascii="PT Astra Serif" w:hAnsi="PT Astra Serif"/>
          <w:sz w:val="18"/>
          <w:szCs w:val="18"/>
        </w:rPr>
      </w:pPr>
      <w:r>
        <w:rPr>
          <w:rFonts w:ascii="PT Astra Serif" w:hAnsi="PT Astra Serif"/>
          <w:sz w:val="18"/>
          <w:szCs w:val="18"/>
        </w:rPr>
        <w:t xml:space="preserve">3.1. Цена контракта составляет: </w:t>
      </w:r>
      <w:r>
        <w:rPr>
          <w:rFonts w:ascii="PT Astra Serif" w:hAnsi="PT Astra Serif"/>
          <w:b/>
          <w:sz w:val="18"/>
          <w:szCs w:val="18"/>
        </w:rPr>
        <w:t>_______</w:t>
      </w:r>
      <w:r>
        <w:rPr>
          <w:rFonts w:ascii="PT Astra Serif" w:hAnsi="PT Astra Serif"/>
          <w:sz w:val="18"/>
          <w:szCs w:val="18"/>
        </w:rPr>
        <w:t xml:space="preserve"> </w:t>
      </w:r>
      <w:r>
        <w:rPr>
          <w:rFonts w:ascii="PT Astra Serif" w:hAnsi="PT Astra Serif"/>
          <w:b/>
          <w:sz w:val="18"/>
          <w:szCs w:val="18"/>
        </w:rPr>
        <w:t>(_________ ) рублей__  копеек, НДС__________</w:t>
      </w:r>
    </w:p>
    <w:p>
      <w:pPr>
        <w:pStyle w:val="12"/>
        <w:ind w:firstLine="851"/>
        <w:jc w:val="both"/>
        <w:rPr>
          <w:rFonts w:ascii="PT Astra Serif" w:hAnsi="PT Astra Serif"/>
          <w:sz w:val="18"/>
          <w:szCs w:val="18"/>
        </w:rPr>
      </w:pPr>
      <w:r>
        <w:rPr>
          <w:rFonts w:ascii="PT Astra Serif" w:hAnsi="PT Astra Serif"/>
          <w:sz w:val="18"/>
          <w:szCs w:val="18"/>
        </w:rPr>
        <w:t>3.2. Цена за единицу товара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pPr>
        <w:pStyle w:val="12"/>
        <w:spacing w:lineRule="auto" w:line="240"/>
        <w:ind w:firstLine="851"/>
        <w:jc w:val="both"/>
        <w:rPr>
          <w:rFonts w:ascii="PT Astra Serif" w:hAnsi="PT Astra Serif"/>
          <w:sz w:val="18"/>
          <w:szCs w:val="18"/>
        </w:rPr>
      </w:pPr>
      <w:r>
        <w:rPr>
          <w:rFonts w:ascii="PT Astra Serif" w:hAnsi="PT Astra Serif"/>
          <w:sz w:val="18"/>
          <w:szCs w:val="18"/>
        </w:rPr>
        <w:t>3.3. Оплата за поставленный товар осуществляется заказчиком  в течение 7 рабочих дней с даты подписания Заказчиком документов о приемке товара (товарная накладная, счёт/счёт-фактура или универсальный передаточный документ).</w:t>
      </w:r>
    </w:p>
    <w:p>
      <w:pPr>
        <w:pStyle w:val="12"/>
        <w:spacing w:lineRule="auto" w:line="240"/>
        <w:ind w:firstLine="851"/>
        <w:jc w:val="both"/>
        <w:rPr>
          <w:rFonts w:ascii="PT Astra Serif" w:hAnsi="PT Astra Serif"/>
          <w:sz w:val="18"/>
          <w:szCs w:val="18"/>
        </w:rPr>
      </w:pPr>
      <w:r>
        <w:rPr>
          <w:rFonts w:ascii="PT Astra Serif" w:hAnsi="PT Astra Serif"/>
          <w:sz w:val="18"/>
          <w:szCs w:val="18"/>
        </w:rPr>
        <w:t>3.4.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pPr>
        <w:pStyle w:val="12"/>
        <w:spacing w:lineRule="auto" w:line="240"/>
        <w:ind w:firstLine="851"/>
        <w:jc w:val="both"/>
        <w:rPr>
          <w:rFonts w:ascii="PT Astra Serif" w:hAnsi="PT Astra Serif"/>
          <w:sz w:val="18"/>
          <w:szCs w:val="18"/>
        </w:rPr>
      </w:pPr>
      <w:r>
        <w:rPr>
          <w:rFonts w:ascii="PT Astra Serif" w:hAnsi="PT Astra Serif"/>
          <w:sz w:val="18"/>
          <w:szCs w:val="18"/>
        </w:rPr>
        <w:t>3.5. Обязанности заказчика по оплате считаются исполненными после списания денежных средств с расчётного счёта заказчика.</w:t>
      </w:r>
    </w:p>
    <w:p>
      <w:pPr>
        <w:pStyle w:val="12"/>
        <w:ind w:firstLine="851"/>
        <w:jc w:val="both"/>
        <w:rPr>
          <w:rFonts w:ascii="PT Astra Serif" w:hAnsi="PT Astra Serif"/>
          <w:sz w:val="18"/>
          <w:szCs w:val="18"/>
        </w:rPr>
      </w:pPr>
      <w:r>
        <w:rPr>
          <w:rFonts w:ascii="PT Astra Serif" w:hAnsi="PT Astra Serif"/>
          <w:sz w:val="18"/>
          <w:szCs w:val="18"/>
        </w:rPr>
        <w:t>3.6. Источник финансирования:</w:t>
      </w:r>
    </w:p>
    <w:p>
      <w:pPr>
        <w:pStyle w:val="ConsPlusNormal"/>
        <w:numPr>
          <w:ilvl w:val="0"/>
          <w:numId w:val="0"/>
        </w:numPr>
        <w:ind w:firstLine="567" w:left="0"/>
        <w:jc w:val="both"/>
        <w:outlineLvl w:val="1"/>
        <w:rPr>
          <w:rFonts w:ascii="PT Astra Serif" w:hAnsi="PT Astra Serif"/>
          <w:b/>
          <w:sz w:val="18"/>
          <w:szCs w:val="18"/>
        </w:rPr>
      </w:pPr>
      <w:r>
        <w:rPr>
          <w:rFonts w:ascii="PT Astra Serif" w:hAnsi="PT Astra Serif"/>
          <w:b/>
          <w:sz w:val="18"/>
          <w:szCs w:val="18"/>
        </w:rPr>
        <w:t>- Средства бюджетных учреждений (субсидии, инвестиции бюджетным и автономным учреждениям) - Субсидии на выполнение государственного (муниципального) задания на 2026 год.</w:t>
      </w:r>
    </w:p>
    <w:p>
      <w:pPr>
        <w:pStyle w:val="12"/>
        <w:spacing w:lineRule="auto" w:line="240"/>
        <w:ind w:firstLine="851"/>
        <w:jc w:val="both"/>
        <w:rPr>
          <w:rFonts w:ascii="PT Astra Serif" w:hAnsi="PT Astra Serif"/>
          <w:sz w:val="18"/>
          <w:szCs w:val="18"/>
        </w:rPr>
      </w:pPr>
      <w:r>
        <w:rPr>
          <w:rFonts w:ascii="PT Astra Serif" w:hAnsi="PT Astra Serif"/>
          <w:sz w:val="18"/>
          <w:szCs w:val="18"/>
        </w:rPr>
        <w:t>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pPr>
        <w:pStyle w:val="12"/>
        <w:spacing w:lineRule="auto" w:line="240"/>
        <w:ind w:firstLine="851"/>
        <w:jc w:val="both"/>
        <w:rPr>
          <w:rFonts w:ascii="PT Astra Serif" w:hAnsi="PT Astra Serif"/>
          <w:b/>
          <w:sz w:val="18"/>
          <w:szCs w:val="18"/>
        </w:rPr>
      </w:pPr>
      <w:r>
        <w:rPr>
          <w:rFonts w:ascii="PT Astra Serif" w:hAnsi="PT Astra Serif"/>
          <w:b/>
          <w:sz w:val="18"/>
          <w:szCs w:val="18"/>
        </w:rPr>
      </w:r>
    </w:p>
    <w:p>
      <w:pPr>
        <w:pStyle w:val="12"/>
        <w:spacing w:lineRule="auto" w:line="240"/>
        <w:ind w:firstLine="851"/>
        <w:jc w:val="center"/>
        <w:rPr>
          <w:rFonts w:ascii="PT Astra Serif" w:hAnsi="PT Astra Serif"/>
          <w:b/>
          <w:sz w:val="18"/>
          <w:szCs w:val="18"/>
        </w:rPr>
      </w:pPr>
      <w:r>
        <w:rPr>
          <w:rFonts w:ascii="PT Astra Serif" w:hAnsi="PT Astra Serif"/>
          <w:b/>
          <w:sz w:val="18"/>
          <w:szCs w:val="18"/>
        </w:rPr>
        <w:t>4. КАЧЕСТВО ТОВАРА.</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pPr>
        <w:pStyle w:val="12"/>
        <w:spacing w:lineRule="auto" w:line="240"/>
        <w:ind w:firstLine="851"/>
        <w:jc w:val="both"/>
        <w:rPr>
          <w:rFonts w:ascii="PT Astra Serif" w:hAnsi="PT Astra Serif"/>
          <w:sz w:val="18"/>
          <w:szCs w:val="18"/>
        </w:rPr>
      </w:pPr>
      <w:r>
        <w:rPr>
          <w:rFonts w:ascii="PT Astra Serif" w:hAnsi="PT Astra Serif"/>
          <w:sz w:val="18"/>
          <w:szCs w:val="18"/>
        </w:rPr>
        <w:t>4.2. Товар, поставляемый заказчику, должен быть зарегистрирован в соответствии с действующим законодательством Российской Федерации, и иметь инструкцию на русском языке.</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pPr>
        <w:pStyle w:val="12"/>
        <w:spacing w:lineRule="auto" w:line="240"/>
        <w:ind w:firstLine="851"/>
        <w:jc w:val="both"/>
        <w:rPr>
          <w:rFonts w:ascii="PT Astra Serif" w:hAnsi="PT Astra Serif"/>
          <w:sz w:val="18"/>
          <w:szCs w:val="18"/>
        </w:rPr>
      </w:pPr>
      <w:r>
        <w:rPr>
          <w:rFonts w:ascii="PT Astra Serif" w:hAnsi="PT Astra Serif"/>
          <w:sz w:val="18"/>
          <w:szCs w:val="18"/>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pPr>
        <w:pStyle w:val="12"/>
        <w:spacing w:lineRule="auto" w:line="240"/>
        <w:ind w:firstLine="851"/>
        <w:jc w:val="both"/>
        <w:rPr>
          <w:rFonts w:ascii="PT Astra Serif" w:hAnsi="PT Astra Serif"/>
          <w:color w:val="FF0000"/>
          <w:sz w:val="18"/>
          <w:szCs w:val="18"/>
        </w:rPr>
      </w:pPr>
      <w:r>
        <w:rPr>
          <w:rFonts w:ascii="PT Astra Serif" w:hAnsi="PT Astra Serif"/>
          <w:sz w:val="18"/>
          <w:szCs w:val="18"/>
        </w:rPr>
        <w:t>4.5. Остаточные сроки годности поставляемых изделий медицинского назначения должны составлять на день поставки не менее 70% от общего срока годности.</w:t>
      </w:r>
    </w:p>
    <w:p>
      <w:pPr>
        <w:pStyle w:val="12"/>
        <w:spacing w:lineRule="auto" w:line="240"/>
        <w:ind w:firstLine="851"/>
        <w:jc w:val="both"/>
        <w:rPr>
          <w:rFonts w:ascii="PT Astra Serif" w:hAnsi="PT Astra Serif"/>
          <w:sz w:val="18"/>
          <w:szCs w:val="18"/>
        </w:rPr>
      </w:pPr>
      <w:r>
        <w:rPr>
          <w:rFonts w:ascii="PT Astra Serif" w:hAnsi="PT Astra Serif"/>
          <w:sz w:val="18"/>
          <w:szCs w:val="18"/>
        </w:rPr>
        <w:t>4.6. Изделия медицинского назначения должны быть расфасованы и упакованы с учетом их специфических свойств и особенностей для обеспечения сохранения их качества и безопасности при хранении и перевозке.</w:t>
      </w:r>
    </w:p>
    <w:p>
      <w:pPr>
        <w:pStyle w:val="12"/>
        <w:spacing w:lineRule="auto" w:line="240"/>
        <w:ind w:firstLine="851"/>
        <w:jc w:val="both"/>
        <w:rPr>
          <w:rFonts w:ascii="PT Astra Serif" w:hAnsi="PT Astra Serif"/>
          <w:b/>
          <w:sz w:val="18"/>
          <w:szCs w:val="18"/>
        </w:rPr>
      </w:pPr>
      <w:r>
        <w:rPr>
          <w:rFonts w:ascii="PT Astra Serif" w:hAnsi="PT Astra Serif"/>
          <w:b/>
          <w:sz w:val="18"/>
          <w:szCs w:val="18"/>
        </w:rPr>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t>5. СРОКИ И ПОРЯДОК ПОСТАВКИ.</w:t>
      </w:r>
    </w:p>
    <w:p>
      <w:pPr>
        <w:pStyle w:val="Normal"/>
        <w:widowControl/>
        <w:ind w:firstLine="851"/>
        <w:jc w:val="both"/>
        <w:textAlignment w:val="baseline"/>
        <w:rPr>
          <w:rFonts w:ascii="PT Astra Serif" w:hAnsi="PT Astra Serif"/>
          <w:b/>
          <w:sz w:val="16"/>
          <w:szCs w:val="16"/>
        </w:rPr>
      </w:pPr>
      <w:r>
        <w:rPr>
          <w:rFonts w:eastAsia="Times New Roman" w:cs="Times New Roman" w:ascii="PT Astra Serif" w:hAnsi="PT Astra Serif"/>
          <w:sz w:val="18"/>
          <w:szCs w:val="18"/>
          <w:lang w:eastAsia="ar-SA" w:bidi="ar-SA"/>
        </w:rPr>
        <w:t xml:space="preserve">5.1. Срок поставки товара: по заявкам Заказчика </w:t>
      </w:r>
      <w:r>
        <w:rPr>
          <w:rFonts w:ascii="PT Astra Serif" w:hAnsi="PT Astra Serif"/>
          <w:b/>
          <w:sz w:val="18"/>
          <w:szCs w:val="16"/>
        </w:rPr>
        <w:t>в течение 10 календарных дней c даты заключения контракта.</w:t>
      </w:r>
    </w:p>
    <w:p>
      <w:pPr>
        <w:pStyle w:val="Normal"/>
        <w:widowControl/>
        <w:ind w:firstLine="851"/>
        <w:jc w:val="both"/>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sz w:val="18"/>
          <w:szCs w:val="18"/>
          <w:lang w:eastAsia="ar-SA" w:bidi="ar-SA"/>
        </w:rPr>
        <w:t>5.2. Поставка товара осуществляется силами поставщика на условиях: «Доставка до места назначения». Конечный пункт поставки расположен по адресу:</w:t>
      </w:r>
      <w:r>
        <w:rPr>
          <w:rFonts w:eastAsia="Times New Roman" w:cs="Times New Roman" w:ascii="PT Astra Serif" w:hAnsi="PT Astra Serif"/>
          <w:b/>
          <w:sz w:val="18"/>
          <w:szCs w:val="18"/>
          <w:lang w:eastAsia="ar-SA" w:bidi="ar-SA"/>
        </w:rPr>
        <w:t xml:space="preserve"> г. Ульяновск, ул. Лихачева, 12. (Аптека находится на 3 этаже, без лифта).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действующие сертификаты соответствия или копию сертификата соответствия либо декларацию о соответствии изделия медицинского назначения, которые должны быть оформлены в порядке, установленном законодательством Российской Федерации; регистрационные удостоверения с номером и датой регистрации изделия медицинского назначения.</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5.5. 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pPr>
        <w:pStyle w:val="Normal"/>
        <w:widowControl/>
        <w:ind w:firstLine="851"/>
        <w:jc w:val="both"/>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sz w:val="18"/>
          <w:szCs w:val="18"/>
          <w:lang w:eastAsia="ar-SA" w:bidi="ar-SA"/>
        </w:rPr>
        <w:t>5.7. При отгрузке изделий медицинского назначения должна быть обеспечена защита поставляемых изделий от атмосферных осадков, воздействия низких и высоких температур; перевозка изделий медицинского назначения должна осуществляться в условиях, обеспечивающих сохранение их качества и безопасности, с учётом физико-химических свойств изделий медицинского назначения и в соответствии с требованиями государственных стандартов.</w:t>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t>6. ПОРЯДОК СДАЧИ И ПРИЁМКИ ТОВАРА.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 Приемка Товара производится Заказчиком в соответствии с действующими правилами: на соответствие их количества, сроков годности и качества.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14 час. 00 мин..</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6.4. Товар считается переданным Поставщиком и принятым Заказчиком при соответствии количества поставляемого товара по объему и качеству товара, указанного в накладной.</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6.5. Право собственности на передаваемый товар переходит от Поставщика к Заказчику с даты, указанной на накладной.</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6.6. Заказчик должен подтвердить Поставщику готовность принять товар. Без наличия этого подтверждения отгрузка товара не производится.</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6.7. Заказчик производит приемку товара по количеству, согласно действующему законодательству РФ, в течение 5 (пяти) календарных дней с момента поставки товара, по результатам которой подписывается товарно-транспортная накладная.</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xml:space="preserve">6.8. Количество товара должно точно соответствовать количеству, указанному в товарораспорядительных документах. </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6.9. Заказчик вправе, уведомив Поставщика, отказаться от принятия товара, поставка которого просрочена.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6.10.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товар доставлен вне времени, установленного для приёмки товара;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товарно-сопроводительные документы не оформлены или оформлены в ненадлежащей форме;</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товарно-сопроводительные документы представлены не в полном объёме;</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товар поставлен с нарушением ассортимента, комплектности или количества;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характеристики товара не соответствуют характеристикам установленным в спецификации к настоящему контракту</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6.11. 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6.13. Решение о приемке товара принимается заказчиком после проведения обязательной экспертизы поставленного товара силами заказчика.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6.14.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Заказчик обязан в этот же срок проверить количество и качество принятого товара в порядке, установленном законом, иными правовыми актами, настоящим Контрактом или обычаями делового оборота, и о выявленных несоответствиях или недостатках товара незамедлительно письменно уведомить Поставщика.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6.16. Приёмка товара по качеству, соответствию техническим и эксплуатационным параметрам, проводится в момент его распаковки. В случае обнаружения внутритарного брака и (или) некомплектности составляется акт выявленных недостатков приёмки товара. Претензии по комплектности товара могут быть заявлены Заказчиком не позднее шестидесяти дней с момента его поставки.</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6.17. Риски случайной гибели, порчи или утраты товара лежат на Поставщике до передачи товара Заказчику.</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6.18. Факт доставки товара Заказчику подтверждается товарной накладной на соответствующую партию товара.</w:t>
      </w:r>
    </w:p>
    <w:p>
      <w:pPr>
        <w:pStyle w:val="Normal"/>
        <w:widowControl/>
        <w:ind w:firstLine="851"/>
        <w:jc w:val="both"/>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t>7. ОТВЕТСТВЕННОСТЬ СТОРОН.</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контракта.</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 xml:space="preserve">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ind w:firstLine="540"/>
        <w:jc w:val="both"/>
        <w:rPr>
          <w:rFonts w:ascii="PT Astra Serif" w:hAnsi="PT Astra Serif"/>
          <w:sz w:val="18"/>
          <w:szCs w:val="18"/>
        </w:rPr>
      </w:pPr>
      <w:r>
        <w:rPr>
          <w:rFonts w:ascii="PT Astra Serif" w:hAnsi="PT Astra Serif"/>
          <w:sz w:val="18"/>
          <w:szCs w:val="18"/>
        </w:rPr>
        <w:t>а) 1000 рублей, если цена контракта не превышает 3 млн.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б) 5000 рублей, если цена контракта составляет от 3 млн. рублей до 50 млн.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в) 10000 рублей, если цена контракта составляет от 50 млн. рублей до 100 млн.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г) 100000 рублей, если цена контракта превышает 100 млн. рублей.</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7.6.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7.7.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ind w:firstLine="540"/>
        <w:jc w:val="both"/>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ind w:firstLine="540"/>
        <w:jc w:val="both"/>
        <w:rPr>
          <w:rFonts w:ascii="PT Astra Serif" w:hAnsi="PT Astra Serif"/>
          <w:sz w:val="18"/>
          <w:szCs w:val="18"/>
        </w:rPr>
      </w:pPr>
      <w:r>
        <w:rPr>
          <w:rFonts w:ascii="PT Astra Serif" w:hAnsi="PT Astra Serif"/>
          <w:sz w:val="18"/>
          <w:szCs w:val="18"/>
        </w:rPr>
        <w:t>а) 10 процентов цены контракта (этапа) в случае, если цена контракта (этапа) не превышает 3 млн. рублей;</w:t>
      </w:r>
    </w:p>
    <w:p>
      <w:pPr>
        <w:pStyle w:val="Normal"/>
        <w:ind w:firstLine="540"/>
        <w:jc w:val="both"/>
        <w:rPr>
          <w:rFonts w:ascii="PT Astra Serif" w:hAnsi="PT Astra Serif"/>
          <w:sz w:val="18"/>
          <w:szCs w:val="18"/>
        </w:rPr>
      </w:pPr>
      <w:r>
        <w:rPr>
          <w:rFonts w:ascii="PT Astra Serif" w:hAnsi="PT Astra Serif"/>
          <w:sz w:val="18"/>
          <w:szCs w:val="18"/>
        </w:rPr>
        <w:t>б) 5 процентов цены контракта (этапа) в случае, если цена контракта (этапа) составляет от 3 млн. рублей до 50 млн.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в) 1 процент цены контракта (этапа) в случае, если цена контракта (этапа) составляет от 50 млн. рублей до 100 млн.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г) 0,5 процента цены контракта (этапа) в случае, если цена контракта (этапа) составляет от 100 млн. рублей до 500 млн.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д) 0,4 процента цены контракта (этапа) в случае, если цена контракта (этапа) составляет от 500 млн. рублей до 1 млрд.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е) 0,3 процента цены контракта (этапа) в случае, если цена контракта (этапа) составляет от 1 млрд. рублей до 2 млрд.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ж) 0,25 процента цены контракта (этапа) в случае, если цена контракта (этапа) составляет от 2 млрд. рублей до 5 млрд. рублей (включительно);</w:t>
      </w:r>
    </w:p>
    <w:p>
      <w:pPr>
        <w:pStyle w:val="Normal"/>
        <w:ind w:firstLine="540"/>
        <w:jc w:val="both"/>
        <w:rPr>
          <w:rFonts w:ascii="PT Astra Serif" w:hAnsi="PT Astra Serif"/>
          <w:sz w:val="18"/>
          <w:szCs w:val="18"/>
        </w:rPr>
      </w:pPr>
      <w:r>
        <w:rPr>
          <w:rFonts w:ascii="PT Astra Serif" w:hAnsi="PT Astra Serif"/>
          <w:sz w:val="18"/>
          <w:szCs w:val="18"/>
        </w:rPr>
        <w:t>з) 0,2 процента цены контракта (этапа) в случае, если цена контракта (этапа) составляет от 5 млрд. рублей до 10 млрд. рублей (включительно);</w:t>
      </w:r>
    </w:p>
    <w:p>
      <w:pPr>
        <w:pStyle w:val="Normal"/>
        <w:ind w:firstLine="540"/>
        <w:jc w:val="both"/>
        <w:rPr>
          <w:rFonts w:ascii="PT Astra Serif" w:hAnsi="PT Astra Serif" w:cs="Times New Roman"/>
          <w:sz w:val="18"/>
          <w:szCs w:val="18"/>
        </w:rPr>
      </w:pPr>
      <w:r>
        <w:rPr>
          <w:rFonts w:ascii="PT Astra Serif" w:hAnsi="PT Astra Serif"/>
          <w:sz w:val="18"/>
          <w:szCs w:val="18"/>
        </w:rPr>
        <w:t>и) 0,1 процента цены контракта (этапа) в случае, если цена контракта (этапа) превышает 10 млрд. рублей.</w:t>
      </w:r>
    </w:p>
    <w:p>
      <w:pPr>
        <w:pStyle w:val="Normal"/>
        <w:ind w:firstLine="540"/>
        <w:jc w:val="both"/>
        <w:rPr>
          <w:rFonts w:ascii="PT Astra Serif" w:hAnsi="PT Astra Serif" w:cs="Times New Roman"/>
          <w:sz w:val="18"/>
          <w:szCs w:val="18"/>
        </w:rPr>
      </w:pPr>
      <w:r>
        <w:rPr>
          <w:rFonts w:cs="Times New Roman" w:ascii="PT Astra Serif" w:hAnsi="PT Astra Serif"/>
          <w:sz w:val="18"/>
          <w:szCs w:val="18"/>
        </w:rPr>
        <w:t xml:space="preserve">     </w:t>
      </w:r>
      <w:r>
        <w:rPr>
          <w:rFonts w:cs="Times New Roman" w:ascii="PT Astra Serif" w:hAnsi="PT Astra Serif"/>
          <w:sz w:val="18"/>
          <w:szCs w:val="18"/>
        </w:rPr>
        <w:t>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ind w:firstLine="540"/>
        <w:jc w:val="both"/>
        <w:rPr>
          <w:rFonts w:ascii="PT Astra Serif" w:hAnsi="PT Astra Serif" w:cs="Times New Roman"/>
          <w:sz w:val="18"/>
          <w:szCs w:val="18"/>
        </w:rPr>
      </w:pPr>
      <w:r>
        <w:rPr>
          <w:rFonts w:cs="Times New Roman" w:ascii="PT Astra Serif" w:hAnsi="PT Astra Serif"/>
          <w:sz w:val="18"/>
          <w:szCs w:val="18"/>
        </w:rPr>
        <w:t xml:space="preserve">     </w:t>
      </w:r>
      <w:r>
        <w:rPr>
          <w:rFonts w:cs="Times New Roman" w:ascii="PT Astra Serif" w:hAnsi="PT Astra Serif"/>
          <w:sz w:val="18"/>
          <w:szCs w:val="18"/>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t>8. ПОРЯДОК ИЗМЕНЕНИЯ И РАСТОРЖЕНИЯ КОНТРАКТА.</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8.1. Любые изменения и дополнения к настоящему Контракта имеют силу только в том случае, если они оформлены в письменном виде и подписаны обеими сторонами.</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 xml:space="preserve">8.2.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 xml:space="preserve">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8.4.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8.5.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8.6.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8.7. Заказчик вправе принять решение об одностороннем отказе от исполнения Контракта в случае, если Поставщик допустил существенное нарушение условий Контракта, в том числе:</w:t>
      </w:r>
    </w:p>
    <w:p>
      <w:pPr>
        <w:pStyle w:val="Normal"/>
        <w:widowControl/>
        <w:numPr>
          <w:ilvl w:val="0"/>
          <w:numId w:val="1"/>
        </w:numPr>
        <w:tabs>
          <w:tab w:val="clear" w:pos="709"/>
          <w:tab w:val="left" w:pos="284" w:leader="none"/>
        </w:tabs>
        <w:suppressAutoHyphens w:val="false"/>
        <w:ind w:firstLine="851" w:left="0"/>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поставки товаров ненадлежащего качества с недостатками, которые не могут быть устранены в приемлемый для Заказчика срок (в том числе с техническими характеристиками, несоответствующими указанным в спецификации к контракту);</w:t>
      </w:r>
    </w:p>
    <w:p>
      <w:pPr>
        <w:pStyle w:val="Normal"/>
        <w:widowControl/>
        <w:numPr>
          <w:ilvl w:val="0"/>
          <w:numId w:val="1"/>
        </w:numPr>
        <w:tabs>
          <w:tab w:val="clear" w:pos="709"/>
          <w:tab w:val="left" w:pos="284" w:leader="none"/>
        </w:tabs>
        <w:suppressAutoHyphens w:val="false"/>
        <w:ind w:firstLine="851" w:left="0"/>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неоднократного (2 и более раз) нарушения Поставщиком сроков поставки товаров.</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8.9. Одностороннее расторжение Контракта осуществляется в соответствии с порядком, установленным частями 8-25 статьи 85 Федерального закона от 05.04.2013 № 44-ФЗ.</w:t>
      </w:r>
    </w:p>
    <w:p>
      <w:pPr>
        <w:pStyle w:val="Norma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8.11. 1.Изменение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pPr>
        <w:pStyle w:val="Normal"/>
        <w:widowContro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8.11.2.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pPr>
        <w:pStyle w:val="Normal"/>
        <w:widowContro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t>8.11.3. В случае перемены заказчика права и обязанности заказчика, предусмотренные контрактом, переходят к новому заказчику.</w:t>
      </w:r>
    </w:p>
    <w:p>
      <w:pPr>
        <w:pStyle w:val="Normal"/>
        <w:widowControl/>
        <w:suppressAutoHyphens w:val="false"/>
        <w:ind w:firstLine="851"/>
        <w:jc w:val="both"/>
        <w:rPr>
          <w:rFonts w:ascii="PT Astra Serif" w:hAnsi="PT Astra Serif" w:eastAsia="Times New Roman" w:cs="Times New Roman"/>
          <w:kern w:val="0"/>
          <w:sz w:val="18"/>
          <w:szCs w:val="18"/>
          <w:lang w:eastAsia="en-US" w:bidi="en-US"/>
        </w:rPr>
      </w:pPr>
      <w:r>
        <w:rPr>
          <w:rFonts w:eastAsia="Times New Roman" w:cs="Times New Roman" w:ascii="PT Astra Serif" w:hAnsi="PT Astra Serif"/>
          <w:kern w:val="0"/>
          <w:sz w:val="18"/>
          <w:szCs w:val="18"/>
          <w:lang w:eastAsia="en-US" w:bidi="en-US"/>
        </w:rPr>
      </w:r>
    </w:p>
    <w:p>
      <w:pPr>
        <w:pStyle w:val="Normal"/>
        <w:widowControl/>
        <w:numPr>
          <w:ilvl w:val="0"/>
          <w:numId w:val="0"/>
        </w:numPr>
        <w:suppressAutoHyphens w:val="false"/>
        <w:ind w:firstLine="851" w:left="0"/>
        <w:jc w:val="center"/>
        <w:outlineLvl w:val="0"/>
        <w:rPr>
          <w:rFonts w:ascii="PT Astra Serif" w:hAnsi="PT Astra Serif" w:eastAsia="Calibri" w:cs="Times New Roman"/>
          <w:b/>
          <w:caps/>
          <w:kern w:val="0"/>
          <w:sz w:val="18"/>
          <w:szCs w:val="18"/>
          <w:lang w:eastAsia="ru-RU" w:bidi="ar-SA"/>
        </w:rPr>
      </w:pPr>
      <w:r>
        <w:rPr>
          <w:rFonts w:eastAsia="Calibri" w:cs="Times New Roman" w:ascii="PT Astra Serif" w:hAnsi="PT Astra Serif"/>
          <w:b/>
          <w:kern w:val="0"/>
          <w:sz w:val="18"/>
          <w:szCs w:val="18"/>
          <w:lang w:eastAsia="ru-RU" w:bidi="ar-SA"/>
        </w:rPr>
        <w:t xml:space="preserve">9. </w:t>
      </w:r>
      <w:r>
        <w:rPr>
          <w:rFonts w:eastAsia="Calibri" w:cs="Times New Roman" w:ascii="PT Astra Serif" w:hAnsi="PT Astra Serif"/>
          <w:b/>
          <w:caps/>
          <w:kern w:val="0"/>
          <w:sz w:val="18"/>
          <w:szCs w:val="18"/>
          <w:lang w:eastAsia="ru-RU" w:bidi="ar-SA"/>
        </w:rPr>
        <w:t>Антикоррупционная оговорка.</w:t>
      </w:r>
    </w:p>
    <w:p>
      <w:pPr>
        <w:pStyle w:val="Normal"/>
        <w:widowControl/>
        <w:suppressAutoHyphens w:val="false"/>
        <w:ind w:firstLine="851"/>
        <w:jc w:val="both"/>
        <w:rPr>
          <w:rFonts w:ascii="PT Astra Serif" w:hAnsi="PT Astra Serif" w:eastAsia="Calibri" w:cs="Times New Roman"/>
          <w:kern w:val="0"/>
          <w:sz w:val="18"/>
          <w:szCs w:val="18"/>
          <w:lang w:eastAsia="ru-RU" w:bidi="ar-SA"/>
        </w:rPr>
      </w:pPr>
      <w:bookmarkStart w:id="1" w:name="Par2"/>
      <w:bookmarkEnd w:id="1"/>
      <w:r>
        <w:rPr>
          <w:rFonts w:eastAsia="Calibri" w:cs="Times New Roman" w:ascii="PT Astra Serif" w:hAnsi="PT Astra Serif"/>
          <w:kern w:val="0"/>
          <w:sz w:val="18"/>
          <w:szCs w:val="18"/>
          <w:lang w:eastAsia="ru-RU" w:bidi="ar-SA"/>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suppressAutoHyphens w:val="false"/>
        <w:ind w:firstLine="851"/>
        <w:jc w:val="both"/>
        <w:rPr>
          <w:rFonts w:ascii="PT Astra Serif" w:hAnsi="PT Astra Serif" w:eastAsia="Calibri" w:cs="Times New Roman"/>
          <w:kern w:val="0"/>
          <w:sz w:val="18"/>
          <w:szCs w:val="18"/>
          <w:lang w:eastAsia="ru-RU" w:bidi="ar-SA"/>
        </w:rPr>
      </w:pPr>
      <w:r>
        <w:rPr>
          <w:rFonts w:eastAsia="Calibri" w:cs="Times New Roman" w:ascii="PT Astra Serif" w:hAnsi="PT Astra Serif"/>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widowControl/>
        <w:suppressAutoHyphens w:val="false"/>
        <w:ind w:firstLine="851"/>
        <w:jc w:val="both"/>
        <w:rPr>
          <w:rFonts w:ascii="PT Astra Serif" w:hAnsi="PT Astra Serif" w:eastAsia="Calibri" w:cs="Times New Roman"/>
          <w:kern w:val="0"/>
          <w:sz w:val="18"/>
          <w:szCs w:val="18"/>
          <w:lang w:eastAsia="ru-RU" w:bidi="ar-SA"/>
        </w:rPr>
      </w:pPr>
      <w:bookmarkStart w:id="2" w:name="Par4"/>
      <w:bookmarkEnd w:id="2"/>
      <w:r>
        <w:rPr>
          <w:rFonts w:eastAsia="Calibri" w:cs="Times New Roman" w:ascii="PT Astra Serif" w:hAnsi="PT Astra Serif"/>
          <w:kern w:val="0"/>
          <w:sz w:val="18"/>
          <w:szCs w:val="18"/>
          <w:lang w:eastAsia="ru-RU" w:bidi="ar-SA"/>
        </w:rPr>
        <w:t xml:space="preserve">9.2. В случае возникновения у Стороны подозрений, что произошло или может произойти нарушение каких-либо положений </w:t>
      </w:r>
      <w:r>
        <w:fldChar w:fldCharType="begin"/>
      </w:r>
      <w:r>
        <w:rPr>
          <w:rStyle w:val="Style8"/>
          <w:sz w:val="18"/>
          <w:u w:val="single"/>
          <w:kern w:val="0"/>
          <w:szCs w:val="18"/>
          <w:rFonts w:eastAsia="Calibri" w:cs="Times New Roman" w:ascii="PT Astra Serif" w:hAnsi="PT Astra Serif"/>
          <w:lang w:eastAsia="ru-RU" w:bidi="ar-SA"/>
        </w:rPr>
        <w:instrText xml:space="preserve"> HYPERLINK "file:///C:/Users/%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Style8"/>
          <w:sz w:val="18"/>
          <w:u w:val="single"/>
          <w:kern w:val="0"/>
          <w:szCs w:val="18"/>
          <w:rFonts w:eastAsia="Calibri" w:cs="Times New Roman" w:ascii="PT Astra Serif" w:hAnsi="PT Astra Serif"/>
          <w:lang w:eastAsia="ru-RU" w:bidi="ar-SA"/>
        </w:rPr>
        <w:fldChar w:fldCharType="separate"/>
      </w:r>
      <w:r>
        <w:rPr>
          <w:rStyle w:val="Style8"/>
          <w:rFonts w:eastAsia="Calibri" w:cs="Times New Roman" w:ascii="PT Astra Serif" w:hAnsi="PT Astra Serif"/>
          <w:kern w:val="0"/>
          <w:sz w:val="18"/>
          <w:szCs w:val="18"/>
          <w:u w:val="single"/>
          <w:lang w:eastAsia="ru-RU" w:bidi="ar-SA"/>
        </w:rPr>
        <w:t>пункта 9.1</w:t>
      </w:r>
      <w:r>
        <w:rPr>
          <w:rStyle w:val="Style8"/>
          <w:sz w:val="18"/>
          <w:u w:val="single"/>
          <w:kern w:val="0"/>
          <w:szCs w:val="18"/>
          <w:rFonts w:eastAsia="Calibri" w:cs="Times New Roman" w:ascii="PT Astra Serif" w:hAnsi="PT Astra Serif"/>
          <w:lang w:eastAsia="ru-RU" w:bidi="ar-SA"/>
        </w:rPr>
        <w:fldChar w:fldCharType="end"/>
      </w:r>
      <w:r>
        <w:rPr>
          <w:rFonts w:eastAsia="Calibri" w:cs="Times New Roman" w:ascii="PT Astra Serif" w:hAnsi="PT Astra Serif"/>
          <w:kern w:val="0"/>
          <w:sz w:val="18"/>
          <w:szCs w:val="18"/>
          <w:lang w:eastAsia="ru-RU" w:bidi="ar-SA"/>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r>
        <w:fldChar w:fldCharType="begin"/>
      </w:r>
      <w:r>
        <w:rPr>
          <w:rStyle w:val="Style8"/>
          <w:sz w:val="18"/>
          <w:u w:val="single"/>
          <w:kern w:val="0"/>
          <w:szCs w:val="18"/>
          <w:rFonts w:eastAsia="Calibri" w:cs="Times New Roman" w:ascii="PT Astra Serif" w:hAnsi="PT Astra Serif"/>
          <w:lang w:eastAsia="ru-RU" w:bidi="ar-SA"/>
        </w:rPr>
        <w:instrText xml:space="preserve"> HYPERLINK "file:///C:/Users/%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Style8"/>
          <w:sz w:val="18"/>
          <w:u w:val="single"/>
          <w:kern w:val="0"/>
          <w:szCs w:val="18"/>
          <w:rFonts w:eastAsia="Calibri" w:cs="Times New Roman" w:ascii="PT Astra Serif" w:hAnsi="PT Astra Serif"/>
          <w:lang w:eastAsia="ru-RU" w:bidi="ar-SA"/>
        </w:rPr>
        <w:fldChar w:fldCharType="separate"/>
      </w:r>
      <w:r>
        <w:rPr>
          <w:rStyle w:val="Style8"/>
          <w:rFonts w:eastAsia="Calibri" w:cs="Times New Roman" w:ascii="PT Astra Serif" w:hAnsi="PT Astra Serif"/>
          <w:kern w:val="0"/>
          <w:sz w:val="18"/>
          <w:szCs w:val="18"/>
          <w:u w:val="single"/>
          <w:lang w:eastAsia="ru-RU" w:bidi="ar-SA"/>
        </w:rPr>
        <w:t>пункта 9.1</w:t>
      </w:r>
      <w:r>
        <w:rPr>
          <w:rStyle w:val="Style8"/>
          <w:sz w:val="18"/>
          <w:u w:val="single"/>
          <w:kern w:val="0"/>
          <w:szCs w:val="18"/>
          <w:rFonts w:eastAsia="Calibri" w:cs="Times New Roman" w:ascii="PT Astra Serif" w:hAnsi="PT Astra Serif"/>
          <w:lang w:eastAsia="ru-RU" w:bidi="ar-SA"/>
        </w:rPr>
        <w:fldChar w:fldCharType="end"/>
      </w:r>
      <w:r>
        <w:rPr>
          <w:rFonts w:eastAsia="Calibri" w:cs="Times New Roman" w:ascii="PT Astra Serif" w:hAnsi="PT Astra Serif"/>
          <w:kern w:val="0"/>
          <w:sz w:val="18"/>
          <w:szCs w:val="18"/>
          <w:lang w:eastAsia="ru-RU" w:bidi="ar-SA"/>
        </w:rPr>
        <w:t xml:space="preserve"> настоящего Контракта другой Стороной, ее аффилированными лицами, работниками или посредниками.</w:t>
      </w:r>
    </w:p>
    <w:p>
      <w:pPr>
        <w:pStyle w:val="Normal"/>
        <w:widowControl/>
        <w:suppressAutoHyphens w:val="false"/>
        <w:ind w:firstLine="851"/>
        <w:jc w:val="both"/>
        <w:rPr>
          <w:rFonts w:ascii="PT Astra Serif" w:hAnsi="PT Astra Serif" w:eastAsia="Calibri" w:cs="Times New Roman"/>
          <w:kern w:val="0"/>
          <w:sz w:val="18"/>
          <w:szCs w:val="18"/>
          <w:lang w:eastAsia="ru-RU" w:bidi="ar-SA"/>
        </w:rPr>
      </w:pPr>
      <w:r>
        <w:rPr>
          <w:rFonts w:eastAsia="Calibri" w:cs="Times New Roman" w:ascii="PT Astra Serif" w:hAnsi="PT Astra Serif"/>
          <w:kern w:val="0"/>
          <w:sz w:val="18"/>
          <w:szCs w:val="18"/>
          <w:lang w:eastAsia="ru-RU" w:bidi="ar-SA"/>
        </w:rPr>
        <w:t xml:space="preserve">Сторона, получившая уведомление о нарушении каких-либо положений </w:t>
      </w:r>
      <w:r>
        <w:fldChar w:fldCharType="begin"/>
      </w:r>
      <w:r>
        <w:rPr>
          <w:rStyle w:val="Style8"/>
          <w:sz w:val="18"/>
          <w:u w:val="single"/>
          <w:kern w:val="0"/>
          <w:szCs w:val="18"/>
          <w:rFonts w:eastAsia="Calibri" w:cs="Times New Roman" w:ascii="PT Astra Serif" w:hAnsi="PT Astra Serif"/>
          <w:lang w:eastAsia="ru-RU" w:bidi="ar-SA"/>
        </w:rPr>
        <w:instrText xml:space="preserve"> HYPERLINK "file:///C:/Users/%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Style8"/>
          <w:sz w:val="18"/>
          <w:u w:val="single"/>
          <w:kern w:val="0"/>
          <w:szCs w:val="18"/>
          <w:rFonts w:eastAsia="Calibri" w:cs="Times New Roman" w:ascii="PT Astra Serif" w:hAnsi="PT Astra Serif"/>
          <w:lang w:eastAsia="ru-RU" w:bidi="ar-SA"/>
        </w:rPr>
        <w:fldChar w:fldCharType="separate"/>
      </w:r>
      <w:r>
        <w:rPr>
          <w:rStyle w:val="Style8"/>
          <w:rFonts w:eastAsia="Calibri" w:cs="Times New Roman" w:ascii="PT Astra Serif" w:hAnsi="PT Astra Serif"/>
          <w:kern w:val="0"/>
          <w:sz w:val="18"/>
          <w:szCs w:val="18"/>
          <w:u w:val="single"/>
          <w:lang w:eastAsia="ru-RU" w:bidi="ar-SA"/>
        </w:rPr>
        <w:t>пункта 9.1</w:t>
      </w:r>
      <w:r>
        <w:rPr>
          <w:rStyle w:val="Style8"/>
          <w:sz w:val="18"/>
          <w:u w:val="single"/>
          <w:kern w:val="0"/>
          <w:szCs w:val="18"/>
          <w:rFonts w:eastAsia="Calibri" w:cs="Times New Roman" w:ascii="PT Astra Serif" w:hAnsi="PT Astra Serif"/>
          <w:lang w:eastAsia="ru-RU" w:bidi="ar-SA"/>
        </w:rPr>
        <w:fldChar w:fldCharType="end"/>
      </w:r>
      <w:r>
        <w:rPr>
          <w:rFonts w:eastAsia="Calibri" w:cs="Times New Roman" w:ascii="PT Astra Serif" w:hAnsi="PT Astra Serif"/>
          <w:kern w:val="0"/>
          <w:sz w:val="18"/>
          <w:szCs w:val="18"/>
          <w:lang w:eastAsia="ru-RU" w:bidi="ar-SA"/>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pPr>
        <w:pStyle w:val="Normal"/>
        <w:widowControl/>
        <w:suppressAutoHyphens w:val="false"/>
        <w:ind w:firstLine="851"/>
        <w:jc w:val="both"/>
        <w:rPr>
          <w:rFonts w:ascii="PT Astra Serif" w:hAnsi="PT Astra Serif" w:eastAsia="Calibri" w:cs="Times New Roman"/>
          <w:kern w:val="0"/>
          <w:sz w:val="18"/>
          <w:szCs w:val="18"/>
          <w:lang w:eastAsia="ru-RU" w:bidi="ar-SA"/>
        </w:rPr>
      </w:pPr>
      <w:r>
        <w:rPr>
          <w:rFonts w:eastAsia="Calibri" w:cs="Times New Roman" w:ascii="PT Astra Serif" w:hAnsi="PT Astra Serif"/>
          <w:kern w:val="0"/>
          <w:sz w:val="18"/>
          <w:szCs w:val="18"/>
          <w:lang w:eastAsia="ru-RU" w:bidi="ar-SA"/>
        </w:rPr>
        <w:t xml:space="preserve">9.3. Стороны гарантируют осуществление надлежащего разбирательства по фактам нарушения положений </w:t>
      </w:r>
      <w:r>
        <w:fldChar w:fldCharType="begin"/>
      </w:r>
      <w:r>
        <w:rPr>
          <w:rStyle w:val="Style8"/>
          <w:sz w:val="18"/>
          <w:u w:val="single"/>
          <w:kern w:val="0"/>
          <w:szCs w:val="18"/>
          <w:rFonts w:eastAsia="Calibri" w:cs="Times New Roman" w:ascii="PT Astra Serif" w:hAnsi="PT Astra Serif"/>
          <w:lang w:eastAsia="ru-RU" w:bidi="ar-SA"/>
        </w:rPr>
        <w:instrText xml:space="preserve"> HYPERLINK "file:///C:/Users/%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Style8"/>
          <w:sz w:val="18"/>
          <w:u w:val="single"/>
          <w:kern w:val="0"/>
          <w:szCs w:val="18"/>
          <w:rFonts w:eastAsia="Calibri" w:cs="Times New Roman" w:ascii="PT Astra Serif" w:hAnsi="PT Astra Serif"/>
          <w:lang w:eastAsia="ru-RU" w:bidi="ar-SA"/>
        </w:rPr>
        <w:fldChar w:fldCharType="separate"/>
      </w:r>
      <w:r>
        <w:rPr>
          <w:rStyle w:val="Style8"/>
          <w:rFonts w:eastAsia="Calibri" w:cs="Times New Roman" w:ascii="PT Astra Serif" w:hAnsi="PT Astra Serif"/>
          <w:kern w:val="0"/>
          <w:sz w:val="18"/>
          <w:szCs w:val="18"/>
          <w:u w:val="single"/>
          <w:lang w:eastAsia="ru-RU" w:bidi="ar-SA"/>
        </w:rPr>
        <w:t>пункта 9.1</w:t>
      </w:r>
      <w:r>
        <w:rPr>
          <w:rStyle w:val="Style8"/>
          <w:sz w:val="18"/>
          <w:u w:val="single"/>
          <w:kern w:val="0"/>
          <w:szCs w:val="18"/>
          <w:rFonts w:eastAsia="Calibri" w:cs="Times New Roman" w:ascii="PT Astra Serif" w:hAnsi="PT Astra Serif"/>
          <w:lang w:eastAsia="ru-RU" w:bidi="ar-SA"/>
        </w:rPr>
        <w:fldChar w:fldCharType="end"/>
      </w:r>
      <w:r>
        <w:rPr>
          <w:rFonts w:eastAsia="Calibri" w:cs="Times New Roman" w:ascii="PT Astra Serif" w:hAnsi="PT Astra Serif"/>
          <w:kern w:val="0"/>
          <w:sz w:val="18"/>
          <w:szCs w:val="18"/>
          <w:lang w:eastAsia="ru-RU" w:bidi="ar-SA"/>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suppressAutoHyphens w:val="false"/>
        <w:ind w:firstLine="851"/>
        <w:jc w:val="both"/>
        <w:rPr>
          <w:rFonts w:ascii="PT Astra Serif" w:hAnsi="PT Astra Serif" w:eastAsia="Calibri" w:cs="Times New Roman"/>
          <w:kern w:val="0"/>
          <w:sz w:val="18"/>
          <w:szCs w:val="18"/>
          <w:lang w:eastAsia="ru-RU" w:bidi="ar-SA"/>
        </w:rPr>
      </w:pPr>
      <w:r>
        <w:rPr>
          <w:rFonts w:eastAsia="Calibri" w:cs="Times New Roman" w:ascii="PT Astra Serif" w:hAnsi="PT Astra Serif"/>
          <w:kern w:val="0"/>
          <w:sz w:val="18"/>
          <w:szCs w:val="18"/>
          <w:lang w:eastAsia="ru-RU" w:bidi="ar-SA"/>
        </w:rPr>
        <w:t xml:space="preserve">9.4. В случае подтверждения факта нарушения одной Стороной положений </w:t>
      </w:r>
      <w:r>
        <w:fldChar w:fldCharType="begin"/>
      </w:r>
      <w:r>
        <w:rPr>
          <w:rStyle w:val="Style8"/>
          <w:sz w:val="18"/>
          <w:u w:val="single"/>
          <w:kern w:val="0"/>
          <w:szCs w:val="18"/>
          <w:rFonts w:eastAsia="Calibri" w:cs="Times New Roman" w:ascii="PT Astra Serif" w:hAnsi="PT Astra Serif"/>
          <w:lang w:eastAsia="ru-RU" w:bidi="ar-SA"/>
        </w:rPr>
        <w:instrText xml:space="preserve"> HYPERLINK "file:///C:/Users/%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Style8"/>
          <w:sz w:val="18"/>
          <w:u w:val="single"/>
          <w:kern w:val="0"/>
          <w:szCs w:val="18"/>
          <w:rFonts w:eastAsia="Calibri" w:cs="Times New Roman" w:ascii="PT Astra Serif" w:hAnsi="PT Astra Serif"/>
          <w:lang w:eastAsia="ru-RU" w:bidi="ar-SA"/>
        </w:rPr>
        <w:fldChar w:fldCharType="separate"/>
      </w:r>
      <w:r>
        <w:rPr>
          <w:rStyle w:val="Style8"/>
          <w:rFonts w:eastAsia="Calibri" w:cs="Times New Roman" w:ascii="PT Astra Serif" w:hAnsi="PT Astra Serif"/>
          <w:kern w:val="0"/>
          <w:sz w:val="18"/>
          <w:szCs w:val="18"/>
          <w:u w:val="single"/>
          <w:lang w:eastAsia="ru-RU" w:bidi="ar-SA"/>
        </w:rPr>
        <w:t>пункта 9.1</w:t>
      </w:r>
      <w:r>
        <w:rPr>
          <w:rStyle w:val="Style8"/>
          <w:sz w:val="18"/>
          <w:u w:val="single"/>
          <w:kern w:val="0"/>
          <w:szCs w:val="18"/>
          <w:rFonts w:eastAsia="Calibri" w:cs="Times New Roman" w:ascii="PT Astra Serif" w:hAnsi="PT Astra Serif"/>
          <w:lang w:eastAsia="ru-RU" w:bidi="ar-SA"/>
        </w:rPr>
        <w:fldChar w:fldCharType="end"/>
      </w:r>
      <w:r>
        <w:rPr>
          <w:rFonts w:eastAsia="Calibri" w:cs="Times New Roman" w:ascii="PT Astra Serif" w:hAnsi="PT Astra Serif"/>
          <w:kern w:val="0"/>
          <w:sz w:val="18"/>
          <w:szCs w:val="18"/>
          <w:lang w:eastAsia="ru-RU" w:bidi="ar-SA"/>
        </w:rPr>
        <w:t xml:space="preserve"> настоящего Контракта и/или неполучения другой Стороной информации об итогах рассмотрения уведомления о нарушении в соответствии с </w:t>
      </w:r>
      <w:r>
        <w:fldChar w:fldCharType="begin"/>
      </w:r>
      <w:r>
        <w:rPr>
          <w:rStyle w:val="Style8"/>
          <w:sz w:val="18"/>
          <w:u w:val="single"/>
          <w:kern w:val="0"/>
          <w:szCs w:val="18"/>
          <w:rFonts w:eastAsia="Calibri" w:cs="Times New Roman" w:ascii="PT Astra Serif" w:hAnsi="PT Astra Serif"/>
          <w:lang w:eastAsia="ru-RU" w:bidi="ar-SA"/>
        </w:rPr>
        <w:instrText xml:space="preserve"> HYPERLINK "file:///C:/Users/%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"Par4"</w:instrText>
      </w:r>
      <w:r>
        <w:rPr>
          <w:rStyle w:val="Style8"/>
          <w:sz w:val="18"/>
          <w:u w:val="single"/>
          <w:kern w:val="0"/>
          <w:szCs w:val="18"/>
          <w:rFonts w:eastAsia="Calibri" w:cs="Times New Roman" w:ascii="PT Astra Serif" w:hAnsi="PT Astra Serif"/>
          <w:lang w:eastAsia="ru-RU" w:bidi="ar-SA"/>
        </w:rPr>
        <w:fldChar w:fldCharType="separate"/>
      </w:r>
      <w:r>
        <w:rPr>
          <w:rStyle w:val="Style8"/>
          <w:rFonts w:eastAsia="Calibri" w:cs="Times New Roman" w:ascii="PT Astra Serif" w:hAnsi="PT Astra Serif"/>
          <w:kern w:val="0"/>
          <w:sz w:val="18"/>
          <w:szCs w:val="18"/>
          <w:u w:val="single"/>
          <w:lang w:eastAsia="ru-RU" w:bidi="ar-SA"/>
        </w:rPr>
        <w:t>пунктом 9.2</w:t>
      </w:r>
      <w:r>
        <w:rPr>
          <w:rStyle w:val="Style8"/>
          <w:sz w:val="18"/>
          <w:u w:val="single"/>
          <w:kern w:val="0"/>
          <w:szCs w:val="18"/>
          <w:rFonts w:eastAsia="Calibri" w:cs="Times New Roman" w:ascii="PT Astra Serif" w:hAnsi="PT Astra Serif"/>
          <w:lang w:eastAsia="ru-RU" w:bidi="ar-SA"/>
        </w:rPr>
        <w:fldChar w:fldCharType="end"/>
      </w:r>
      <w:r>
        <w:rPr>
          <w:rFonts w:eastAsia="Calibri" w:cs="Times New Roman" w:ascii="PT Astra Serif" w:hAnsi="PT Astra Serif"/>
          <w:kern w:val="0"/>
          <w:sz w:val="18"/>
          <w:szCs w:val="18"/>
          <w:lang w:eastAsia="ru-RU" w:bidi="ar-SA"/>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
    <w:p>
      <w:pPr>
        <w:pStyle w:val="Normal"/>
        <w:widowControl/>
        <w:suppressAutoHyphens w:val="false"/>
        <w:ind w:firstLine="851"/>
        <w:jc w:val="both"/>
        <w:rPr>
          <w:rFonts w:ascii="PT Astra Serif" w:hAnsi="PT Astra Serif" w:cs="Times New Roman"/>
          <w:b/>
          <w:sz w:val="18"/>
          <w:szCs w:val="18"/>
        </w:rPr>
      </w:pPr>
      <w:r>
        <w:rPr>
          <w:rFonts w:cs="Times New Roman" w:ascii="PT Astra Serif" w:hAnsi="PT Astra Serif"/>
          <w:b/>
          <w:sz w:val="18"/>
          <w:szCs w:val="18"/>
        </w:rPr>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t>10. ДЕЙСТВИЕ ОБСТОЯТЕЛЬСТВ НЕПРЕОДОЛИМОЙ СИЛЫ.</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pPr>
        <w:pStyle w:val="Normal"/>
        <w:widowControl/>
        <w:ind w:firstLine="851"/>
        <w:jc w:val="both"/>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sz w:val="18"/>
          <w:szCs w:val="18"/>
          <w:lang w:eastAsia="ar-SA" w:bidi="ar-SA"/>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pPr>
        <w:pStyle w:val="Normal"/>
        <w:widowControl/>
        <w:ind w:firstLine="851"/>
        <w:jc w:val="center"/>
        <w:textAlignment w:val="baseline"/>
        <w:rPr>
          <w:rFonts w:ascii="PT Astra Serif" w:hAnsi="PT Astra Serif" w:eastAsia="Times New Roman" w:cs="Times New Roman"/>
          <w:b/>
          <w:sz w:val="18"/>
          <w:szCs w:val="18"/>
          <w:lang w:eastAsia="ar-SA" w:bidi="ar-SA"/>
        </w:rPr>
      </w:pPr>
      <w:r>
        <w:rPr>
          <w:rFonts w:eastAsia="Times New Roman" w:cs="Times New Roman" w:ascii="PT Astra Serif" w:hAnsi="PT Astra Serif"/>
          <w:b/>
          <w:sz w:val="18"/>
          <w:szCs w:val="18"/>
          <w:lang w:eastAsia="ar-SA" w:bidi="ar-SA"/>
        </w:rPr>
        <w:t>11. ЗАКЛЮЧИТЕЛЬНЫЕ ПОЛОЖЕНИЯ.</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11.1. Контракт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11.2. Все предусмотренные Контрактом заявления, извещения, отчёты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или электронной почте по номерам и адресу, указанным в Контракте. При этом стороны устанавливают, что документы, полученные посредством факсимильной связи и электронной почте, подлежат обязательному представлению обязанной Стороной в течение десяти календарных дней с момента их отправки по факсу или электронной почте.</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11.3. Настоящий контракт вступает в силу с момента подписания его Сторонами и действует по 31.12.2026 г.,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11.4. Окончание срока действия Контракта не освобождает Стороны от ответственности за его нарушение.</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11.6. Во всем, что не предусмотрено настоящим контрактом, стороны руководствуются действующим законодательством Российской Федерации.</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xml:space="preserve">11.7. Приложения, указанные в настоящем контракте, являются его неотъемлемой частью: </w:t>
      </w:r>
    </w:p>
    <w:p>
      <w:pPr>
        <w:pStyle w:val="Normal"/>
        <w:widowControl/>
        <w:ind w:firstLine="851"/>
        <w:jc w:val="both"/>
        <w:textAlignment w:val="baseline"/>
        <w:rPr>
          <w:rFonts w:ascii="PT Astra Serif" w:hAnsi="PT Astra Serif" w:eastAsia="Times New Roman" w:cs="Times New Roman"/>
          <w:sz w:val="18"/>
          <w:szCs w:val="18"/>
          <w:lang w:eastAsia="ar-SA" w:bidi="ar-SA"/>
        </w:rPr>
      </w:pPr>
      <w:r>
        <w:rPr>
          <w:rFonts w:eastAsia="Times New Roman" w:cs="Times New Roman" w:ascii="PT Astra Serif" w:hAnsi="PT Astra Serif"/>
          <w:sz w:val="18"/>
          <w:szCs w:val="18"/>
          <w:lang w:eastAsia="ar-SA" w:bidi="ar-SA"/>
        </w:rPr>
        <w:t>- Приложение №1 – спецификация</w:t>
      </w:r>
    </w:p>
    <w:p>
      <w:pPr>
        <w:pStyle w:val="12"/>
        <w:spacing w:lineRule="auto" w:line="240"/>
        <w:ind w:firstLine="851"/>
        <w:jc w:val="center"/>
        <w:rPr>
          <w:rFonts w:ascii="PT Astra Serif" w:hAnsi="PT Astra Serif"/>
          <w:b/>
          <w:sz w:val="18"/>
          <w:szCs w:val="18"/>
        </w:rPr>
      </w:pPr>
      <w:r>
        <w:rPr>
          <w:rFonts w:ascii="PT Astra Serif" w:hAnsi="PT Astra Serif"/>
          <w:b/>
          <w:sz w:val="18"/>
          <w:szCs w:val="18"/>
        </w:rPr>
      </w:r>
    </w:p>
    <w:p>
      <w:pPr>
        <w:pStyle w:val="12"/>
        <w:spacing w:lineRule="auto" w:line="240"/>
        <w:ind w:firstLine="851"/>
        <w:jc w:val="center"/>
        <w:rPr>
          <w:rFonts w:ascii="PT Astra Serif" w:hAnsi="PT Astra Serif"/>
          <w:b/>
          <w:sz w:val="18"/>
          <w:szCs w:val="18"/>
        </w:rPr>
      </w:pPr>
      <w:r>
        <w:rPr>
          <w:rFonts w:ascii="PT Astra Serif" w:hAnsi="PT Astra Serif"/>
          <w:b/>
          <w:sz w:val="18"/>
          <w:szCs w:val="18"/>
        </w:rPr>
        <w:t>12. ЮРИДИЧЕСКИЕ АДРЕСА, БАНКОВСКИЕ РЕКВИЗИТЫ</w:t>
      </w:r>
    </w:p>
    <w:p>
      <w:pPr>
        <w:pStyle w:val="12"/>
        <w:spacing w:lineRule="auto" w:line="240"/>
        <w:ind w:firstLine="851"/>
        <w:jc w:val="center"/>
        <w:rPr>
          <w:rFonts w:ascii="PT Astra Serif" w:hAnsi="PT Astra Serif"/>
          <w:b/>
          <w:sz w:val="18"/>
          <w:szCs w:val="18"/>
        </w:rPr>
      </w:pPr>
      <w:r>
        <w:rPr>
          <w:rFonts w:ascii="PT Astra Serif" w:hAnsi="PT Astra Serif"/>
          <w:b/>
          <w:sz w:val="18"/>
          <w:szCs w:val="18"/>
        </w:rPr>
        <w:t>И ПОДПИСИ СТОРОН:</w:t>
      </w:r>
    </w:p>
    <w:p>
      <w:pPr>
        <w:pStyle w:val="12"/>
        <w:spacing w:lineRule="auto" w:line="240"/>
        <w:ind w:firstLine="851"/>
        <w:jc w:val="center"/>
        <w:rPr>
          <w:rFonts w:ascii="PT Astra Serif" w:hAnsi="PT Astra Serif"/>
          <w:b/>
          <w:sz w:val="18"/>
          <w:szCs w:val="18"/>
        </w:rPr>
      </w:pPr>
      <w:r>
        <w:rPr>
          <w:rFonts w:ascii="PT Astra Serif" w:hAnsi="PT Astra Serif"/>
          <w:b/>
          <w:sz w:val="18"/>
          <w:szCs w:val="18"/>
        </w:rPr>
      </w:r>
    </w:p>
    <w:tbl>
      <w:tblPr>
        <w:tblW w:w="10137"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5068"/>
        <w:gridCol w:w="5068"/>
      </w:tblGrid>
      <w:tr>
        <w:trPr>
          <w:trHeight w:val="6514" w:hRule="atLeast"/>
        </w:trPr>
        <w:tc>
          <w:tcPr>
            <w:tcW w:w="5068" w:type="dxa"/>
            <w:tcBorders/>
            <w:shd w:color="auto" w:fill="auto" w:val="clear"/>
          </w:tcPr>
          <w:p>
            <w:pPr>
              <w:pStyle w:val="Normal"/>
              <w:rPr>
                <w:rFonts w:ascii="PT Astra Serif" w:hAnsi="PT Astra Serif"/>
                <w:sz w:val="18"/>
                <w:szCs w:val="18"/>
              </w:rPr>
            </w:pPr>
            <w:r>
              <w:rPr>
                <w:rFonts w:ascii="PT Astra Serif" w:hAnsi="PT Astra Serif"/>
                <w:sz w:val="18"/>
                <w:szCs w:val="18"/>
              </w:rPr>
              <w:t>Заказчик:</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Государственное учреждение здравоохранения «Центральная клиническая медико-санитарная часть имени заслуженного врача России В.А. Егорова»</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432008 г.Ульяновск, ул. Лихачева,12</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Тел.:48-19-48, факс: 48-19-48</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Министерство финансов Ульяновской</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Области ГУЗ ЦКМСЧ им.В.А. Егорова,</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л/с 20261136В30)</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РЕКВИЗИТЫ:</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ИНН 7327025214</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КПП 732701001</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ОКЦ №5 ВВГУ Банка России//</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УФК по Ульяновской области г.Ульяновск</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Банковский счет 40102810645370000061</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Казначейский счет 03224643730000006801</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БИК 017308101</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Заместитель главного врача по финансово-</w:t>
            </w:r>
          </w:p>
          <w:p>
            <w:pPr>
              <w:pStyle w:val="Normal"/>
              <w:widowControl/>
              <w:suppressAutoHyphens w:val="false"/>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экономическим вопросам</w:t>
            </w:r>
          </w:p>
          <w:p>
            <w:pPr>
              <w:pStyle w:val="Normal"/>
              <w:shd w:val="clear" w:color="auto" w:fill="FFFFFF"/>
              <w:suppressAutoHyphens w:val="false"/>
              <w:ind w:right="-94"/>
              <w:jc w:val="both"/>
              <w:rPr>
                <w:rFonts w:ascii="PT Astra Serif" w:hAnsi="PT Astra Serif" w:eastAsia="Times New Roman" w:cs="Times New Roman"/>
                <w:kern w:val="0"/>
                <w:sz w:val="18"/>
                <w:szCs w:val="18"/>
                <w:lang w:eastAsia="ru-RU" w:bidi="ar-SA"/>
              </w:rPr>
            </w:pPr>
            <w:r>
              <w:rPr>
                <w:rFonts w:eastAsia="Times New Roman" w:cs="Times New Roman" w:ascii="PT Astra Serif" w:hAnsi="PT Astra Serif"/>
                <w:kern w:val="0"/>
                <w:sz w:val="18"/>
                <w:szCs w:val="18"/>
                <w:lang w:eastAsia="ru-RU" w:bidi="ar-SA"/>
              </w:rPr>
              <w:t>_____________________ /Зюнова М.В./</w:t>
            </w:r>
          </w:p>
          <w:p>
            <w:pPr>
              <w:pStyle w:val="Normal"/>
              <w:rPr>
                <w:rFonts w:ascii="PT Astra Serif" w:hAnsi="PT Astra Serif"/>
                <w:sz w:val="18"/>
                <w:szCs w:val="18"/>
              </w:rPr>
            </w:pPr>
            <w:r>
              <w:rPr>
                <w:rFonts w:eastAsia="Times New Roman" w:cs="Times New Roman" w:ascii="PT Astra Serif" w:hAnsi="PT Astra Serif"/>
                <w:caps/>
                <w:kern w:val="0"/>
                <w:sz w:val="18"/>
                <w:szCs w:val="18"/>
                <w:lang w:eastAsia="ru-RU" w:bidi="ar-SA"/>
              </w:rPr>
              <w:t>М.П.</w:t>
            </w:r>
          </w:p>
          <w:p>
            <w:pPr>
              <w:pStyle w:val="Normal"/>
              <w:rPr>
                <w:rFonts w:ascii="PT Astra Serif" w:hAnsi="PT Astra Serif"/>
                <w:sz w:val="18"/>
                <w:szCs w:val="18"/>
              </w:rPr>
            </w:pPr>
            <w:r>
              <w:rPr>
                <w:rFonts w:ascii="PT Astra Serif" w:hAnsi="PT Astra Serif"/>
                <w:sz w:val="18"/>
                <w:szCs w:val="18"/>
              </w:rPr>
            </w:r>
          </w:p>
        </w:tc>
        <w:tc>
          <w:tcPr>
            <w:tcW w:w="5068" w:type="dxa"/>
            <w:tcBorders/>
            <w:shd w:color="auto" w:fill="auto" w:val="clear"/>
          </w:tcPr>
          <w:p>
            <w:pPr>
              <w:pStyle w:val="Normal"/>
              <w:rPr>
                <w:rFonts w:ascii="PT Astra Serif" w:hAnsi="PT Astra Serif"/>
                <w:sz w:val="18"/>
                <w:szCs w:val="18"/>
              </w:rPr>
            </w:pPr>
            <w:r>
              <w:rPr>
                <w:rFonts w:ascii="PT Astra Serif" w:hAnsi="PT Astra Serif"/>
                <w:sz w:val="18"/>
                <w:szCs w:val="18"/>
              </w:rPr>
              <w:t>Поставщик:</w:t>
            </w:r>
          </w:p>
          <w:p>
            <w:pPr>
              <w:pStyle w:val="Normal"/>
              <w:rPr>
                <w:rFonts w:ascii="PT Astra Serif" w:hAnsi="PT Astra Serif"/>
                <w:sz w:val="18"/>
                <w:szCs w:val="18"/>
              </w:rPr>
            </w:pPr>
            <w:r>
              <w:rPr>
                <w:rFonts w:ascii="PT Astra Serif" w:hAnsi="PT Astra Serif"/>
                <w:sz w:val="18"/>
                <w:szCs w:val="18"/>
              </w:rPr>
              <w:t>_</w:t>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t>___________________/ ___ /</w:t>
            </w:r>
          </w:p>
          <w:p>
            <w:pPr>
              <w:pStyle w:val="Normal"/>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М.П.</w:t>
            </w:r>
            <w:bookmarkStart w:id="3" w:name="_GoBack"/>
            <w:bookmarkEnd w:id="3"/>
          </w:p>
        </w:tc>
      </w:tr>
    </w:tbl>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pStyle w:val="Normal"/>
        <w:rPr>
          <w:rFonts w:ascii="PT Astra Serif" w:hAnsi="PT Astra Serif"/>
          <w:sz w:val="18"/>
          <w:szCs w:val="18"/>
        </w:rPr>
      </w:pPr>
      <w:r>
        <w:rPr>
          <w:rFonts w:ascii="PT Astra Serif" w:hAnsi="PT Astra Serif"/>
          <w:sz w:val="18"/>
          <w:szCs w:val="18"/>
        </w:rPr>
      </w:r>
    </w:p>
    <w:p>
      <w:pPr>
        <w:sectPr>
          <w:type w:val="nextPage"/>
          <w:pgSz w:w="11906" w:h="16838"/>
          <w:pgMar w:left="1134" w:right="567" w:gutter="0" w:header="0" w:top="567" w:footer="0" w:bottom="425"/>
          <w:pgNumType w:fmt="decimal"/>
          <w:formProt w:val="false"/>
          <w:textDirection w:val="lrTb"/>
          <w:docGrid w:type="default" w:linePitch="100" w:charSpace="0"/>
        </w:sectPr>
        <w:pStyle w:val="Normal"/>
        <w:tabs>
          <w:tab w:val="clear" w:pos="709"/>
          <w:tab w:val="left" w:pos="2717" w:leader="none"/>
        </w:tabs>
        <w:rPr>
          <w:rFonts w:ascii="PT Astra Serif" w:hAnsi="PT Astra Serif"/>
          <w:sz w:val="18"/>
          <w:szCs w:val="18"/>
        </w:rPr>
      </w:pPr>
      <w:r>
        <w:rPr>
          <w:rFonts w:ascii="PT Astra Serif" w:hAnsi="PT Astra Serif"/>
          <w:sz w:val="18"/>
          <w:szCs w:val="18"/>
        </w:rPr>
        <w:tab/>
      </w:r>
    </w:p>
    <w:p>
      <w:pPr>
        <w:pStyle w:val="Normal"/>
        <w:jc w:val="right"/>
        <w:rPr>
          <w:rFonts w:ascii="PT Astra Serif" w:hAnsi="PT Astra Serif"/>
          <w:bCs/>
          <w:sz w:val="16"/>
          <w:szCs w:val="20"/>
        </w:rPr>
      </w:pPr>
      <w:r>
        <w:rPr>
          <w:rFonts w:ascii="PT Astra Serif" w:hAnsi="PT Astra Serif"/>
          <w:bCs/>
          <w:sz w:val="16"/>
          <w:szCs w:val="20"/>
        </w:rPr>
        <w:t>Приложение № 1</w:t>
      </w:r>
    </w:p>
    <w:p>
      <w:pPr>
        <w:pStyle w:val="Normal"/>
        <w:jc w:val="right"/>
        <w:rPr>
          <w:rFonts w:ascii="PT Astra Serif" w:hAnsi="PT Astra Serif"/>
          <w:bCs/>
          <w:sz w:val="16"/>
          <w:szCs w:val="20"/>
        </w:rPr>
      </w:pPr>
      <w:r>
        <w:rPr>
          <w:rFonts w:ascii="PT Astra Serif" w:hAnsi="PT Astra Serif"/>
          <w:bCs/>
          <w:sz w:val="16"/>
          <w:szCs w:val="20"/>
        </w:rPr>
        <w:t xml:space="preserve">                                                                                                                                                                                  </w:t>
      </w:r>
      <w:r>
        <w:rPr>
          <w:rFonts w:ascii="PT Astra Serif" w:hAnsi="PT Astra Serif"/>
          <w:bCs/>
          <w:sz w:val="16"/>
          <w:szCs w:val="20"/>
        </w:rPr>
        <w:t>к Контракту №</w:t>
      </w:r>
      <w:r>
        <w:rPr>
          <w:sz w:val="20"/>
        </w:rPr>
        <w:t xml:space="preserve"> </w:t>
      </w:r>
      <w:r>
        <w:rPr>
          <w:rFonts w:ascii="PT Astra Serif" w:hAnsi="PT Astra Serif"/>
          <w:bCs/>
          <w:sz w:val="16"/>
          <w:szCs w:val="20"/>
        </w:rPr>
        <w:t>_</w:t>
      </w:r>
      <w:r>
        <w:rPr>
          <w:rFonts w:ascii="PT Astra Serif" w:hAnsi="PT Astra Serif"/>
          <w:sz w:val="16"/>
          <w:szCs w:val="20"/>
        </w:rPr>
        <w:t xml:space="preserve">   </w:t>
      </w:r>
      <w:r>
        <w:rPr>
          <w:rFonts w:ascii="PT Astra Serif" w:hAnsi="PT Astra Serif"/>
          <w:bCs/>
          <w:sz w:val="16"/>
          <w:szCs w:val="20"/>
        </w:rPr>
        <w:t xml:space="preserve"> </w:t>
      </w:r>
    </w:p>
    <w:p>
      <w:pPr>
        <w:pStyle w:val="Normal"/>
        <w:spacing w:lineRule="atLeast" w:line="100"/>
        <w:jc w:val="right"/>
        <w:rPr>
          <w:rFonts w:ascii="PT Astra Serif" w:hAnsi="PT Astra Serif"/>
          <w:bCs/>
          <w:sz w:val="16"/>
          <w:szCs w:val="20"/>
        </w:rPr>
      </w:pPr>
      <w:r>
        <w:rPr>
          <w:rFonts w:ascii="PT Astra Serif" w:hAnsi="PT Astra Serif"/>
          <w:bCs/>
          <w:sz w:val="16"/>
          <w:szCs w:val="20"/>
        </w:rPr>
        <w:t>от «__» ___2026 г.</w:t>
      </w:r>
    </w:p>
    <w:p>
      <w:pPr>
        <w:pStyle w:val="Normal"/>
        <w:spacing w:lineRule="atLeast" w:line="100"/>
        <w:jc w:val="right"/>
        <w:rPr>
          <w:rFonts w:ascii="PT Astra Serif" w:hAnsi="PT Astra Serif"/>
          <w:bCs/>
          <w:sz w:val="20"/>
          <w:szCs w:val="20"/>
        </w:rPr>
      </w:pPr>
      <w:r>
        <w:rPr>
          <w:rFonts w:ascii="PT Astra Serif" w:hAnsi="PT Astra Serif"/>
          <w:bCs/>
          <w:sz w:val="20"/>
          <w:szCs w:val="20"/>
        </w:rPr>
      </w:r>
    </w:p>
    <w:p>
      <w:pPr>
        <w:pStyle w:val="Normal"/>
        <w:shd w:val="clear" w:color="auto" w:fill="FFFFFF"/>
        <w:tabs>
          <w:tab w:val="clear" w:pos="709"/>
          <w:tab w:val="left" w:pos="2266" w:leader="underscore"/>
        </w:tabs>
        <w:spacing w:lineRule="atLeast" w:line="100"/>
        <w:jc w:val="center"/>
        <w:rPr>
          <w:rFonts w:ascii="PT Astra Serif" w:hAnsi="PT Astra Serif"/>
          <w:b/>
          <w:caps/>
          <w:sz w:val="20"/>
          <w:szCs w:val="20"/>
        </w:rPr>
      </w:pPr>
      <w:r>
        <w:rPr>
          <w:rFonts w:ascii="PT Astra Serif" w:hAnsi="PT Astra Serif"/>
          <w:b/>
          <w:caps/>
          <w:sz w:val="20"/>
          <w:szCs w:val="20"/>
        </w:rPr>
        <w:t>СПЕЦИФИКАЦИЯ</w:t>
      </w:r>
    </w:p>
    <w:p>
      <w:pPr>
        <w:pStyle w:val="Normal"/>
        <w:shd w:val="clear" w:color="auto" w:fill="FFFFFF"/>
        <w:tabs>
          <w:tab w:val="clear" w:pos="709"/>
          <w:tab w:val="left" w:pos="2266" w:leader="underscore"/>
        </w:tabs>
        <w:spacing w:lineRule="atLeast" w:line="100"/>
        <w:jc w:val="center"/>
        <w:rPr>
          <w:rFonts w:ascii="PT Astra Serif" w:hAnsi="PT Astra Serif"/>
          <w:b/>
          <w:caps/>
          <w:sz w:val="20"/>
          <w:szCs w:val="20"/>
        </w:rPr>
      </w:pPr>
      <w:r>
        <w:rPr>
          <w:rFonts w:ascii="PT Astra Serif" w:hAnsi="PT Astra Serif"/>
          <w:b/>
          <w:caps/>
          <w:sz w:val="20"/>
          <w:szCs w:val="20"/>
        </w:rPr>
      </w:r>
    </w:p>
    <w:tbl>
      <w:tblPr>
        <w:tblW w:w="15281" w:type="dxa"/>
        <w:jc w:val="left"/>
        <w:tblInd w:w="675" w:type="dxa"/>
        <w:tblLayout w:type="fixed"/>
        <w:tblCellMar>
          <w:top w:w="0" w:type="dxa"/>
          <w:left w:w="108" w:type="dxa"/>
          <w:bottom w:w="0" w:type="dxa"/>
          <w:right w:w="108" w:type="dxa"/>
        </w:tblCellMar>
        <w:tblLook w:firstRow="1" w:noVBand="1" w:lastRow="0" w:firstColumn="1" w:lastColumn="0" w:noHBand="0" w:val="04a0"/>
      </w:tblPr>
      <w:tblGrid>
        <w:gridCol w:w="426"/>
        <w:gridCol w:w="2268"/>
        <w:gridCol w:w="1416"/>
        <w:gridCol w:w="4679"/>
        <w:gridCol w:w="2552"/>
        <w:gridCol w:w="851"/>
        <w:gridCol w:w="850"/>
        <w:gridCol w:w="993"/>
        <w:gridCol w:w="1244"/>
      </w:tblGrid>
      <w:tr>
        <w:trPr>
          <w:trHeight w:val="172" w:hRule="atLeast"/>
        </w:trPr>
        <w:tc>
          <w:tcPr>
            <w:tcW w:w="42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 xml:space="preserve">№ </w:t>
            </w:r>
            <w:r>
              <w:rPr>
                <w:sz w:val="20"/>
                <w:szCs w:val="20"/>
              </w:rPr>
              <w:t>п/п</w:t>
            </w:r>
          </w:p>
        </w:tc>
        <w:tc>
          <w:tcPr>
            <w:tcW w:w="2268"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Наименование Товара, страна происхождения</w:t>
            </w:r>
          </w:p>
          <w:p>
            <w:pPr>
              <w:pStyle w:val="Normal"/>
              <w:jc w:val="center"/>
              <w:rPr>
                <w:sz w:val="20"/>
                <w:szCs w:val="20"/>
              </w:rPr>
            </w:pPr>
            <w:r>
              <w:rPr>
                <w:sz w:val="20"/>
                <w:szCs w:val="20"/>
              </w:rPr>
              <w:t>и производитель, РУ</w:t>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Код позиции</w:t>
            </w:r>
          </w:p>
        </w:tc>
        <w:tc>
          <w:tcPr>
            <w:tcW w:w="7231"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Функциональные характеристики (потребительские свойства) Товара</w:t>
            </w:r>
          </w:p>
        </w:tc>
        <w:tc>
          <w:tcPr>
            <w:tcW w:w="851"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Ед. изм. товара</w:t>
            </w:r>
          </w:p>
        </w:tc>
        <w:tc>
          <w:tcPr>
            <w:tcW w:w="85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Кол-во</w:t>
            </w:r>
          </w:p>
        </w:tc>
        <w:tc>
          <w:tcPr>
            <w:tcW w:w="99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Цена за ед., руб.</w:t>
            </w:r>
          </w:p>
        </w:tc>
        <w:tc>
          <w:tcPr>
            <w:tcW w:w="124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Сумма, руб.</w:t>
            </w:r>
          </w:p>
        </w:tc>
      </w:tr>
      <w:tr>
        <w:trPr>
          <w:trHeight w:val="68" w:hRule="atLeast"/>
        </w:trPr>
        <w:tc>
          <w:tcPr>
            <w:tcW w:w="42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w:t>
            </w:r>
          </w:p>
        </w:tc>
        <w:tc>
          <w:tcPr>
            <w:tcW w:w="2268"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2</w:t>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3</w:t>
            </w:r>
          </w:p>
        </w:tc>
        <w:tc>
          <w:tcPr>
            <w:tcW w:w="467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w:t>
            </w:r>
          </w:p>
        </w:tc>
        <w:tc>
          <w:tcPr>
            <w:tcW w:w="2552" w:type="dxa"/>
            <w:tcBorders>
              <w:top w:val="single" w:sz="4" w:space="0" w:color="000000"/>
              <w:left w:val="single" w:sz="4" w:space="0" w:color="000000"/>
              <w:bottom w:val="single" w:sz="4" w:space="0" w:color="000000"/>
            </w:tcBorders>
          </w:tcPr>
          <w:p>
            <w:pPr>
              <w:pStyle w:val="Normal"/>
              <w:jc w:val="center"/>
              <w:rPr>
                <w:sz w:val="20"/>
                <w:szCs w:val="20"/>
              </w:rPr>
            </w:pPr>
            <w:r>
              <w:rPr>
                <w:sz w:val="20"/>
                <w:szCs w:val="20"/>
              </w:rPr>
              <w:t>5</w:t>
            </w:r>
          </w:p>
        </w:tc>
        <w:tc>
          <w:tcPr>
            <w:tcW w:w="851"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6</w:t>
            </w:r>
          </w:p>
        </w:tc>
        <w:tc>
          <w:tcPr>
            <w:tcW w:w="850"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7</w:t>
            </w:r>
          </w:p>
        </w:tc>
        <w:tc>
          <w:tcPr>
            <w:tcW w:w="99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8</w:t>
            </w:r>
          </w:p>
        </w:tc>
        <w:tc>
          <w:tcPr>
            <w:tcW w:w="124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w:t>
            </w:r>
          </w:p>
        </w:tc>
      </w:tr>
      <w:tr>
        <w:trPr>
          <w:trHeight w:val="23" w:hRule="atLeast"/>
        </w:trPr>
        <w:tc>
          <w:tcPr>
            <w:tcW w:w="426" w:type="dxa"/>
            <w:tcBorders>
              <w:top w:val="single" w:sz="4" w:space="0" w:color="000000"/>
              <w:left w:val="single" w:sz="4" w:space="0" w:color="000000"/>
            </w:tcBorders>
          </w:tcPr>
          <w:p>
            <w:pPr>
              <w:pStyle w:val="Normal"/>
              <w:jc w:val="both"/>
              <w:rPr>
                <w:sz w:val="20"/>
                <w:szCs w:val="20"/>
              </w:rPr>
            </w:pPr>
            <w:r>
              <w:rPr>
                <w:sz w:val="20"/>
                <w:szCs w:val="20"/>
              </w:rPr>
            </w:r>
          </w:p>
        </w:tc>
        <w:tc>
          <w:tcPr>
            <w:tcW w:w="2268" w:type="dxa"/>
            <w:tcBorders>
              <w:top w:val="single" w:sz="4" w:space="0" w:color="000000"/>
              <w:left w:val="single" w:sz="4" w:space="0" w:color="000000"/>
            </w:tcBorders>
          </w:tcPr>
          <w:p>
            <w:pPr>
              <w:pStyle w:val="Normal"/>
              <w:jc w:val="both"/>
              <w:rPr>
                <w:sz w:val="20"/>
                <w:szCs w:val="20"/>
              </w:rPr>
            </w:pPr>
            <w:r>
              <w:rPr>
                <w:sz w:val="20"/>
                <w:szCs w:val="20"/>
              </w:rPr>
            </w:r>
          </w:p>
        </w:tc>
        <w:tc>
          <w:tcPr>
            <w:tcW w:w="1416" w:type="dxa"/>
            <w:tcBorders>
              <w:top w:val="single" w:sz="4" w:space="0" w:color="000000"/>
              <w:left w:val="single" w:sz="4" w:space="0" w:color="000000"/>
              <w:right w:val="single" w:sz="4" w:space="0" w:color="000000"/>
            </w:tcBorders>
          </w:tcPr>
          <w:p>
            <w:pPr>
              <w:pStyle w:val="Normal"/>
              <w:jc w:val="both"/>
              <w:rPr>
                <w:sz w:val="20"/>
                <w:szCs w:val="20"/>
              </w:rPr>
            </w:pPr>
            <w:r>
              <w:rPr>
                <w:sz w:val="20"/>
                <w:szCs w:val="20"/>
              </w:rPr>
            </w:r>
          </w:p>
        </w:tc>
        <w:tc>
          <w:tcPr>
            <w:tcW w:w="4679" w:type="dxa"/>
            <w:tcBorders>
              <w:top w:val="single" w:sz="4" w:space="0" w:color="000000"/>
              <w:left w:val="single" w:sz="4" w:space="0" w:color="000000"/>
              <w:bottom w:val="single" w:sz="4" w:space="0" w:color="000000"/>
            </w:tcBorders>
          </w:tcPr>
          <w:p>
            <w:pPr>
              <w:pStyle w:val="Normal"/>
              <w:rPr>
                <w:sz w:val="16"/>
                <w:szCs w:val="16"/>
              </w:rPr>
            </w:pPr>
            <w:r>
              <w:rPr>
                <w:sz w:val="16"/>
                <w:szCs w:val="16"/>
              </w:rPr>
            </w:r>
          </w:p>
        </w:tc>
        <w:tc>
          <w:tcPr>
            <w:tcW w:w="2552" w:type="dxa"/>
            <w:tcBorders>
              <w:top w:val="single" w:sz="4" w:space="0" w:color="000000"/>
              <w:left w:val="single" w:sz="4" w:space="0" w:color="000000"/>
              <w:bottom w:val="single" w:sz="4" w:space="0" w:color="000000"/>
            </w:tcBorders>
          </w:tcPr>
          <w:p>
            <w:pPr>
              <w:pStyle w:val="Normal"/>
              <w:rPr>
                <w:sz w:val="16"/>
                <w:szCs w:val="16"/>
              </w:rPr>
            </w:pPr>
            <w:r>
              <w:rPr>
                <w:sz w:val="16"/>
                <w:szCs w:val="16"/>
              </w:rPr>
            </w:r>
          </w:p>
        </w:tc>
        <w:tc>
          <w:tcPr>
            <w:tcW w:w="851" w:type="dxa"/>
            <w:tcBorders>
              <w:top w:val="single" w:sz="4" w:space="0" w:color="000000"/>
              <w:left w:val="single" w:sz="4" w:space="0" w:color="000000"/>
            </w:tcBorders>
          </w:tcPr>
          <w:p>
            <w:pPr>
              <w:pStyle w:val="Normal"/>
              <w:jc w:val="center"/>
              <w:rPr>
                <w:sz w:val="20"/>
                <w:szCs w:val="20"/>
              </w:rPr>
            </w:pPr>
            <w:r>
              <w:rPr>
                <w:sz w:val="20"/>
                <w:szCs w:val="20"/>
              </w:rPr>
            </w:r>
          </w:p>
        </w:tc>
        <w:tc>
          <w:tcPr>
            <w:tcW w:w="850" w:type="dxa"/>
            <w:tcBorders>
              <w:top w:val="single" w:sz="4" w:space="0" w:color="000000"/>
              <w:left w:val="single" w:sz="4" w:space="0" w:color="000000"/>
            </w:tcBorders>
          </w:tcPr>
          <w:p>
            <w:pPr>
              <w:pStyle w:val="Normal"/>
              <w:jc w:val="center"/>
              <w:rPr>
                <w:sz w:val="20"/>
                <w:szCs w:val="20"/>
              </w:rPr>
            </w:pPr>
            <w:r>
              <w:rPr>
                <w:sz w:val="20"/>
                <w:szCs w:val="20"/>
              </w:rPr>
            </w:r>
          </w:p>
        </w:tc>
        <w:tc>
          <w:tcPr>
            <w:tcW w:w="993" w:type="dxa"/>
            <w:tcBorders>
              <w:top w:val="single" w:sz="4" w:space="0" w:color="000000"/>
              <w:left w:val="single" w:sz="4" w:space="0" w:color="000000"/>
            </w:tcBorders>
          </w:tcPr>
          <w:p>
            <w:pPr>
              <w:pStyle w:val="Normal"/>
              <w:jc w:val="both"/>
              <w:rPr>
                <w:sz w:val="20"/>
                <w:szCs w:val="20"/>
              </w:rPr>
            </w:pPr>
            <w:r>
              <w:rPr>
                <w:sz w:val="20"/>
                <w:szCs w:val="20"/>
              </w:rPr>
            </w:r>
          </w:p>
        </w:tc>
        <w:tc>
          <w:tcPr>
            <w:tcW w:w="1244" w:type="dxa"/>
            <w:tcBorders>
              <w:top w:val="single" w:sz="4" w:space="0" w:color="000000"/>
              <w:left w:val="single" w:sz="4" w:space="0" w:color="000000"/>
              <w:right w:val="single" w:sz="4" w:space="0" w:color="000000"/>
            </w:tcBorders>
          </w:tcPr>
          <w:p>
            <w:pPr>
              <w:pStyle w:val="Normal"/>
              <w:jc w:val="both"/>
              <w:rPr>
                <w:sz w:val="20"/>
                <w:szCs w:val="20"/>
              </w:rPr>
            </w:pPr>
            <w:r>
              <w:rPr>
                <w:sz w:val="20"/>
                <w:szCs w:val="20"/>
              </w:rPr>
            </w:r>
          </w:p>
        </w:tc>
      </w:tr>
      <w:tr>
        <w:trPr>
          <w:trHeight w:val="23" w:hRule="atLeast"/>
        </w:trPr>
        <w:tc>
          <w:tcPr>
            <w:tcW w:w="2694" w:type="dxa"/>
            <w:gridSpan w:val="2"/>
            <w:tcBorders>
              <w:top w:val="single" w:sz="4" w:space="0" w:color="000000"/>
              <w:left w:val="single" w:sz="4" w:space="0" w:color="000000"/>
              <w:bottom w:val="single" w:sz="4" w:space="0" w:color="000000"/>
            </w:tcBorders>
          </w:tcPr>
          <w:p>
            <w:pPr>
              <w:pStyle w:val="Normal"/>
              <w:jc w:val="both"/>
              <w:rPr>
                <w:sz w:val="20"/>
                <w:szCs w:val="20"/>
              </w:rPr>
            </w:pPr>
            <w:r>
              <w:rPr>
                <w:sz w:val="20"/>
                <w:szCs w:val="20"/>
              </w:rPr>
            </w:r>
          </w:p>
        </w:tc>
        <w:tc>
          <w:tcPr>
            <w:tcW w:w="11341" w:type="dxa"/>
            <w:gridSpan w:val="6"/>
            <w:tcBorders>
              <w:top w:val="single" w:sz="4" w:space="0" w:color="000000"/>
              <w:left w:val="single" w:sz="4" w:space="0" w:color="000000"/>
              <w:bottom w:val="single" w:sz="4" w:space="0" w:color="000000"/>
            </w:tcBorders>
          </w:tcPr>
          <w:p>
            <w:pPr>
              <w:pStyle w:val="Normal"/>
              <w:jc w:val="right"/>
              <w:rPr>
                <w:sz w:val="20"/>
                <w:szCs w:val="20"/>
              </w:rPr>
            </w:pPr>
            <w:r>
              <w:rPr>
                <w:sz w:val="20"/>
                <w:szCs w:val="20"/>
              </w:rPr>
              <w:t>Итого:</w:t>
            </w:r>
          </w:p>
        </w:tc>
        <w:tc>
          <w:tcPr>
            <w:tcW w:w="1244" w:type="dxa"/>
            <w:tcBorders>
              <w:top w:val="single" w:sz="4" w:space="0" w:color="000000"/>
              <w:left w:val="single" w:sz="4" w:space="0" w:color="000000"/>
              <w:bottom w:val="single" w:sz="4" w:space="0" w:color="000000"/>
              <w:right w:val="single" w:sz="4" w:space="0" w:color="000000"/>
            </w:tcBorders>
          </w:tcPr>
          <w:p>
            <w:pPr>
              <w:pStyle w:val="Normal"/>
              <w:jc w:val="both"/>
              <w:rPr>
                <w:sz w:val="20"/>
                <w:szCs w:val="20"/>
              </w:rPr>
            </w:pPr>
            <w:r>
              <w:rPr>
                <w:sz w:val="20"/>
                <w:szCs w:val="20"/>
              </w:rPr>
            </w:r>
          </w:p>
        </w:tc>
      </w:tr>
    </w:tbl>
    <w:p>
      <w:pPr>
        <w:pStyle w:val="Normal"/>
        <w:shd w:val="clear" w:color="auto" w:fill="FFFFFF"/>
        <w:tabs>
          <w:tab w:val="clear" w:pos="709"/>
          <w:tab w:val="left" w:pos="2266" w:leader="underscore"/>
        </w:tabs>
        <w:spacing w:lineRule="atLeast" w:line="100"/>
        <w:jc w:val="center"/>
        <w:rPr>
          <w:rFonts w:ascii="PT Astra Serif" w:hAnsi="PT Astra Serif"/>
          <w:b/>
          <w:caps/>
          <w:sz w:val="20"/>
          <w:szCs w:val="20"/>
        </w:rPr>
      </w:pPr>
      <w:r>
        <w:rPr>
          <w:rFonts w:ascii="PT Astra Serif" w:hAnsi="PT Astra Serif"/>
          <w:b/>
          <w:caps/>
          <w:sz w:val="20"/>
          <w:szCs w:val="20"/>
        </w:rPr>
      </w:r>
    </w:p>
    <w:p>
      <w:pPr>
        <w:pStyle w:val="Normal"/>
        <w:shd w:val="clear" w:color="auto" w:fill="FFFFFF"/>
        <w:tabs>
          <w:tab w:val="clear" w:pos="709"/>
          <w:tab w:val="left" w:pos="2266" w:leader="underscore"/>
        </w:tabs>
        <w:spacing w:lineRule="atLeast" w:line="100"/>
        <w:rPr>
          <w:rFonts w:ascii="PT Astra Serif" w:hAnsi="PT Astra Serif"/>
          <w:b/>
          <w:caps/>
          <w:sz w:val="20"/>
          <w:szCs w:val="20"/>
        </w:rPr>
      </w:pPr>
      <w:r>
        <w:rPr>
          <w:rFonts w:ascii="PT Astra Serif" w:hAnsi="PT Astra Serif"/>
          <w:b/>
          <w:caps/>
          <w:sz w:val="20"/>
          <w:szCs w:val="20"/>
        </w:rPr>
      </w:r>
    </w:p>
    <w:p>
      <w:pPr>
        <w:pStyle w:val="Normal"/>
        <w:rPr>
          <w:rFonts w:ascii="PT Astra Serif" w:hAnsi="PT Astra Serif"/>
          <w:b/>
          <w:caps/>
          <w:sz w:val="20"/>
          <w:szCs w:val="20"/>
        </w:rPr>
      </w:pPr>
      <w:r>
        <w:rPr>
          <w:rFonts w:ascii="PT Astra Serif" w:hAnsi="PT Astra Serif"/>
          <w:b/>
          <w:caps/>
          <w:sz w:val="20"/>
          <w:szCs w:val="20"/>
        </w:rPr>
      </w:r>
    </w:p>
    <w:tbl>
      <w:tblPr>
        <w:tblW w:w="13235"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6980"/>
        <w:gridCol w:w="6254"/>
      </w:tblGrid>
      <w:tr>
        <w:trPr>
          <w:trHeight w:val="1095" w:hRule="atLeast"/>
        </w:trPr>
        <w:tc>
          <w:tcPr>
            <w:tcW w:w="6980" w:type="dxa"/>
            <w:tcBorders/>
            <w:shd w:color="auto" w:fill="auto" w:val="clear"/>
          </w:tcPr>
          <w:p>
            <w:pPr>
              <w:pStyle w:val="Normal"/>
              <w:rPr>
                <w:rFonts w:ascii="PT Astra Serif" w:hAnsi="PT Astra Serif" w:eastAsia="Times New Roman"/>
                <w:color w:val="000000"/>
              </w:rPr>
            </w:pPr>
            <w:r>
              <w:rPr>
                <w:rFonts w:ascii="PT Astra Serif" w:hAnsi="PT Astra Serif"/>
              </w:rPr>
              <w:t>Заказчик:</w:t>
            </w:r>
          </w:p>
          <w:p>
            <w:pPr>
              <w:pStyle w:val="Normal"/>
              <w:rPr>
                <w:rFonts w:ascii="PT Astra Serif" w:hAnsi="PT Astra Serif" w:eastAsia="Times New Roman" w:cs="Times New Roman"/>
                <w:lang w:eastAsia="ru-RU"/>
              </w:rPr>
            </w:pPr>
            <w:r>
              <w:rPr>
                <w:rFonts w:eastAsia="Times New Roman" w:cs="Times New Roman" w:ascii="PT Astra Serif" w:hAnsi="PT Astra Serif"/>
                <w:lang w:eastAsia="ru-RU"/>
              </w:rPr>
              <w:t>Заместитель главного врача по финансово-</w:t>
            </w:r>
          </w:p>
          <w:p>
            <w:pPr>
              <w:pStyle w:val="Normal"/>
              <w:rPr>
                <w:rFonts w:ascii="PT Astra Serif" w:hAnsi="PT Astra Serif"/>
              </w:rPr>
            </w:pPr>
            <w:r>
              <w:rPr>
                <w:rFonts w:eastAsia="Times New Roman" w:cs="Times New Roman" w:ascii="PT Astra Serif" w:hAnsi="PT Astra Serif"/>
                <w:lang w:eastAsia="ru-RU"/>
              </w:rPr>
              <w:t>экономическим вопросам</w:t>
            </w:r>
          </w:p>
          <w:p>
            <w:pPr>
              <w:pStyle w:val="Normal"/>
              <w:spacing w:lineRule="atLeast" w:line="100"/>
              <w:rPr>
                <w:rFonts w:ascii="PT Astra Serif" w:hAnsi="PT Astra Serif" w:eastAsia="Times New Roman" w:cs="Times New Roman"/>
                <w:lang w:eastAsia="ru-RU"/>
              </w:rPr>
            </w:pPr>
            <w:r>
              <w:rPr>
                <w:rFonts w:eastAsia="Times New Roman" w:cs="Times New Roman" w:ascii="PT Astra Serif" w:hAnsi="PT Astra Serif"/>
                <w:lang w:eastAsia="ru-RU"/>
              </w:rPr>
              <w:t>_________________/ Зюнова М.В./</w:t>
            </w:r>
          </w:p>
          <w:p>
            <w:pPr>
              <w:pStyle w:val="Normal"/>
              <w:rPr>
                <w:rFonts w:ascii="PT Astra Serif" w:hAnsi="PT Astra Serif"/>
              </w:rPr>
            </w:pPr>
            <w:r>
              <w:rPr>
                <w:rFonts w:ascii="PT Astra Serif" w:hAnsi="PT Astra Serif"/>
              </w:rPr>
              <w:t>М.П.</w:t>
            </w:r>
          </w:p>
        </w:tc>
        <w:tc>
          <w:tcPr>
            <w:tcW w:w="6254" w:type="dxa"/>
            <w:tcBorders/>
            <w:shd w:color="auto" w:fill="auto" w:val="clear"/>
          </w:tcPr>
          <w:p>
            <w:pPr>
              <w:pStyle w:val="Normal"/>
              <w:jc w:val="both"/>
              <w:rPr>
                <w:rFonts w:ascii="PT Astra Serif" w:hAnsi="PT Astra Serif"/>
              </w:rPr>
            </w:pPr>
            <w:r>
              <w:rPr>
                <w:rFonts w:ascii="PT Astra Serif" w:hAnsi="PT Astra Serif"/>
              </w:rPr>
              <w:t>Поставщик:</w:t>
            </w:r>
          </w:p>
          <w:p>
            <w:pPr>
              <w:pStyle w:val="Normal"/>
              <w:jc w:val="both"/>
              <w:rPr>
                <w:rFonts w:ascii="PT Astra Serif" w:hAnsi="PT Astra Serif"/>
              </w:rPr>
            </w:pPr>
            <w:r>
              <w:rPr>
                <w:rFonts w:ascii="PT Astra Serif" w:hAnsi="PT Astra Serif"/>
              </w:rPr>
            </w:r>
          </w:p>
          <w:p>
            <w:pPr>
              <w:pStyle w:val="Normal"/>
              <w:jc w:val="both"/>
              <w:rPr>
                <w:rFonts w:ascii="PT Astra Serif" w:hAnsi="PT Astra Serif"/>
              </w:rPr>
            </w:pPr>
            <w:r>
              <w:rPr>
                <w:rFonts w:ascii="PT Astra Serif" w:hAnsi="PT Astra Serif"/>
              </w:rPr>
            </w:r>
          </w:p>
          <w:p>
            <w:pPr>
              <w:pStyle w:val="Normal"/>
              <w:jc w:val="both"/>
              <w:rPr>
                <w:rFonts w:ascii="PT Astra Serif" w:hAnsi="PT Astra Serif"/>
              </w:rPr>
            </w:pPr>
            <w:r>
              <w:rPr>
                <w:rFonts w:ascii="PT Astra Serif" w:hAnsi="PT Astra Serif"/>
              </w:rPr>
              <w:t>___________________/ ___  /</w:t>
            </w:r>
          </w:p>
          <w:p>
            <w:pPr>
              <w:pStyle w:val="Normal"/>
              <w:jc w:val="both"/>
              <w:rPr>
                <w:rFonts w:ascii="PT Astra Serif" w:hAnsi="PT Astra Serif"/>
              </w:rPr>
            </w:pPr>
            <w:r>
              <w:rPr>
                <w:rFonts w:ascii="PT Astra Serif" w:hAnsi="PT Astra Serif"/>
              </w:rPr>
              <w:t xml:space="preserve"> </w:t>
            </w:r>
            <w:r>
              <w:rPr>
                <w:rFonts w:ascii="PT Astra Serif" w:hAnsi="PT Astra Serif"/>
              </w:rPr>
              <w:t>М.П.</w:t>
            </w:r>
          </w:p>
        </w:tc>
      </w:tr>
    </w:tbl>
    <w:p>
      <w:pPr>
        <w:pStyle w:val="Normal"/>
        <w:shd w:val="clear" w:color="auto" w:fill="FFFFFF"/>
        <w:tabs>
          <w:tab w:val="clear" w:pos="709"/>
          <w:tab w:val="left" w:pos="2266" w:leader="underscore"/>
        </w:tabs>
        <w:spacing w:lineRule="atLeast" w:line="100"/>
        <w:rPr>
          <w:rFonts w:ascii="PT Astra Serif" w:hAnsi="PT Astra Serif"/>
          <w:sz w:val="21"/>
          <w:szCs w:val="21"/>
        </w:rPr>
      </w:pPr>
      <w:r>
        <w:rPr>
          <w:rFonts w:ascii="PT Astra Serif" w:hAnsi="PT Astra Serif"/>
          <w:sz w:val="21"/>
          <w:szCs w:val="21"/>
        </w:rPr>
      </w:r>
    </w:p>
    <w:sectPr>
      <w:type w:val="nextPage"/>
      <w:pgSz w:orient="landscape" w:w="16838" w:h="11906"/>
      <w:pgMar w:left="142" w:right="851" w:gutter="0" w:header="0" w:top="1701" w:footer="0" w:bottom="567"/>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ET">
    <w:charset w:val="cc"/>
    <w:family w:val="roman"/>
    <w:pitch w:val="variable"/>
  </w:font>
  <w:font w:name="Tahoma">
    <w:charset w:val="cc"/>
    <w:family w:val="swiss"/>
    <w:pitch w:val="variable"/>
  </w:font>
  <w:font w:name="Arial">
    <w:charset w:val="cc"/>
    <w:family w:val="swiss"/>
    <w:pitch w:val="variable"/>
  </w:font>
  <w:font w:name="Liberation Sans">
    <w:altName w:val="Arial"/>
    <w:charset w:val="cc"/>
    <w:family w:val="swiss"/>
    <w:pitch w:val="variable"/>
  </w:font>
  <w:font w:name="PT Astra Serif">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64" w:hanging="360"/>
      </w:pPr>
      <w:rPr>
        <w:rFonts w:ascii="Symbol" w:hAnsi="Symbol" w:cs="Symbol" w:hint="default"/>
      </w:rPr>
    </w:lvl>
    <w:lvl w:ilvl="1">
      <w:start w:val="1"/>
      <w:numFmt w:val="bullet"/>
      <w:lvlText w:val="o"/>
      <w:lvlJc w:val="left"/>
      <w:pPr>
        <w:tabs>
          <w:tab w:val="num" w:pos="0"/>
        </w:tabs>
        <w:ind w:left="1484" w:hanging="360"/>
      </w:pPr>
      <w:rPr>
        <w:rFonts w:ascii="Courier New" w:hAnsi="Courier New" w:cs="Courier New" w:hint="default"/>
      </w:rPr>
    </w:lvl>
    <w:lvl w:ilvl="2">
      <w:start w:val="1"/>
      <w:numFmt w:val="bullet"/>
      <w:lvlText w:val=""/>
      <w:lvlJc w:val="left"/>
      <w:pPr>
        <w:tabs>
          <w:tab w:val="num" w:pos="0"/>
        </w:tabs>
        <w:ind w:left="2204" w:hanging="360"/>
      </w:pPr>
      <w:rPr>
        <w:rFonts w:ascii="Wingdings" w:hAnsi="Wingdings" w:cs="Wingdings" w:hint="default"/>
      </w:rPr>
    </w:lvl>
    <w:lvl w:ilvl="3">
      <w:start w:val="1"/>
      <w:numFmt w:val="bullet"/>
      <w:lvlText w:val=""/>
      <w:lvlJc w:val="left"/>
      <w:pPr>
        <w:tabs>
          <w:tab w:val="num" w:pos="0"/>
        </w:tabs>
        <w:ind w:left="2924" w:hanging="360"/>
      </w:pPr>
      <w:rPr>
        <w:rFonts w:ascii="Symbol" w:hAnsi="Symbol" w:cs="Symbol" w:hint="default"/>
      </w:rPr>
    </w:lvl>
    <w:lvl w:ilvl="4">
      <w:start w:val="1"/>
      <w:numFmt w:val="bullet"/>
      <w:lvlText w:val="o"/>
      <w:lvlJc w:val="left"/>
      <w:pPr>
        <w:tabs>
          <w:tab w:val="num" w:pos="0"/>
        </w:tabs>
        <w:ind w:left="3644" w:hanging="360"/>
      </w:pPr>
      <w:rPr>
        <w:rFonts w:ascii="Courier New" w:hAnsi="Courier New" w:cs="Courier New" w:hint="default"/>
      </w:rPr>
    </w:lvl>
    <w:lvl w:ilvl="5">
      <w:start w:val="1"/>
      <w:numFmt w:val="bullet"/>
      <w:lvlText w:val=""/>
      <w:lvlJc w:val="left"/>
      <w:pPr>
        <w:tabs>
          <w:tab w:val="num" w:pos="0"/>
        </w:tabs>
        <w:ind w:left="4364" w:hanging="360"/>
      </w:pPr>
      <w:rPr>
        <w:rFonts w:ascii="Wingdings" w:hAnsi="Wingdings" w:cs="Wingdings" w:hint="default"/>
      </w:rPr>
    </w:lvl>
    <w:lvl w:ilvl="6">
      <w:start w:val="1"/>
      <w:numFmt w:val="bullet"/>
      <w:lvlText w:val=""/>
      <w:lvlJc w:val="left"/>
      <w:pPr>
        <w:tabs>
          <w:tab w:val="num" w:pos="0"/>
        </w:tabs>
        <w:ind w:left="5084" w:hanging="360"/>
      </w:pPr>
      <w:rPr>
        <w:rFonts w:ascii="Symbol" w:hAnsi="Symbol" w:cs="Symbol" w:hint="default"/>
      </w:rPr>
    </w:lvl>
    <w:lvl w:ilvl="7">
      <w:start w:val="1"/>
      <w:numFmt w:val="bullet"/>
      <w:lvlText w:val="o"/>
      <w:lvlJc w:val="left"/>
      <w:pPr>
        <w:tabs>
          <w:tab w:val="num" w:pos="0"/>
        </w:tabs>
        <w:ind w:left="5804" w:hanging="360"/>
      </w:pPr>
      <w:rPr>
        <w:rFonts w:ascii="Courier New" w:hAnsi="Courier New" w:cs="Courier New" w:hint="default"/>
      </w:rPr>
    </w:lvl>
    <w:lvl w:ilvl="8">
      <w:start w:val="1"/>
      <w:numFmt w:val="bullet"/>
      <w:lvlText w:val=""/>
      <w:lvlJc w:val="left"/>
      <w:pPr>
        <w:tabs>
          <w:tab w:val="num" w:pos="0"/>
        </w:tabs>
        <w:ind w:left="6524" w:hanging="360"/>
      </w:pPr>
      <w:rPr>
        <w:rFonts w:ascii="Wingdings" w:hAnsi="Wingdings" w:cs="Wingdings" w:hint="default"/>
      </w:rPr>
    </w:lvl>
  </w:abstractNum>
  <w:abstractNum w:abstractNumId="2">
    <w:lvl w:ilvl="0">
      <w:start w:val="1"/>
      <w:numFmt w:val="decimal"/>
      <w:lvlText w:val="%1."/>
      <w:lvlJc w:val="left"/>
      <w:pPr>
        <w:tabs>
          <w:tab w:val="num" w:pos="0"/>
        </w:tabs>
        <w:ind w:left="1211" w:hanging="360"/>
      </w:pPr>
      <w:rPr/>
    </w:lvl>
    <w:lvl w:ilvl="1">
      <w:start w:val="1"/>
      <w:numFmt w:val="lowerLetter"/>
      <w:lvlText w:val="%2."/>
      <w:lvlJc w:val="left"/>
      <w:pPr>
        <w:tabs>
          <w:tab w:val="num" w:pos="0"/>
        </w:tabs>
        <w:ind w:left="1931" w:hanging="360"/>
      </w:pPr>
      <w:rPr/>
    </w:lvl>
    <w:lvl w:ilvl="2">
      <w:start w:val="1"/>
      <w:numFmt w:val="lowerRoman"/>
      <w:lvlText w:val="%3."/>
      <w:lvlJc w:val="right"/>
      <w:pPr>
        <w:tabs>
          <w:tab w:val="num" w:pos="0"/>
        </w:tabs>
        <w:ind w:left="2651" w:hanging="180"/>
      </w:pPr>
      <w:rPr/>
    </w:lvl>
    <w:lvl w:ilvl="3">
      <w:start w:val="1"/>
      <w:numFmt w:val="decimal"/>
      <w:lvlText w:val="%4."/>
      <w:lvlJc w:val="left"/>
      <w:pPr>
        <w:tabs>
          <w:tab w:val="num" w:pos="0"/>
        </w:tabs>
        <w:ind w:left="3371" w:hanging="360"/>
      </w:pPr>
      <w:rPr/>
    </w:lvl>
    <w:lvl w:ilvl="4">
      <w:start w:val="1"/>
      <w:numFmt w:val="lowerLetter"/>
      <w:lvlText w:val="%5."/>
      <w:lvlJc w:val="left"/>
      <w:pPr>
        <w:tabs>
          <w:tab w:val="num" w:pos="0"/>
        </w:tabs>
        <w:ind w:left="4091" w:hanging="360"/>
      </w:pPr>
      <w:rPr/>
    </w:lvl>
    <w:lvl w:ilvl="5">
      <w:start w:val="1"/>
      <w:numFmt w:val="lowerRoman"/>
      <w:lvlText w:val="%6."/>
      <w:lvlJc w:val="right"/>
      <w:pPr>
        <w:tabs>
          <w:tab w:val="num" w:pos="0"/>
        </w:tabs>
        <w:ind w:left="4811" w:hanging="180"/>
      </w:pPr>
      <w:rPr/>
    </w:lvl>
    <w:lvl w:ilvl="6">
      <w:start w:val="1"/>
      <w:numFmt w:val="decimal"/>
      <w:lvlText w:val="%7."/>
      <w:lvlJc w:val="left"/>
      <w:pPr>
        <w:tabs>
          <w:tab w:val="num" w:pos="0"/>
        </w:tabs>
        <w:ind w:left="5531" w:hanging="360"/>
      </w:pPr>
      <w:rPr/>
    </w:lvl>
    <w:lvl w:ilvl="7">
      <w:start w:val="1"/>
      <w:numFmt w:val="lowerLetter"/>
      <w:lvlText w:val="%8."/>
      <w:lvlJc w:val="left"/>
      <w:pPr>
        <w:tabs>
          <w:tab w:val="num" w:pos="0"/>
        </w:tabs>
        <w:ind w:left="6251" w:hanging="360"/>
      </w:pPr>
      <w:rPr/>
    </w:lvl>
    <w:lvl w:ilvl="8">
      <w:start w:val="1"/>
      <w:numFmt w:val="lowerRoman"/>
      <w:lvlText w:val="%9."/>
      <w:lvlJc w:val="right"/>
      <w:pPr>
        <w:tabs>
          <w:tab w:val="num" w:pos="0"/>
        </w:tabs>
        <w:ind w:left="6971"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09"/>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d4452"/>
    <w:pPr>
      <w:widowControl w:val="false"/>
      <w:suppressAutoHyphens w:val="true"/>
      <w:bidi w:val="0"/>
      <w:spacing w:before="0" w:after="0"/>
      <w:jc w:val="left"/>
    </w:pPr>
    <w:rPr>
      <w:rFonts w:ascii="Times New Roman" w:hAnsi="Times New Roman" w:eastAsia="Lucida Sans Unicode" w:cs="Mangal"/>
      <w:color w:val="auto"/>
      <w:kern w:val="2"/>
      <w:sz w:val="24"/>
      <w:szCs w:val="24"/>
      <w:lang w:val="ru-RU" w:eastAsia="hi-IN" w:bidi="hi-IN"/>
    </w:rPr>
  </w:style>
  <w:style w:type="paragraph" w:styleId="Heading3">
    <w:name w:val="heading 3"/>
    <w:basedOn w:val="Normal"/>
    <w:next w:val="Normal"/>
    <w:link w:val="3"/>
    <w:qFormat/>
    <w:rsid w:val="00396210"/>
    <w:pPr>
      <w:widowControl/>
      <w:suppressAutoHyphens w:val="false"/>
      <w:spacing w:before="120" w:after="120"/>
      <w:ind w:hanging="567" w:left="709" w:right="1127"/>
      <w:outlineLvl w:val="2"/>
    </w:pPr>
    <w:rPr>
      <w:rFonts w:ascii="TimesET" w:hAnsi="TimesET" w:eastAsia="Times New Roman" w:cs="Times New Roman"/>
      <w:kern w:val="0"/>
      <w:sz w:val="22"/>
      <w:szCs w:val="20"/>
      <w:lang w:bidi="ar-SA"/>
    </w:rPr>
  </w:style>
  <w:style w:type="character" w:styleId="DefaultParagraphFont" w:default="1">
    <w:name w:val="Default Paragraph Font"/>
    <w:uiPriority w:val="1"/>
    <w:semiHidden/>
    <w:unhideWhenUsed/>
    <w:qFormat/>
    <w:rPr/>
  </w:style>
  <w:style w:type="character" w:styleId="Hyperlink">
    <w:name w:val="Hyperlink"/>
    <w:rsid w:val="005a2720"/>
    <w:rPr>
      <w:color w:val="000080"/>
      <w:u w:val="single"/>
    </w:rPr>
  </w:style>
  <w:style w:type="character" w:styleId="3" w:customStyle="1">
    <w:name w:val="Заголовок 3 Знак"/>
    <w:qFormat/>
    <w:rsid w:val="00396210"/>
    <w:rPr>
      <w:rFonts w:ascii="TimesET" w:hAnsi="TimesET"/>
      <w:sz w:val="22"/>
    </w:rPr>
  </w:style>
  <w:style w:type="character" w:styleId="Style13" w:customStyle="1">
    <w:name w:val="Текст выноски Знак"/>
    <w:basedOn w:val="DefaultParagraphFont"/>
    <w:link w:val="BalloonText"/>
    <w:uiPriority w:val="99"/>
    <w:semiHidden/>
    <w:qFormat/>
    <w:rsid w:val="0074121f"/>
    <w:rPr>
      <w:rFonts w:ascii="Tahoma" w:hAnsi="Tahoma" w:eastAsia="Lucida Sans Unicode" w:cs="Mangal"/>
      <w:kern w:val="2"/>
      <w:sz w:val="16"/>
      <w:szCs w:val="14"/>
      <w:lang w:eastAsia="hi-IN" w:bidi="hi-IN"/>
    </w:rPr>
  </w:style>
  <w:style w:type="character" w:styleId="Style14" w:customStyle="1">
    <w:name w:val="Без интервала Знак"/>
    <w:basedOn w:val="DefaultParagraphFont"/>
    <w:link w:val="NoSpacing"/>
    <w:qFormat/>
    <w:locked/>
    <w:rsid w:val="003b7ca0"/>
    <w:rPr>
      <w:rFonts w:eastAsia="Arial"/>
      <w:sz w:val="24"/>
      <w:szCs w:val="24"/>
      <w:lang w:eastAsia="ar-SA"/>
    </w:rPr>
  </w:style>
  <w:style w:type="paragraph" w:styleId="Style15" w:customStyle="1">
    <w:name w:val="Заголовок"/>
    <w:basedOn w:val="Normal"/>
    <w:next w:val="BodyText"/>
    <w:qFormat/>
    <w:rsid w:val="005a2720"/>
    <w:pPr>
      <w:keepNext w:val="true"/>
      <w:spacing w:before="240" w:after="120"/>
    </w:pPr>
    <w:rPr>
      <w:rFonts w:ascii="Arial" w:hAnsi="Arial"/>
      <w:sz w:val="28"/>
      <w:szCs w:val="28"/>
    </w:rPr>
  </w:style>
  <w:style w:type="paragraph" w:styleId="BodyText">
    <w:name w:val="Body Text"/>
    <w:basedOn w:val="Normal"/>
    <w:rsid w:val="005a2720"/>
    <w:pPr>
      <w:spacing w:before="0" w:after="120"/>
    </w:pPr>
    <w:rPr/>
  </w:style>
  <w:style w:type="paragraph" w:styleId="List">
    <w:name w:val="List"/>
    <w:basedOn w:val="BodyText"/>
    <w:rsid w:val="005a2720"/>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Unicode MS"/>
      <w:sz w:val="28"/>
      <w:szCs w:val="28"/>
    </w:rPr>
  </w:style>
  <w:style w:type="paragraph" w:styleId="user1">
    <w:name w:val="Указатель (user)"/>
    <w:basedOn w:val="Normal"/>
    <w:qFormat/>
    <w:pPr>
      <w:suppressLineNumbers/>
    </w:pPr>
    <w:rPr>
      <w:rFonts w:cs="Arial Unicode MS"/>
    </w:rPr>
  </w:style>
  <w:style w:type="paragraph" w:styleId="1" w:customStyle="1">
    <w:name w:val="Название1"/>
    <w:basedOn w:val="Normal"/>
    <w:qFormat/>
    <w:rsid w:val="005a2720"/>
    <w:pPr>
      <w:suppressLineNumbers/>
      <w:spacing w:before="120" w:after="120"/>
    </w:pPr>
    <w:rPr>
      <w:i/>
      <w:iCs/>
    </w:rPr>
  </w:style>
  <w:style w:type="paragraph" w:styleId="11" w:customStyle="1">
    <w:name w:val="Указатель1"/>
    <w:basedOn w:val="Normal"/>
    <w:qFormat/>
    <w:rsid w:val="005a2720"/>
    <w:pPr>
      <w:suppressLineNumbers/>
    </w:pPr>
    <w:rPr/>
  </w:style>
  <w:style w:type="paragraph" w:styleId="12" w:customStyle="1">
    <w:name w:val="Обычный1"/>
    <w:qFormat/>
    <w:rsid w:val="005a2720"/>
    <w:pPr>
      <w:widowControl/>
      <w:suppressAutoHyphens w:val="true"/>
      <w:bidi w:val="0"/>
      <w:spacing w:lineRule="atLeast" w:line="100" w:before="0" w:after="0"/>
      <w:jc w:val="left"/>
      <w:textAlignment w:val="baseline"/>
    </w:pPr>
    <w:rPr>
      <w:rFonts w:ascii="Times New Roman" w:hAnsi="Times New Roman" w:eastAsia="Times New Roman" w:cs="Times New Roman"/>
      <w:color w:val="auto"/>
      <w:kern w:val="2"/>
      <w:sz w:val="24"/>
      <w:szCs w:val="24"/>
      <w:lang w:val="ru-RU" w:eastAsia="ar-SA" w:bidi="ar-SA"/>
    </w:rPr>
  </w:style>
  <w:style w:type="paragraph" w:styleId="gmail-msolistparagraphcxspmiddlemailrucssattributepostfixmailrucssattributepostfix" w:customStyle="1">
    <w:name w:val="gmail-msolistparagraphcxspmiddle_mailru_css_attribute_postfix_mailru_css_attribute_postfix"/>
    <w:basedOn w:val="Normal"/>
    <w:qFormat/>
    <w:rsid w:val="005a2720"/>
    <w:pPr>
      <w:spacing w:lineRule="atLeast" w:line="100" w:before="100" w:after="100"/>
    </w:pPr>
    <w:rPr>
      <w:rFonts w:eastAsia="Times New Roman"/>
    </w:rPr>
  </w:style>
  <w:style w:type="paragraph" w:styleId="BalloonText">
    <w:name w:val="Balloon Text"/>
    <w:basedOn w:val="Normal"/>
    <w:link w:val="Style13"/>
    <w:uiPriority w:val="99"/>
    <w:semiHidden/>
    <w:unhideWhenUsed/>
    <w:qFormat/>
    <w:rsid w:val="0074121f"/>
    <w:pPr/>
    <w:rPr>
      <w:rFonts w:ascii="Tahoma" w:hAnsi="Tahoma"/>
      <w:sz w:val="16"/>
      <w:szCs w:val="14"/>
    </w:rPr>
  </w:style>
  <w:style w:type="paragraph" w:styleId="ListParagraph">
    <w:name w:val="List Paragraph"/>
    <w:basedOn w:val="Normal"/>
    <w:uiPriority w:val="34"/>
    <w:qFormat/>
    <w:rsid w:val="00493f0d"/>
    <w:pPr>
      <w:spacing w:before="0" w:after="0"/>
      <w:ind w:left="720"/>
      <w:contextualSpacing/>
    </w:pPr>
    <w:rPr>
      <w:szCs w:val="21"/>
    </w:rPr>
  </w:style>
  <w:style w:type="paragraph" w:styleId="ConsPlusNormal" w:customStyle="1">
    <w:name w:val="ConsPlusNormal"/>
    <w:qFormat/>
    <w:rsid w:val="00ab62b2"/>
    <w:pPr>
      <w:widowControl/>
      <w:suppressAutoHyphens w:val="true"/>
      <w:bidi w:val="0"/>
      <w:spacing w:before="0" w:after="0"/>
      <w:jc w:val="left"/>
    </w:pPr>
    <w:rPr>
      <w:rFonts w:ascii="Times New Roman" w:hAnsi="Times New Roman" w:eastAsia="Calibri" w:cs="Times New Roman" w:eastAsiaTheme="minorHAnsi"/>
      <w:color w:val="auto"/>
      <w:kern w:val="0"/>
      <w:sz w:val="28"/>
      <w:szCs w:val="28"/>
      <w:lang w:val="ru-RU" w:eastAsia="en-US" w:bidi="ar-SA"/>
    </w:rPr>
  </w:style>
  <w:style w:type="paragraph" w:styleId="NoSpacing">
    <w:name w:val="No Spacing"/>
    <w:link w:val="Style14"/>
    <w:qFormat/>
    <w:rsid w:val="003b7ca0"/>
    <w:pPr>
      <w:widowControl/>
      <w:suppressAutoHyphens w:val="true"/>
      <w:bidi w:val="0"/>
      <w:spacing w:before="0" w:after="0"/>
      <w:jc w:val="left"/>
    </w:pPr>
    <w:rPr>
      <w:rFonts w:ascii="Times New Roman" w:hAnsi="Times New Roman" w:eastAsia="Arial" w:cs="Times New Roman"/>
      <w:color w:val="auto"/>
      <w:kern w:val="0"/>
      <w:sz w:val="24"/>
      <w:szCs w:val="24"/>
      <w:lang w:val="ru-RU" w:eastAsia="ar-SA" w:bidi="ar-SA"/>
    </w:rPr>
  </w:style>
  <w:style w:type="numbering" w:styleId="user2"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73B0BD-D774-45D6-B86B-09A30E306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Application>LibreOffice/25.2.7.2$Windows_X86_64 LibreOffice_project/5cbfd1ab6520636bb5f7b99185aa69bd7456825d</Application>
  <AppVersion>15.0000</AppVersion>
  <Pages>6</Pages>
  <Words>3592</Words>
  <Characters>25743</Characters>
  <CharactersWithSpaces>29582</CharactersWithSpaces>
  <Paragraphs>205</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2022-05-20T05:23:00Z</dcterms:created>
  <dc:creator/>
  <dc:description/>
  <dc:language>ru-RU</dc:language>
  <cp:lastModifiedBy/>
  <cp:lastPrinted>2022-11-28T08:48:00Z</cp:lastPrinted>
  <dcterms:modified xsi:type="dcterms:W3CDTF">2026-03-20T15:07:29Z</dcterms:modified>
  <cp:revision>92</cp:revision>
  <dc:subject/>
  <dc:title/>
</cp:coreProperties>
</file>

<file path=docProps/custom.xml><?xml version="1.0" encoding="utf-8"?>
<Properties xmlns="http://schemas.openxmlformats.org/officeDocument/2006/custom-properties" xmlns:vt="http://schemas.openxmlformats.org/officeDocument/2006/docPropsVTypes"/>
</file>