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КОНТРАКТ № ________________</w:t>
      </w:r>
      <w:r>
        <w:rPr>
          <w:rFonts w:ascii="Times New Roman" w:hAnsi="Times New Roman" w:cs="Times New Roman"/>
          <w:b/>
        </w:rPr>
      </w:r>
    </w:p>
    <w:p>
      <w:pPr>
        <w:contextualSpacing/>
        <w:ind w:firstLine="709"/>
        <w:jc w:val="both"/>
        <w:keepLines/>
        <w:keepNext/>
        <w:spacing w:line="240" w:lineRule="auto"/>
        <w:rPr>
          <w:sz w:val="21"/>
          <w:szCs w:val="21"/>
        </w:rPr>
        <w:suppressLineNumbers/>
      </w:pPr>
      <w:r>
        <w:rPr>
          <w:sz w:val="21"/>
          <w:szCs w:val="21"/>
        </w:rPr>
        <w:t xml:space="preserve">Услуги по организации проживания участников научно-исследовательской международной этногр</w:t>
      </w:r>
      <w:r>
        <w:rPr>
          <w:sz w:val="21"/>
          <w:szCs w:val="21"/>
        </w:rPr>
        <w:t xml:space="preserve">а</w:t>
      </w:r>
      <w:r>
        <w:rPr>
          <w:sz w:val="21"/>
          <w:szCs w:val="21"/>
        </w:rPr>
        <w:t xml:space="preserve">фической экспедиции «Большой Алтай: тюркское наследие – 2026»  ФГБОУ </w:t>
      </w:r>
      <w:r>
        <w:rPr>
          <w:sz w:val="21"/>
          <w:szCs w:val="21"/>
        </w:rPr>
        <w:t xml:space="preserve">ВО</w:t>
      </w:r>
      <w:r>
        <w:rPr>
          <w:sz w:val="21"/>
          <w:szCs w:val="21"/>
        </w:rPr>
        <w:t xml:space="preserve"> «Алтайский государстве</w:t>
      </w:r>
      <w:r>
        <w:rPr>
          <w:sz w:val="21"/>
          <w:szCs w:val="21"/>
        </w:rPr>
        <w:t xml:space="preserve">н</w:t>
      </w:r>
      <w:r>
        <w:rPr>
          <w:sz w:val="21"/>
          <w:szCs w:val="21"/>
        </w:rPr>
        <w:t xml:space="preserve">ный университет»  в рамках реализации Года единства народов России и развития научных исследований и международного сотрудничества в области </w:t>
      </w:r>
      <w:r>
        <w:rPr>
          <w:sz w:val="21"/>
          <w:szCs w:val="21"/>
        </w:rPr>
        <w:t xml:space="preserve">алтаистики</w:t>
      </w:r>
      <w:r>
        <w:rPr>
          <w:sz w:val="21"/>
          <w:szCs w:val="21"/>
        </w:rPr>
        <w:t xml:space="preserve"> и тюркологии и реализации пункта №1 «Проектир</w:t>
      </w:r>
      <w:r>
        <w:rPr>
          <w:sz w:val="21"/>
          <w:szCs w:val="21"/>
        </w:rPr>
        <w:t xml:space="preserve">о</w:t>
      </w:r>
      <w:r>
        <w:rPr>
          <w:sz w:val="21"/>
          <w:szCs w:val="21"/>
        </w:rPr>
        <w:t xml:space="preserve">вание и проведение международных конференций, круглых столов для обобщения, систематизации и поп</w:t>
      </w:r>
      <w:r>
        <w:rPr>
          <w:sz w:val="21"/>
          <w:szCs w:val="21"/>
        </w:rPr>
        <w:t xml:space="preserve">у</w:t>
      </w:r>
      <w:r>
        <w:rPr>
          <w:sz w:val="21"/>
          <w:szCs w:val="21"/>
        </w:rPr>
        <w:t xml:space="preserve">ляризации историко-культурного населения тюркской цивилизации с участием </w:t>
      </w:r>
      <w:r>
        <w:rPr>
          <w:sz w:val="21"/>
          <w:szCs w:val="21"/>
        </w:rPr>
        <w:t xml:space="preserve">университетов и академич</w:t>
      </w:r>
      <w:r>
        <w:rPr>
          <w:sz w:val="21"/>
          <w:szCs w:val="21"/>
        </w:rPr>
        <w:t xml:space="preserve">е</w:t>
      </w:r>
      <w:r>
        <w:rPr>
          <w:sz w:val="21"/>
          <w:szCs w:val="21"/>
        </w:rPr>
        <w:t xml:space="preserve">ских структур стран Большого А</w:t>
      </w:r>
      <w:r>
        <w:rPr>
          <w:sz w:val="21"/>
          <w:szCs w:val="21"/>
        </w:rPr>
        <w:t xml:space="preserve">лтая и Центральной Азии» (Паспорт проекта (реестровый номер - 850000Ф.99.1.БН66АА04000) «Научно-экспертная и организационно-методическая работа по обеспечению мероприятия проекта "Тюркский мир "Большого Алтая": единство и многообразие в истории и современн</w:t>
      </w:r>
      <w:r>
        <w:rPr>
          <w:sz w:val="21"/>
          <w:szCs w:val="21"/>
        </w:rPr>
        <w:t xml:space="preserve">о</w:t>
      </w:r>
      <w:r>
        <w:rPr>
          <w:sz w:val="21"/>
          <w:szCs w:val="21"/>
        </w:rPr>
        <w:t xml:space="preserve">сти"»</w:t>
      </w:r>
      <w:r>
        <w:rPr>
          <w:sz w:val="21"/>
          <w:szCs w:val="21"/>
        </w:rPr>
      </w:r>
    </w:p>
    <w:p>
      <w:pPr>
        <w:jc w:val="center"/>
        <w:spacing w:line="240" w:lineRule="auto"/>
        <w:rPr>
          <w:sz w:val="22"/>
          <w:szCs w:val="22"/>
        </w:rPr>
      </w:pPr>
      <w:r>
        <w:t xml:space="preserve">ИКЗ № 26 1 2225004738 222501001 0042 06</w:t>
      </w:r>
      <w:r>
        <w:t xml:space="preserve">1</w:t>
      </w:r>
      <w:r>
        <w:t xml:space="preserve"> 0000 000</w:t>
      </w:r>
      <w:r>
        <w:rPr>
          <w:sz w:val="22"/>
          <w:szCs w:val="22"/>
        </w:rPr>
      </w:r>
    </w:p>
    <w:p>
      <w:pPr>
        <w:pStyle w:val="911"/>
        <w:ind w:firstLine="0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1"/>
        <w:ind w:firstLine="0"/>
        <w:spacing w:line="240" w:lineRule="auto"/>
        <w:rPr>
          <w:rFonts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Барнаул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«___»  ______________2026 года</w:t>
      </w:r>
      <w:r>
        <w:rPr>
          <w:rFonts w:cs="Times New Roman"/>
          <w:sz w:val="22"/>
          <w:szCs w:val="22"/>
        </w:rPr>
      </w:r>
    </w:p>
    <w:p>
      <w:pPr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«Алтайский государственный университет», именуемое в дальнейшем «Заказчик», в лице </w:t>
      </w:r>
      <w:r>
        <w:rPr>
          <w:rFonts w:ascii="Times New Roman" w:hAnsi="Times New Roman" w:cs="Times New Roman"/>
          <w:lang w:eastAsia="ru-RU"/>
        </w:rPr>
        <w:t xml:space="preserve">ректора </w:t>
      </w:r>
      <w:r>
        <w:rPr>
          <w:rFonts w:ascii="Times New Roman" w:hAnsi="Times New Roman" w:cs="Times New Roman"/>
          <w:lang w:eastAsia="ru-RU"/>
        </w:rPr>
        <w:t xml:space="preserve">Боч</w:t>
      </w:r>
      <w:r>
        <w:rPr>
          <w:rFonts w:ascii="Times New Roman" w:hAnsi="Times New Roman" w:cs="Times New Roman"/>
          <w:lang w:eastAsia="ru-RU"/>
        </w:rPr>
        <w:t xml:space="preserve">а</w:t>
      </w:r>
      <w:r>
        <w:rPr>
          <w:rFonts w:ascii="Times New Roman" w:hAnsi="Times New Roman" w:cs="Times New Roman"/>
          <w:lang w:eastAsia="ru-RU"/>
        </w:rPr>
        <w:t xml:space="preserve">рова</w:t>
      </w:r>
      <w:r>
        <w:rPr>
          <w:rFonts w:ascii="Times New Roman" w:hAnsi="Times New Roman" w:cs="Times New Roman"/>
          <w:lang w:eastAsia="ru-RU"/>
        </w:rPr>
        <w:t xml:space="preserve"> Сергея Николаевича, действующего на основании Устава</w:t>
      </w:r>
      <w:r>
        <w:rPr>
          <w:rFonts w:ascii="Times New Roman" w:hAnsi="Times New Roman" w:cs="Times New Roman"/>
        </w:rPr>
        <w:t xml:space="preserve">, с одной стороны, и </w:t>
      </w:r>
      <w:r>
        <w:rPr>
          <w:rFonts w:ascii="Times New Roman" w:hAnsi="Times New Roman" w:cs="Times New Roman"/>
        </w:rPr>
      </w:r>
    </w:p>
    <w:p>
      <w:pPr>
        <w:pStyle w:val="9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________________________, именуемый в </w:t>
      </w:r>
      <w:r>
        <w:rPr>
          <w:rFonts w:ascii="Times New Roman" w:hAnsi="Times New Roman" w:cs="Times New Roman"/>
        </w:rPr>
        <w:t xml:space="preserve">дальнейшем</w:t>
      </w:r>
      <w:r>
        <w:rPr>
          <w:rFonts w:ascii="Times New Roman" w:hAnsi="Times New Roman" w:cs="Times New Roman"/>
        </w:rPr>
        <w:t xml:space="preserve"> «Исполнитель», в лице ______________________, действующей на основании __________________, с другой стороны, в дал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нейшем вместе именуемые «Стороны»,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на основании пункта 5 части 1 статьи 93 Федерального закона № 44-ФЗ от 05 апреля 2013 г. «О контрактной системе в сфере закупок товаров, работ, услуг для обеспечения государственных и мун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ципальных нужд» (заявка Z-26-0136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), заключили настоящий Контракт, (далее – Контракт) о нижесл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3"/>
        <w:numPr>
          <w:ilvl w:val="0"/>
          <w:numId w:val="0"/>
        </w:numPr>
        <w:ind w:firstLine="567"/>
        <w:jc w:val="center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1. Предмет Контракта</w:t>
      </w:r>
      <w:r>
        <w:rPr>
          <w:sz w:val="22"/>
          <w:szCs w:val="22"/>
        </w:rPr>
      </w:r>
    </w:p>
    <w:p>
      <w:pPr>
        <w:contextualSpacing/>
        <w:ind w:firstLine="709"/>
        <w:jc w:val="both"/>
        <w:keepLines/>
        <w:keepNext/>
        <w:spacing w:line="240" w:lineRule="auto"/>
        <w:rPr>
          <w:sz w:val="22"/>
          <w:szCs w:val="22"/>
        </w:rPr>
        <w:suppressLineNumbers/>
      </w:pPr>
      <w:r>
        <w:rPr>
          <w:sz w:val="22"/>
          <w:szCs w:val="22"/>
        </w:rPr>
        <w:t xml:space="preserve">1.1. Исполнитель обязуется по заданию Заказчика оказать услуги</w:t>
      </w: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по организации проживания участников научно-исследовательской международной этнографической экспедиции «Большой Алтай: тюр</w:t>
      </w:r>
      <w:r>
        <w:rPr>
          <w:sz w:val="21"/>
          <w:szCs w:val="21"/>
        </w:rPr>
        <w:t xml:space="preserve">к</w:t>
      </w:r>
      <w:r>
        <w:rPr>
          <w:sz w:val="21"/>
          <w:szCs w:val="21"/>
        </w:rPr>
        <w:t xml:space="preserve">ское наследие – 2026»  ФГБОУ </w:t>
      </w:r>
      <w:r>
        <w:rPr>
          <w:sz w:val="21"/>
          <w:szCs w:val="21"/>
        </w:rPr>
        <w:t xml:space="preserve">ВО</w:t>
      </w:r>
      <w:r>
        <w:rPr>
          <w:sz w:val="21"/>
          <w:szCs w:val="21"/>
        </w:rPr>
        <w:t xml:space="preserve"> «Алтайский государственный университет»  в рамках реализации Года единства народов России и развития научных исследований и международного сотрудничества в области </w:t>
      </w:r>
      <w:r>
        <w:rPr>
          <w:sz w:val="21"/>
          <w:szCs w:val="21"/>
        </w:rPr>
        <w:t xml:space="preserve">а</w:t>
      </w:r>
      <w:r>
        <w:rPr>
          <w:sz w:val="21"/>
          <w:szCs w:val="21"/>
        </w:rPr>
        <w:t xml:space="preserve">л</w:t>
      </w:r>
      <w:r>
        <w:rPr>
          <w:sz w:val="21"/>
          <w:szCs w:val="21"/>
        </w:rPr>
        <w:t xml:space="preserve">таистики</w:t>
      </w:r>
      <w:r>
        <w:rPr>
          <w:sz w:val="21"/>
          <w:szCs w:val="21"/>
        </w:rPr>
        <w:t xml:space="preserve"> и тюркологии и реализации пункта №1 «Проектирование и проведение международных конфере</w:t>
      </w:r>
      <w:r>
        <w:rPr>
          <w:sz w:val="21"/>
          <w:szCs w:val="21"/>
        </w:rPr>
        <w:t xml:space="preserve">н</w:t>
      </w:r>
      <w:r>
        <w:rPr>
          <w:sz w:val="21"/>
          <w:szCs w:val="21"/>
        </w:rPr>
        <w:t xml:space="preserve">ций, круглых столов для обобщения, систематизации и популяризации </w:t>
      </w:r>
      <w:r>
        <w:rPr>
          <w:sz w:val="21"/>
          <w:szCs w:val="21"/>
        </w:rPr>
        <w:t xml:space="preserve">историко-культурного населения тюркской цивилизации с участием университетов и академических структур стран Большого Алтая и Це</w:t>
      </w:r>
      <w:r>
        <w:rPr>
          <w:sz w:val="21"/>
          <w:szCs w:val="21"/>
        </w:rPr>
        <w:t xml:space="preserve">н</w:t>
      </w:r>
      <w:r>
        <w:rPr>
          <w:sz w:val="21"/>
          <w:szCs w:val="21"/>
        </w:rPr>
        <w:t xml:space="preserve">тральной Азии» (Паспорт проекта (реестровый номер - 850000Ф.99.1.БН66АА04000) «Научно-экспертная и организационно-методическая работа по обеспечению мероприятия проекта "Тюркский мир "Большого А</w:t>
      </w:r>
      <w:r>
        <w:rPr>
          <w:sz w:val="21"/>
          <w:szCs w:val="21"/>
        </w:rPr>
        <w:t xml:space="preserve">л</w:t>
      </w:r>
      <w:r>
        <w:rPr>
          <w:sz w:val="21"/>
          <w:szCs w:val="21"/>
        </w:rPr>
        <w:t xml:space="preserve">тая": единство и многообразие в истории и современно</w:t>
      </w:r>
      <w:r>
        <w:rPr>
          <w:sz w:val="21"/>
          <w:szCs w:val="21"/>
        </w:rPr>
        <w:t xml:space="preserve">сти"»</w:t>
      </w:r>
      <w:r>
        <w:rPr>
          <w:sz w:val="22"/>
          <w:szCs w:val="22"/>
        </w:rPr>
        <w:t xml:space="preserve">, (далее - Услуга), а Заказчик принять и опл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тить оказанные Услуги в соответствии с условиями Контракта.   </w:t>
      </w:r>
      <w:r>
        <w:rPr>
          <w:sz w:val="22"/>
          <w:szCs w:val="22"/>
        </w:rPr>
      </w:r>
    </w:p>
    <w:p>
      <w:pPr>
        <w:pStyle w:val="693"/>
        <w:ind w:firstLine="567"/>
        <w:jc w:val="center"/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93"/>
        <w:ind w:firstLine="567"/>
        <w:jc w:val="center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Цена </w:t>
      </w:r>
      <w:r>
        <w:rPr>
          <w:bCs/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и порядок расчетов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2.1. Цена настоящего Контракта составляет</w:t>
      </w:r>
      <w:r>
        <w:rPr>
          <w:sz w:val="22"/>
          <w:szCs w:val="22"/>
        </w:rPr>
        <w:t xml:space="preserve">: ____________ (____________) </w:t>
      </w:r>
      <w:r>
        <w:rPr>
          <w:sz w:val="22"/>
          <w:szCs w:val="22"/>
        </w:rPr>
        <w:t xml:space="preserve">рублей __ копеек, в том числе НДС/без НДС.</w:t>
      </w:r>
      <w:r>
        <w:rPr>
          <w:sz w:val="22"/>
          <w:szCs w:val="22"/>
        </w:rPr>
      </w:r>
    </w:p>
    <w:p>
      <w:pPr>
        <w:contextualSpacing/>
        <w:ind w:firstLine="709"/>
        <w:jc w:val="both"/>
        <w:keepLines/>
        <w:keepNext/>
        <w:spacing w:line="240" w:lineRule="auto"/>
        <w:shd w:val="clear" w:color="auto" w:fill="ffffff"/>
        <w:rPr>
          <w:rFonts w:eastAsia="Calibri"/>
          <w:b/>
          <w:sz w:val="22"/>
          <w:szCs w:val="22"/>
        </w:rPr>
        <w:suppressLineNumbers/>
      </w:pPr>
      <w:r>
        <w:rPr>
          <w:spacing w:val="3"/>
          <w:sz w:val="22"/>
          <w:szCs w:val="22"/>
          <w:lang w:eastAsia="ar-SA"/>
        </w:rPr>
        <w:t xml:space="preserve">Цена за оказанные услуги включает стоимость услуг, стоимость материалов, расходы на упл</w:t>
      </w:r>
      <w:r>
        <w:rPr>
          <w:spacing w:val="3"/>
          <w:sz w:val="22"/>
          <w:szCs w:val="22"/>
          <w:lang w:eastAsia="ar-SA"/>
        </w:rPr>
        <w:t xml:space="preserve">а</w:t>
      </w:r>
      <w:r>
        <w:rPr>
          <w:spacing w:val="3"/>
          <w:sz w:val="22"/>
          <w:szCs w:val="22"/>
          <w:lang w:eastAsia="ar-SA"/>
        </w:rPr>
        <w:t xml:space="preserve">ту налогов, сборов, других обязательных платежей, страхование, таможенных пошлин, транспортных расходов и других возможных расходов Исполнителя, связанных с исполнением </w:t>
      </w:r>
      <w:r>
        <w:rPr>
          <w:spacing w:val="3"/>
          <w:sz w:val="22"/>
          <w:szCs w:val="22"/>
          <w:lang w:eastAsia="ar-SA"/>
        </w:rPr>
        <w:t xml:space="preserve">К</w:t>
      </w:r>
      <w:r>
        <w:rPr>
          <w:spacing w:val="3"/>
          <w:sz w:val="22"/>
          <w:szCs w:val="22"/>
          <w:lang w:eastAsia="ar-SA"/>
        </w:rPr>
        <w:t xml:space="preserve">онтракта.</w:t>
      </w:r>
      <w:r>
        <w:rPr>
          <w:rFonts w:eastAsia="Calibri"/>
          <w:b/>
          <w:sz w:val="22"/>
          <w:szCs w:val="22"/>
        </w:rPr>
      </w:r>
    </w:p>
    <w:p>
      <w:pPr>
        <w:pStyle w:val="911"/>
        <w:ind w:firstLine="567"/>
        <w:spacing w:line="240" w:lineRule="auto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Цена Контракта является твердой и определяется на весь срок исполнения Контракта, за и</w:t>
      </w:r>
      <w:r>
        <w:rPr>
          <w:rFonts w:ascii="Times New Roman" w:hAnsi="Times New Roman" w:cs="Times New Roman"/>
          <w:sz w:val="22"/>
          <w:szCs w:val="22"/>
        </w:rPr>
        <w:t xml:space="preserve">с</w:t>
      </w:r>
      <w:r>
        <w:rPr>
          <w:rFonts w:ascii="Times New Roman" w:hAnsi="Times New Roman" w:cs="Times New Roman"/>
          <w:sz w:val="22"/>
          <w:szCs w:val="22"/>
        </w:rPr>
        <w:t xml:space="preserve">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 </w:t>
      </w:r>
      <w:r>
        <w:rPr>
          <w:sz w:val="22"/>
          <w:szCs w:val="22"/>
        </w:rPr>
        <w:t xml:space="preserve">Оплата Услуг осуществляется безналичным платежом, на расчетный счет Исполнителя, по факту оказани</w:t>
      </w:r>
      <w:r>
        <w:rPr>
          <w:sz w:val="22"/>
          <w:szCs w:val="22"/>
        </w:rPr>
        <w:t xml:space="preserve">я Услуги в срок не более десяти рабочих дней с даты подписания документа о приемке оказанной Услуги (Акта приемки товаров, работ, услуг (ф. 0510452)) на основании счета, акта оказанных услуг или УПД, списка участников, с указанием ФИО,  места проживания, №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комнат (при наличии), д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ты проживания, количества суток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911"/>
        <w:ind w:firstLine="567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Источник финансирования - средства бюджетных учреждений: за счет средств субсидии на финансовое обеспечение выполнения государственного задания на оказание государственных услуг (выполнение работ).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1"/>
        <w:ind w:firstLine="567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Заказчик имеет право произвести полный отказ от оплаты расходов, не предусмотренных Ко</w:t>
      </w:r>
      <w:r>
        <w:rPr>
          <w:rFonts w:ascii="Times New Roman" w:hAnsi="Times New Roman" w:cs="Times New Roman"/>
          <w:sz w:val="22"/>
          <w:szCs w:val="22"/>
        </w:rPr>
        <w:t xml:space="preserve">н</w:t>
      </w:r>
      <w:r>
        <w:rPr>
          <w:rFonts w:ascii="Times New Roman" w:hAnsi="Times New Roman" w:cs="Times New Roman"/>
          <w:sz w:val="22"/>
          <w:szCs w:val="22"/>
        </w:rPr>
        <w:t xml:space="preserve">трактом.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11"/>
        <w:ind w:firstLine="567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11"/>
        <w:ind w:firstLine="567"/>
        <w:jc w:val="center"/>
        <w:spacing w:line="240" w:lineRule="auto"/>
        <w:rPr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Обязательства Сторон</w:t>
      </w:r>
      <w:r>
        <w:rPr>
          <w:sz w:val="22"/>
          <w:szCs w:val="22"/>
        </w:rPr>
      </w:r>
    </w:p>
    <w:p>
      <w:pPr>
        <w:ind w:firstLine="567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3.1. Исполнитель обязуется: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3.1.1. Оказать Услуги в сроки и в </w:t>
      </w:r>
      <w:r>
        <w:rPr>
          <w:sz w:val="22"/>
          <w:szCs w:val="22"/>
        </w:rPr>
        <w:t xml:space="preserve">объеме</w:t>
      </w:r>
      <w:r>
        <w:rPr>
          <w:sz w:val="22"/>
          <w:szCs w:val="22"/>
        </w:rPr>
        <w:t xml:space="preserve"> предусмотренные Контрактом, а также в соответствии со Спецификацией (Приложение № 1 к Контракту); 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3.1.2. Гарантировать качество оказываемых Услуг по настоящему Контракту;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3.1.3. Обеспечить соответствие оказываемых Услуг требованиям качества, безопасности жизни и здоровья окружающих, а также требованиям сертификации, безопасности (санитарным нормам и прав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лам, государственным стандартам и т.п.);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3.1.4. Немедленно информировать Заказчика обо всех изменениях, которые могут повлиять на оказание Услуг по настоящему Контракту.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3.2. Исполнитель вправе: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3.2.1. требовать от Заказчика произвести приемку Услуги  в </w:t>
      </w:r>
      <w:r>
        <w:rPr>
          <w:sz w:val="22"/>
          <w:szCs w:val="22"/>
        </w:rPr>
        <w:t xml:space="preserve">порядке</w:t>
      </w:r>
      <w:r>
        <w:rPr>
          <w:sz w:val="22"/>
          <w:szCs w:val="22"/>
        </w:rPr>
        <w:t xml:space="preserve"> и в сроки, предусмотренные Контрактом;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3.2.2. требовать своевременной оплаты на условиях, установленных Контрактом;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3.2.3. принять решение об одностороннем отказе от исполнения Контракта в соответствии с гра</w:t>
      </w:r>
      <w:r>
        <w:rPr>
          <w:sz w:val="22"/>
          <w:szCs w:val="22"/>
        </w:rPr>
        <w:t xml:space="preserve">ж</w:t>
      </w:r>
      <w:r>
        <w:rPr>
          <w:sz w:val="22"/>
          <w:szCs w:val="22"/>
        </w:rPr>
        <w:t xml:space="preserve">данским законодательством; </w:t>
      </w:r>
      <w:r>
        <w:rPr>
          <w:sz w:val="22"/>
          <w:szCs w:val="22"/>
        </w:rPr>
      </w:r>
    </w:p>
    <w:p>
      <w:pPr>
        <w:ind w:firstLine="567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3.3. Заказчик обязуется:</w:t>
      </w:r>
      <w:r>
        <w:rPr>
          <w:sz w:val="22"/>
          <w:szCs w:val="22"/>
        </w:rPr>
      </w:r>
    </w:p>
    <w:p>
      <w:pPr>
        <w:ind w:firstLine="567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3.3.1. Оплатить Услуги в </w:t>
      </w:r>
      <w:r>
        <w:rPr>
          <w:sz w:val="22"/>
          <w:szCs w:val="22"/>
        </w:rPr>
        <w:t xml:space="preserve">соответствии</w:t>
      </w:r>
      <w:r>
        <w:rPr>
          <w:sz w:val="22"/>
          <w:szCs w:val="22"/>
        </w:rPr>
        <w:t xml:space="preserve"> с настоящим Контрактом;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3.3.2.  Принять Услуги и в </w:t>
      </w:r>
      <w:r>
        <w:rPr>
          <w:sz w:val="22"/>
          <w:szCs w:val="22"/>
        </w:rPr>
        <w:t xml:space="preserve">случае</w:t>
      </w:r>
      <w:r>
        <w:rPr>
          <w:sz w:val="22"/>
          <w:szCs w:val="22"/>
        </w:rPr>
        <w:t xml:space="preserve"> отсутствия претензий относительно их объема, качества и с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блюдения сроков их оказания;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3.4. Заказчик вправе: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3.4.1. требовать от Исполнителя надлежащего исполнения обязательств по Контракту;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3.4.2. отказаться от приемки и оплаты Услуги, не соответствующей условиям Контракта;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3.4.3. принять решение об одностороннем отказе от исполнения Контракта по основаниям, пред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center"/>
        <w:spacing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Срок и место оказания услуг</w:t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</w:pPr>
      <w:r>
        <w:t xml:space="preserve">4.1. График оказания Услуг: </w:t>
      </w:r>
      <w:r>
        <w:t xml:space="preserve">с даты заключения</w:t>
      </w:r>
      <w:r>
        <w:t xml:space="preserve"> Контракта по 1</w:t>
      </w:r>
      <w:r>
        <w:t xml:space="preserve">8</w:t>
      </w:r>
      <w:r>
        <w:t xml:space="preserve"> августа 2026 года.</w:t>
      </w:r>
      <w:r/>
    </w:p>
    <w:p>
      <w:pPr>
        <w:contextualSpacing/>
        <w:ind w:firstLine="567"/>
        <w:tabs>
          <w:tab w:val="left" w:pos="284" w:leader="none"/>
        </w:tabs>
      </w:pPr>
      <w:r>
        <w:t xml:space="preserve">4.2. Место оказания Услуг: </w:t>
      </w:r>
      <w:r/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</w:pPr>
      <w:r>
        <w:t xml:space="preserve">–</w:t>
      </w:r>
      <w:r>
        <w:t xml:space="preserve">респ</w:t>
      </w:r>
      <w:r>
        <w:t xml:space="preserve">. Алтай, </w:t>
      </w:r>
      <w:r>
        <w:t xml:space="preserve">г.о</w:t>
      </w:r>
      <w:r>
        <w:t xml:space="preserve">. город Горно-Алтайск, г. Горно-Алтайск, отель «Старт»;</w:t>
      </w:r>
      <w:r/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</w:pPr>
      <w:r>
        <w:t xml:space="preserve">–</w:t>
      </w:r>
      <w:r>
        <w:tab/>
      </w:r>
      <w:r>
        <w:t xml:space="preserve">респ</w:t>
      </w:r>
      <w:r>
        <w:t xml:space="preserve">. Алтай, </w:t>
      </w:r>
      <w:r>
        <w:t xml:space="preserve">м.о</w:t>
      </w:r>
      <w:r>
        <w:t xml:space="preserve">. </w:t>
      </w:r>
      <w:r>
        <w:t xml:space="preserve">Турочакский</w:t>
      </w:r>
      <w:r>
        <w:t xml:space="preserve"> район, с. Артыбаш, база отдыха «Алтын-</w:t>
      </w:r>
      <w:r>
        <w:t xml:space="preserve">Кель</w:t>
      </w:r>
      <w:r>
        <w:t xml:space="preserve">»;</w:t>
      </w:r>
      <w:r/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</w:pPr>
      <w:r>
        <w:t xml:space="preserve">–</w:t>
      </w:r>
      <w:r>
        <w:tab/>
      </w:r>
      <w:r>
        <w:t xml:space="preserve">респ</w:t>
      </w:r>
      <w:r>
        <w:t xml:space="preserve">. Алтай, </w:t>
      </w:r>
      <w:r>
        <w:t xml:space="preserve">м</w:t>
      </w:r>
      <w:r>
        <w:t xml:space="preserve">.р</w:t>
      </w:r>
      <w:r>
        <w:t xml:space="preserve">-н </w:t>
      </w:r>
      <w:r>
        <w:t xml:space="preserve">Усть-Канский</w:t>
      </w:r>
      <w:r>
        <w:t xml:space="preserve">, </w:t>
      </w:r>
      <w:r>
        <w:t xml:space="preserve">с.п</w:t>
      </w:r>
      <w:r>
        <w:t xml:space="preserve">. </w:t>
      </w:r>
      <w:r>
        <w:t xml:space="preserve">Усть-Канское</w:t>
      </w:r>
      <w:r>
        <w:t xml:space="preserve">, с. Усть-Кан, гостиница Надежда и/или  гостиница </w:t>
      </w:r>
      <w:r>
        <w:t xml:space="preserve">Айылчы</w:t>
      </w:r>
      <w:r>
        <w:t xml:space="preserve"> Тура;</w:t>
      </w:r>
      <w:r/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</w:pPr>
      <w:r>
        <w:t xml:space="preserve">–</w:t>
      </w:r>
      <w:r>
        <w:tab/>
      </w:r>
      <w:r>
        <w:t xml:space="preserve">респ</w:t>
      </w:r>
      <w:r>
        <w:t xml:space="preserve">. Алтай, </w:t>
      </w:r>
      <w:r>
        <w:t xml:space="preserve">м</w:t>
      </w:r>
      <w:r>
        <w:t xml:space="preserve">.р</w:t>
      </w:r>
      <w:r>
        <w:t xml:space="preserve">-н </w:t>
      </w:r>
      <w:r>
        <w:t xml:space="preserve">Усть-Канский</w:t>
      </w:r>
      <w:r>
        <w:t xml:space="preserve">, </w:t>
      </w:r>
      <w:r>
        <w:t xml:space="preserve">с.п</w:t>
      </w:r>
      <w:r>
        <w:t xml:space="preserve">. </w:t>
      </w:r>
      <w:r>
        <w:t xml:space="preserve">Усть-Канское</w:t>
      </w:r>
      <w:r>
        <w:t xml:space="preserve">, с. Усть-Кан, эко-отель «Альтаир».</w:t>
      </w:r>
      <w:r/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</w:pPr>
      <w:r/>
      <w:r/>
    </w:p>
    <w:p>
      <w:pPr>
        <w:ind w:firstLine="567"/>
        <w:jc w:val="center"/>
        <w:spacing w:line="240" w:lineRule="auto"/>
      </w:pPr>
      <w:r>
        <w:rPr>
          <w:b/>
          <w:sz w:val="22"/>
          <w:szCs w:val="22"/>
        </w:rPr>
        <w:t xml:space="preserve">5. Требования, предъявляемые к услугам и порядок приемки</w:t>
      </w:r>
      <w:r/>
    </w:p>
    <w:p>
      <w:pPr>
        <w:pStyle w:val="92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5.1. Условия оказания Услуг</w:t>
      </w:r>
      <w:r>
        <w:rPr>
          <w:rFonts w:ascii="Times New Roman" w:hAnsi="Times New Roman" w:cs="Times New Roman"/>
          <w:lang w:eastAsia="ru-RU"/>
        </w:rPr>
        <w:t xml:space="preserve">: </w:t>
      </w:r>
      <w:r>
        <w:rPr>
          <w:rFonts w:ascii="Times New Roman" w:hAnsi="Times New Roman" w:cs="Times New Roman"/>
          <w:lang w:eastAsia="ru-RU"/>
        </w:rPr>
        <w:t xml:space="preserve">Весь комплекс оказываемых </w:t>
      </w:r>
      <w:r>
        <w:rPr>
          <w:rFonts w:ascii="Times New Roman" w:hAnsi="Times New Roman" w:cs="Times New Roman"/>
          <w:lang w:eastAsia="ru-RU"/>
        </w:rPr>
        <w:t xml:space="preserve">У</w:t>
      </w:r>
      <w:r>
        <w:rPr>
          <w:rFonts w:ascii="Times New Roman" w:hAnsi="Times New Roman" w:cs="Times New Roman"/>
          <w:lang w:eastAsia="ru-RU"/>
        </w:rPr>
        <w:t xml:space="preserve">слуг должен быть оказан в </w:t>
      </w:r>
      <w:r>
        <w:rPr>
          <w:rFonts w:ascii="Times New Roman" w:hAnsi="Times New Roman" w:cs="Times New Roman"/>
          <w:lang w:eastAsia="ru-RU"/>
        </w:rPr>
        <w:t xml:space="preserve">соотве</w:t>
      </w:r>
      <w:r>
        <w:rPr>
          <w:rFonts w:ascii="Times New Roman" w:hAnsi="Times New Roman" w:cs="Times New Roman"/>
          <w:lang w:eastAsia="ru-RU"/>
        </w:rPr>
        <w:t xml:space="preserve">т</w:t>
      </w:r>
      <w:r>
        <w:rPr>
          <w:rFonts w:ascii="Times New Roman" w:hAnsi="Times New Roman" w:cs="Times New Roman"/>
          <w:lang w:eastAsia="ru-RU"/>
        </w:rPr>
        <w:t xml:space="preserve">ствии</w:t>
      </w:r>
      <w:r>
        <w:rPr>
          <w:rFonts w:ascii="Times New Roman" w:hAnsi="Times New Roman" w:cs="Times New Roman"/>
          <w:lang w:eastAsia="ru-RU"/>
        </w:rPr>
        <w:t xml:space="preserve"> с законодательными и нормативно-правовыми требованиями, действующими в настоящее время на территории Российской Федерации:</w:t>
      </w:r>
      <w:r>
        <w:rPr>
          <w:rFonts w:ascii="Times New Roman" w:hAnsi="Times New Roman" w:cs="Times New Roman"/>
          <w:lang w:eastAsia="ru-RU"/>
        </w:rPr>
      </w:r>
    </w:p>
    <w:p>
      <w:pPr>
        <w:pStyle w:val="92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–</w:t>
      </w:r>
      <w:r>
        <w:rPr>
          <w:rFonts w:ascii="Times New Roman" w:hAnsi="Times New Roman" w:cs="Times New Roman"/>
          <w:lang w:eastAsia="ru-RU"/>
        </w:rPr>
        <w:tab/>
        <w:t xml:space="preserve">Федеральный закон от 27.07.2006 N 152-ФЗ «О персональных данных»;</w:t>
      </w:r>
      <w:r>
        <w:rPr>
          <w:rFonts w:ascii="Times New Roman" w:hAnsi="Times New Roman" w:cs="Times New Roman"/>
          <w:lang w:eastAsia="ru-RU"/>
        </w:rPr>
      </w:r>
    </w:p>
    <w:p>
      <w:pPr>
        <w:pStyle w:val="92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–</w:t>
      </w:r>
      <w:r>
        <w:rPr>
          <w:rFonts w:ascii="Times New Roman" w:hAnsi="Times New Roman" w:cs="Times New Roman"/>
          <w:lang w:eastAsia="ru-RU"/>
        </w:rPr>
        <w:tab/>
        <w:t xml:space="preserve">Постановление Правительства Российской Федерации от 27 ноября 2025 г. № 1912 «Об утверждении Правил предоставления гостиничных услуг и услуг иных средств размещения в Росси</w:t>
      </w:r>
      <w:r>
        <w:rPr>
          <w:rFonts w:ascii="Times New Roman" w:hAnsi="Times New Roman" w:cs="Times New Roman"/>
          <w:lang w:eastAsia="ru-RU"/>
        </w:rPr>
        <w:t xml:space="preserve">й</w:t>
      </w:r>
      <w:r>
        <w:rPr>
          <w:rFonts w:ascii="Times New Roman" w:hAnsi="Times New Roman" w:cs="Times New Roman"/>
          <w:lang w:eastAsia="ru-RU"/>
        </w:rPr>
        <w:t xml:space="preserve">ской Федерации»</w:t>
      </w:r>
      <w:r>
        <w:rPr>
          <w:rFonts w:ascii="Times New Roman" w:hAnsi="Times New Roman" w:cs="Times New Roman"/>
          <w:lang w:eastAsia="ru-RU"/>
        </w:rPr>
      </w:r>
    </w:p>
    <w:p>
      <w:pPr>
        <w:pStyle w:val="9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Исполнитель должен обеспечить соответствие оказываемых услуг требованиям качества, бе</w:t>
      </w:r>
      <w:r>
        <w:rPr>
          <w:rFonts w:ascii="Times New Roman" w:hAnsi="Times New Roman" w:cs="Times New Roman"/>
          <w:lang w:eastAsia="ru-RU"/>
        </w:rPr>
        <w:t xml:space="preserve">з</w:t>
      </w:r>
      <w:r>
        <w:rPr>
          <w:rFonts w:ascii="Times New Roman" w:hAnsi="Times New Roman" w:cs="Times New Roman"/>
          <w:lang w:eastAsia="ru-RU"/>
        </w:rPr>
        <w:t xml:space="preserve">опасности жизни и здоровья, а также иным требованиям сертификации, безопасности (санитарным но</w:t>
      </w:r>
      <w:r>
        <w:rPr>
          <w:rFonts w:ascii="Times New Roman" w:hAnsi="Times New Roman" w:cs="Times New Roman"/>
          <w:lang w:eastAsia="ru-RU"/>
        </w:rPr>
        <w:t xml:space="preserve">р</w:t>
      </w:r>
      <w:r>
        <w:rPr>
          <w:rFonts w:ascii="Times New Roman" w:hAnsi="Times New Roman" w:cs="Times New Roman"/>
          <w:lang w:eastAsia="ru-RU"/>
        </w:rPr>
        <w:t xml:space="preserve">мам и правилам, государственным стандартам и т.п.).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</w:r>
    </w:p>
    <w:p>
      <w:pPr>
        <w:pStyle w:val="92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5.2.  Требования к гарантии качества Услуг, а также требования к гарантийному сроку и (или) объему предоставления гарантий их качества:</w:t>
      </w:r>
      <w:r>
        <w:t xml:space="preserve"> </w:t>
      </w:r>
      <w:r>
        <w:rPr>
          <w:rFonts w:ascii="Times New Roman" w:hAnsi="Times New Roman" w:cs="Times New Roman"/>
          <w:lang w:eastAsia="ru-RU"/>
        </w:rPr>
        <w:t xml:space="preserve">Исполнитель должен обеспечить соответствие оказыва</w:t>
      </w:r>
      <w:r>
        <w:rPr>
          <w:rFonts w:ascii="Times New Roman" w:hAnsi="Times New Roman" w:cs="Times New Roman"/>
          <w:lang w:eastAsia="ru-RU"/>
        </w:rPr>
        <w:t xml:space="preserve">е</w:t>
      </w:r>
      <w:r>
        <w:rPr>
          <w:rFonts w:ascii="Times New Roman" w:hAnsi="Times New Roman" w:cs="Times New Roman"/>
          <w:lang w:eastAsia="ru-RU"/>
        </w:rPr>
        <w:t xml:space="preserve">мых услуг требованиям качества, безопасности жизни и здоровья окружающих, а также требованиям сертификации, безопасности (санитарным нормам и правилам, государственным стандартам и т.п.).</w:t>
      </w:r>
      <w:r>
        <w:rPr>
          <w:rFonts w:ascii="Times New Roman" w:hAnsi="Times New Roman" w:cs="Times New Roman"/>
          <w:lang w:eastAsia="ru-RU"/>
        </w:rPr>
      </w:r>
    </w:p>
    <w:p>
      <w:pPr>
        <w:pStyle w:val="9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Порядок приемки Услуг: </w:t>
      </w:r>
      <w:r>
        <w:rPr>
          <w:rFonts w:ascii="Times New Roman" w:hAnsi="Times New Roman" w:cs="Times New Roman"/>
        </w:rPr>
        <w:t xml:space="preserve">Исполнитель в течение 5 рабочих дней с момента оказания услуг представляет Заказчику акт оказанных услуг или универсальный передаточный документ (УПД), с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ставленный в двух оригинальных экземплярах и подписанный, со своей стороны. Вместе с актом ок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занных услуг (или УПД) Исполнитель передает Заказчику оригиналы счета на оплату, счета-фактуры (при наличии). К акту оказанных услуг (или УПД) должен быть приложен список участников с указан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ем ФИО, места проживания, № комнат (при наличии), даты проживания, количества суток.  Приемка </w:t>
      </w:r>
      <w:r>
        <w:rPr>
          <w:rFonts w:ascii="Times New Roman" w:hAnsi="Times New Roman" w:cs="Times New Roman"/>
        </w:rPr>
        <w:t xml:space="preserve">оказанных услуг ведется приемочной комиссией Заказчика. Приемочная комиссия Заказчика в течение 20 (Двадцати) рабочих дней со дня получ</w:t>
      </w:r>
      <w:r>
        <w:rPr>
          <w:rFonts w:ascii="Times New Roman" w:hAnsi="Times New Roman" w:cs="Times New Roman"/>
        </w:rPr>
        <w:t xml:space="preserve">ения акта оказанных услуг или универсального передаточного документа (УПД) от Исполнителя, проверяет соответствие качества услуг, установленным требованиям, формирует и подписывает акт приемки товаров, работ, услуг (ф. 0510452) (далее - акт приемки) с указ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нием (отсутствием) недостатков. После подписания приемочная комиссия Заказчика направляется акт приемки в адрес Исполнителя.  Обнаруженные недостатки устраняются Исполнителем за свой счет в течение 3(трех) календарных дней. </w:t>
      </w:r>
      <w:r>
        <w:rPr>
          <w:rFonts w:ascii="Times New Roman" w:hAnsi="Times New Roman" w:cs="Times New Roman"/>
        </w:rPr>
      </w:r>
    </w:p>
    <w:p>
      <w:pPr>
        <w:pStyle w:val="920"/>
        <w:ind w:firstLine="709"/>
        <w:jc w:val="both"/>
      </w:pPr>
      <w:r>
        <w:rPr>
          <w:rFonts w:ascii="Times New Roman" w:hAnsi="Times New Roman" w:cs="Times New Roman"/>
        </w:rPr>
        <w:t xml:space="preserve">Услуги считается принятыми </w:t>
      </w:r>
      <w:r>
        <w:rPr>
          <w:rFonts w:ascii="Times New Roman" w:hAnsi="Times New Roman" w:cs="Times New Roman"/>
        </w:rPr>
        <w:t xml:space="preserve">с даты подписания</w:t>
      </w:r>
      <w:r>
        <w:rPr>
          <w:rFonts w:ascii="Times New Roman" w:hAnsi="Times New Roman" w:cs="Times New Roman"/>
        </w:rPr>
        <w:t xml:space="preserve"> акта приемки товаров, работ, услуг (ф. 0510452).</w:t>
      </w:r>
      <w:r/>
    </w:p>
    <w:p>
      <w:pPr>
        <w:ind w:firstLine="709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5.4. Услуги считается принятыми Заказчиком </w:t>
      </w:r>
      <w:r>
        <w:rPr>
          <w:sz w:val="22"/>
          <w:szCs w:val="22"/>
        </w:rPr>
        <w:t xml:space="preserve">с даты подписания</w:t>
      </w:r>
      <w:r>
        <w:rPr>
          <w:sz w:val="22"/>
          <w:szCs w:val="22"/>
        </w:rPr>
        <w:t xml:space="preserve"> акта приемки товаров, работ, услуг (ф. 0510452).</w:t>
      </w:r>
      <w:r>
        <w:rPr>
          <w:sz w:val="22"/>
          <w:szCs w:val="22"/>
        </w:rPr>
      </w:r>
    </w:p>
    <w:p>
      <w:pPr>
        <w:ind w:firstLine="709"/>
        <w:jc w:val="both"/>
        <w:spacing w:line="216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spacing w:line="240" w:lineRule="auto"/>
        <w:tabs>
          <w:tab w:val="left" w:pos="3630" w:leader="none"/>
          <w:tab w:val="center" w:pos="5173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6. Ответственность Сторон</w:t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6.1. Сторона Контракта, имущественные интересы (деловая репутация) которой нарушены в р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зультате неисполнения или ненадлежащего исполнения обязательств по Контракту другой Стороной, вправе требовать полного возмещения причиненных ей этой Стороной убытков.</w:t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6.2. Ответственность Исполнителя: 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В случае просрочки исполнения Исполнителем обязательств (в том числе гарантийного обязател</w:t>
      </w:r>
      <w:r>
        <w:rPr>
          <w:rFonts w:eastAsia="Calibri"/>
          <w:sz w:val="22"/>
          <w:szCs w:val="22"/>
          <w:lang w:eastAsia="en-US"/>
        </w:rPr>
        <w:t xml:space="preserve">ь</w:t>
      </w:r>
      <w:r>
        <w:rPr>
          <w:rFonts w:eastAsia="Calibri"/>
          <w:sz w:val="22"/>
          <w:szCs w:val="22"/>
          <w:lang w:eastAsia="en-US"/>
        </w:rPr>
        <w:t xml:space="preserve">ства), предусмотренных Контрактом, а также в иных случаях неисполнения или ненадлежащего испо</w:t>
      </w:r>
      <w:r>
        <w:rPr>
          <w:rFonts w:eastAsia="Calibri"/>
          <w:sz w:val="22"/>
          <w:szCs w:val="22"/>
          <w:lang w:eastAsia="en-US"/>
        </w:rPr>
        <w:t xml:space="preserve">л</w:t>
      </w:r>
      <w:r>
        <w:rPr>
          <w:rFonts w:eastAsia="Calibri"/>
          <w:sz w:val="22"/>
          <w:szCs w:val="22"/>
          <w:lang w:eastAsia="en-US"/>
        </w:rPr>
        <w:t xml:space="preserve">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Пеня начисляется за каждый день просрочки исполнения Исполнителем обязательства, пред</w:t>
      </w:r>
      <w:r>
        <w:rPr>
          <w:rFonts w:eastAsia="Calibri"/>
          <w:sz w:val="22"/>
          <w:szCs w:val="22"/>
          <w:lang w:eastAsia="en-US"/>
        </w:rPr>
        <w:t xml:space="preserve">у</w:t>
      </w:r>
      <w:r>
        <w:rPr>
          <w:rFonts w:eastAsia="Calibri"/>
          <w:sz w:val="22"/>
          <w:szCs w:val="22"/>
          <w:lang w:eastAsia="en-US"/>
        </w:rPr>
        <w:t xml:space="preserve">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</w:t>
      </w:r>
      <w:r>
        <w:rPr>
          <w:rFonts w:eastAsia="Calibri"/>
          <w:sz w:val="22"/>
          <w:szCs w:val="22"/>
          <w:lang w:eastAsia="en-US"/>
        </w:rPr>
        <w:t xml:space="preserve">ю</w:t>
      </w:r>
      <w:r>
        <w:rPr>
          <w:rFonts w:eastAsia="Calibri"/>
          <w:sz w:val="22"/>
          <w:szCs w:val="22"/>
          <w:lang w:eastAsia="en-US"/>
        </w:rPr>
        <w:t xml:space="preserve">щей на дату уплаты пени ключевой ставки Центрального банка Российской Федерации от цены Ко</w:t>
      </w:r>
      <w:r>
        <w:rPr>
          <w:rFonts w:eastAsia="Calibri"/>
          <w:sz w:val="22"/>
          <w:szCs w:val="22"/>
          <w:lang w:eastAsia="en-US"/>
        </w:rPr>
        <w:t xml:space="preserve">н</w:t>
      </w:r>
      <w:r>
        <w:rPr>
          <w:rFonts w:eastAsia="Calibri"/>
          <w:sz w:val="22"/>
          <w:szCs w:val="22"/>
          <w:lang w:eastAsia="en-US"/>
        </w:rPr>
        <w:t xml:space="preserve">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Ко</w:t>
      </w:r>
      <w:r>
        <w:rPr>
          <w:rFonts w:eastAsia="Calibri"/>
          <w:sz w:val="22"/>
          <w:szCs w:val="22"/>
          <w:lang w:eastAsia="en-US"/>
        </w:rPr>
        <w:t xml:space="preserve">н</w:t>
      </w:r>
      <w:r>
        <w:rPr>
          <w:rFonts w:eastAsia="Calibri"/>
          <w:sz w:val="22"/>
          <w:szCs w:val="22"/>
          <w:lang w:eastAsia="en-US"/>
        </w:rPr>
        <w:t xml:space="preserve">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</w:t>
      </w:r>
      <w:r>
        <w:rPr>
          <w:rFonts w:eastAsia="Calibri"/>
          <w:sz w:val="22"/>
          <w:szCs w:val="22"/>
          <w:lang w:eastAsia="en-US"/>
        </w:rPr>
        <w:t xml:space="preserve">н</w:t>
      </w:r>
      <w:r>
        <w:rPr>
          <w:rFonts w:eastAsia="Calibri"/>
          <w:sz w:val="22"/>
          <w:szCs w:val="22"/>
          <w:lang w:eastAsia="en-US"/>
        </w:rPr>
        <w:t xml:space="preserve">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 процентов цены Контракта (этапа) в </w:t>
      </w:r>
      <w:r>
        <w:rPr>
          <w:rFonts w:eastAsia="Calibri"/>
          <w:sz w:val="22"/>
          <w:szCs w:val="22"/>
          <w:lang w:eastAsia="en-US"/>
        </w:rPr>
        <w:t xml:space="preserve">случае</w:t>
      </w:r>
      <w:r>
        <w:rPr>
          <w:rFonts w:eastAsia="Calibri"/>
          <w:sz w:val="22"/>
          <w:szCs w:val="22"/>
          <w:lang w:eastAsia="en-US"/>
        </w:rPr>
        <w:t xml:space="preserve">, если цена Контракта (этапа) не превышает 3 млн. рублей – ____________ руб.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</w:t>
      </w:r>
      <w:r>
        <w:rPr>
          <w:rFonts w:eastAsia="Calibri"/>
          <w:sz w:val="22"/>
          <w:szCs w:val="22"/>
          <w:lang w:eastAsia="en-US"/>
        </w:rPr>
        <w:t xml:space="preserve">и</w:t>
      </w:r>
      <w:r>
        <w:rPr>
          <w:rFonts w:eastAsia="Calibri"/>
          <w:sz w:val="22"/>
          <w:szCs w:val="22"/>
          <w:lang w:eastAsia="en-US"/>
        </w:rPr>
        <w:t xml:space="preserve">вается (при наличии в Контракте таких обязательств) в следующем порядке: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1000 рублей, если цена Контракта не превышает 3 млн. рублей.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Общая сумма начисленных штрафов за неисполнение или ненадлежащее исполнение Исполнит</w:t>
      </w:r>
      <w:r>
        <w:rPr>
          <w:rFonts w:eastAsia="Calibri"/>
          <w:sz w:val="22"/>
          <w:szCs w:val="22"/>
          <w:lang w:eastAsia="en-US"/>
        </w:rPr>
        <w:t xml:space="preserve">е</w:t>
      </w:r>
      <w:r>
        <w:rPr>
          <w:rFonts w:eastAsia="Calibri"/>
          <w:sz w:val="22"/>
          <w:szCs w:val="22"/>
          <w:lang w:eastAsia="en-US"/>
        </w:rPr>
        <w:t xml:space="preserve">лем обязательств, предусмотренных Контрактом, не может превышать цену Контракта.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6.3. Ответственность Заказчика: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</w:t>
      </w:r>
      <w:r>
        <w:rPr>
          <w:rFonts w:eastAsia="Calibri"/>
          <w:sz w:val="22"/>
          <w:szCs w:val="22"/>
          <w:lang w:eastAsia="en-US"/>
        </w:rPr>
        <w:t xml:space="preserve">н</w:t>
      </w:r>
      <w:r>
        <w:rPr>
          <w:rFonts w:eastAsia="Calibri"/>
          <w:sz w:val="22"/>
          <w:szCs w:val="22"/>
          <w:lang w:eastAsia="en-US"/>
        </w:rPr>
        <w:t xml:space="preserve">ных Контрактом, Исполнитель  вправе потребовать уплаты неустоек (штрафов, пеней). Пеня начисляе</w:t>
      </w:r>
      <w:r>
        <w:rPr>
          <w:rFonts w:eastAsia="Calibri"/>
          <w:sz w:val="22"/>
          <w:szCs w:val="22"/>
          <w:lang w:eastAsia="en-US"/>
        </w:rPr>
        <w:t xml:space="preserve">т</w:t>
      </w:r>
      <w:r>
        <w:rPr>
          <w:rFonts w:eastAsia="Calibri"/>
          <w:sz w:val="22"/>
          <w:szCs w:val="22"/>
          <w:lang w:eastAsia="en-US"/>
        </w:rPr>
        <w:t xml:space="preserve">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eastAsia="Calibri"/>
          <w:sz w:val="22"/>
          <w:szCs w:val="22"/>
          <w:lang w:eastAsia="en-US"/>
        </w:rPr>
        <w:t xml:space="preserve">Такая пеня устанавливается Контрактом в размере одной трехсотой действующей на дату уплаты пеней </w:t>
      </w:r>
      <w:hyperlink r:id="rId11" w:tooltip="consultantplus://offline/ref=BEDDEDB8E80613988CD2DCD90BCF289085C3F5E9EA60F86EF622A6CBEF34AB6E27B56862AA2EB4C811F13B3175D857E9CDCA3CDB56AA1274q5C" w:history="1">
        <w:r>
          <w:rPr>
            <w:rFonts w:eastAsia="Calibri"/>
            <w:sz w:val="22"/>
            <w:szCs w:val="22"/>
            <w:lang w:eastAsia="en-US"/>
          </w:rPr>
          <w:t xml:space="preserve">кл</w:t>
        </w:r>
        <w:r>
          <w:rPr>
            <w:rFonts w:eastAsia="Calibri"/>
            <w:sz w:val="22"/>
            <w:szCs w:val="22"/>
            <w:lang w:eastAsia="en-US"/>
          </w:rPr>
          <w:t xml:space="preserve">ю</w:t>
        </w:r>
        <w:r>
          <w:rPr>
            <w:rFonts w:eastAsia="Calibri"/>
            <w:sz w:val="22"/>
            <w:szCs w:val="22"/>
            <w:lang w:eastAsia="en-US"/>
          </w:rPr>
          <w:t xml:space="preserve">чевой ставки</w:t>
        </w:r>
      </w:hyperlink>
      <w:r>
        <w:rPr>
          <w:rFonts w:eastAsia="Calibri"/>
          <w:sz w:val="22"/>
          <w:szCs w:val="22"/>
          <w:lang w:eastAsia="en-US"/>
        </w:rPr>
        <w:t xml:space="preserve"> Центрального банка Российской Федерации от не уплаченной в срок суммы.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За каждый факт неисполнения Заказчиком обязательств, предусмотренных Контрактом, за искл</w:t>
      </w:r>
      <w:r>
        <w:rPr>
          <w:rFonts w:eastAsia="Calibri"/>
          <w:sz w:val="22"/>
          <w:szCs w:val="22"/>
          <w:lang w:eastAsia="en-US"/>
        </w:rPr>
        <w:t xml:space="preserve">ю</w:t>
      </w:r>
      <w:r>
        <w:rPr>
          <w:rFonts w:eastAsia="Calibri"/>
          <w:sz w:val="22"/>
          <w:szCs w:val="22"/>
          <w:lang w:eastAsia="en-US"/>
        </w:rPr>
        <w:t xml:space="preserve">чением просрочки исполнения обязательств, предусмотренных Контрактом, размер штрафа устанавл</w:t>
      </w:r>
      <w:r>
        <w:rPr>
          <w:rFonts w:eastAsia="Calibri"/>
          <w:sz w:val="22"/>
          <w:szCs w:val="22"/>
          <w:lang w:eastAsia="en-US"/>
        </w:rPr>
        <w:t xml:space="preserve">и</w:t>
      </w:r>
      <w:r>
        <w:rPr>
          <w:rFonts w:eastAsia="Calibri"/>
          <w:sz w:val="22"/>
          <w:szCs w:val="22"/>
          <w:lang w:eastAsia="en-US"/>
        </w:rPr>
        <w:t xml:space="preserve">вается в </w:t>
      </w:r>
      <w:r>
        <w:rPr>
          <w:rFonts w:eastAsia="Calibri"/>
          <w:sz w:val="22"/>
          <w:szCs w:val="22"/>
          <w:lang w:eastAsia="en-US"/>
        </w:rPr>
        <w:t xml:space="preserve">следующем</w:t>
      </w:r>
      <w:r>
        <w:rPr>
          <w:rFonts w:eastAsia="Calibri"/>
          <w:sz w:val="22"/>
          <w:szCs w:val="22"/>
          <w:lang w:eastAsia="en-US"/>
        </w:rPr>
        <w:t xml:space="preserve"> порядке: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1000 рублей, если цена контракта не превышает 3 млн. рублей (включительно).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Применение штрафных санкций не освобождает Стороны от исполнения обязательств по насто</w:t>
      </w:r>
      <w:r>
        <w:rPr>
          <w:rFonts w:eastAsia="Calibri"/>
          <w:sz w:val="22"/>
          <w:szCs w:val="22"/>
          <w:lang w:eastAsia="en-US"/>
        </w:rPr>
        <w:t xml:space="preserve">я</w:t>
      </w:r>
      <w:r>
        <w:rPr>
          <w:rFonts w:eastAsia="Calibri"/>
          <w:sz w:val="22"/>
          <w:szCs w:val="22"/>
          <w:lang w:eastAsia="en-US"/>
        </w:rPr>
        <w:t xml:space="preserve">щему Контракту.</w:t>
      </w:r>
      <w:r>
        <w:rPr>
          <w:rFonts w:eastAsia="Calibri"/>
          <w:sz w:val="22"/>
          <w:szCs w:val="22"/>
        </w:rPr>
      </w:r>
    </w:p>
    <w:p>
      <w:pPr>
        <w:ind w:firstLine="567"/>
        <w:spacing w:line="240" w:lineRule="auto"/>
        <w:tabs>
          <w:tab w:val="left" w:pos="0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firstLine="567"/>
        <w:jc w:val="center"/>
        <w:spacing w:line="240" w:lineRule="auto"/>
        <w:tabs>
          <w:tab w:val="left" w:pos="0" w:leader="none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Обстоятельства непреодолимой силы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7.2. В случае если надлежащее исполнение Стороной предусмотренных Контрактом обязательств </w:t>
      </w:r>
      <w:r>
        <w:rPr>
          <w:sz w:val="22"/>
          <w:szCs w:val="22"/>
        </w:rPr>
        <w:t xml:space="preserve">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7.4. Подтверждением наличия обстоятельств непреодолимой силы и их продолжительности явл</w:t>
      </w:r>
      <w:r>
        <w:rPr>
          <w:sz w:val="22"/>
          <w:szCs w:val="22"/>
        </w:rPr>
        <w:t xml:space="preserve">я</w:t>
      </w:r>
      <w:r>
        <w:rPr>
          <w:sz w:val="22"/>
          <w:szCs w:val="22"/>
        </w:rPr>
        <w:t xml:space="preserve">ется письменное свидетельство уполномоченных органов или уполномоченных организаций.</w:t>
      </w:r>
      <w:r>
        <w:rPr>
          <w:b/>
          <w:bCs/>
          <w:sz w:val="22"/>
          <w:szCs w:val="22"/>
        </w:rPr>
      </w:r>
    </w:p>
    <w:p>
      <w:pPr>
        <w:ind w:firstLine="567"/>
        <w:jc w:val="center"/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firstLine="567"/>
        <w:jc w:val="center"/>
        <w:spacing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Рассмотрение и разрешение споров</w:t>
      </w:r>
      <w:r>
        <w:rPr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  <w:lang w:eastAsia="en-US"/>
        </w:rPr>
        <w:t xml:space="preserve">8.1.    Стороны принимают необходимые меры к тому, чтобы любые спорные вопросы и разн</w:t>
      </w:r>
      <w:r>
        <w:rPr>
          <w:rFonts w:eastAsia="Calibri"/>
          <w:sz w:val="23"/>
          <w:szCs w:val="23"/>
          <w:lang w:eastAsia="en-US"/>
        </w:rPr>
        <w:t xml:space="preserve">о</w:t>
      </w:r>
      <w:r>
        <w:rPr>
          <w:rFonts w:eastAsia="Calibri"/>
          <w:sz w:val="23"/>
          <w:szCs w:val="23"/>
          <w:lang w:eastAsia="en-US"/>
        </w:rPr>
        <w:t xml:space="preserve">гласия, которые могут возникнуть из настоящего Контракта или в связи с ним, были урегулированы путем переговоров. Спорные вопросы, по которым Стороны не достигнут согласия, подлежат ра</w:t>
      </w:r>
      <w:r>
        <w:rPr>
          <w:rFonts w:eastAsia="Calibri"/>
          <w:sz w:val="23"/>
          <w:szCs w:val="23"/>
          <w:lang w:eastAsia="en-US"/>
        </w:rPr>
        <w:t xml:space="preserve">с</w:t>
      </w:r>
      <w:r>
        <w:rPr>
          <w:rFonts w:eastAsia="Calibri"/>
          <w:sz w:val="23"/>
          <w:szCs w:val="23"/>
          <w:lang w:eastAsia="en-US"/>
        </w:rPr>
        <w:t xml:space="preserve">смотрению в Арбитражном </w:t>
      </w:r>
      <w:r>
        <w:rPr>
          <w:rFonts w:eastAsia="Calibri"/>
          <w:sz w:val="23"/>
          <w:szCs w:val="23"/>
          <w:lang w:eastAsia="en-US"/>
        </w:rPr>
        <w:t xml:space="preserve">суде</w:t>
      </w:r>
      <w:r>
        <w:rPr>
          <w:rFonts w:eastAsia="Calibri"/>
          <w:sz w:val="23"/>
          <w:szCs w:val="23"/>
          <w:lang w:eastAsia="en-US"/>
        </w:rPr>
        <w:t xml:space="preserve"> Алтайского края.</w:t>
      </w:r>
      <w:r>
        <w:rPr>
          <w:rFonts w:eastAsia="Calibri"/>
          <w:sz w:val="23"/>
          <w:szCs w:val="23"/>
        </w:rPr>
      </w:r>
    </w:p>
    <w:p>
      <w:pPr>
        <w:contextualSpacing/>
        <w:ind w:firstLine="425"/>
        <w:jc w:val="both"/>
        <w:spacing w:line="240" w:lineRule="auto"/>
        <w:tabs>
          <w:tab w:val="left" w:pos="851" w:leader="none"/>
        </w:tabs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  <w:lang w:eastAsia="en-US"/>
        </w:rPr>
        <w:t xml:space="preserve">8.2. Претензи</w:t>
      </w:r>
      <w:r>
        <w:rPr>
          <w:rFonts w:eastAsia="Calibri"/>
          <w:sz w:val="23"/>
          <w:szCs w:val="23"/>
          <w:lang w:eastAsia="en-US"/>
        </w:rPr>
        <w:t xml:space="preserve">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</w:t>
      </w:r>
      <w:r>
        <w:rPr>
          <w:rFonts w:eastAsia="Calibri"/>
          <w:sz w:val="23"/>
          <w:szCs w:val="23"/>
          <w:lang w:eastAsia="en-US"/>
        </w:rPr>
        <w:t xml:space="preserve">о</w:t>
      </w:r>
      <w:r>
        <w:rPr>
          <w:rFonts w:eastAsia="Calibri"/>
          <w:sz w:val="23"/>
          <w:szCs w:val="23"/>
          <w:lang w:eastAsia="en-US"/>
        </w:rPr>
        <w:t xml:space="preserve">рые должны быть произведены Стороной для устранения нарушений.</w:t>
      </w:r>
      <w:r>
        <w:rPr>
          <w:rFonts w:eastAsia="Calibri"/>
          <w:sz w:val="23"/>
          <w:szCs w:val="23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  <w:lang w:eastAsia="en-US"/>
        </w:rPr>
        <w:t xml:space="preserve">8.3. Срок рассмотрения претензии не может превышать 10 (десяти) календарных дней. Пер</w:t>
      </w:r>
      <w:r>
        <w:rPr>
          <w:rFonts w:eastAsia="Calibri"/>
          <w:sz w:val="23"/>
          <w:szCs w:val="23"/>
          <w:lang w:eastAsia="en-US"/>
        </w:rPr>
        <w:t xml:space="preserve">е</w:t>
      </w:r>
      <w:r>
        <w:rPr>
          <w:rFonts w:eastAsia="Calibri"/>
          <w:sz w:val="23"/>
          <w:szCs w:val="23"/>
          <w:lang w:eastAsia="en-US"/>
        </w:rPr>
        <w:t xml:space="preserve">писка Сторон может осуществляться в </w:t>
      </w:r>
      <w:r>
        <w:rPr>
          <w:rFonts w:eastAsia="Calibri"/>
          <w:sz w:val="23"/>
          <w:szCs w:val="23"/>
          <w:lang w:eastAsia="en-US"/>
        </w:rPr>
        <w:t xml:space="preserve">виде</w:t>
      </w:r>
      <w:r>
        <w:rPr>
          <w:rFonts w:eastAsia="Calibri"/>
          <w:sz w:val="23"/>
          <w:szCs w:val="23"/>
          <w:lang w:eastAsia="en-US"/>
        </w:rPr>
        <w:t xml:space="preserve"> писем или телеграмм, иного электронного сообщения - с последующим предоставлением оригинала документа.</w:t>
      </w:r>
      <w:r>
        <w:rPr>
          <w:rFonts w:eastAsia="Calibri"/>
          <w:sz w:val="23"/>
          <w:szCs w:val="23"/>
        </w:rPr>
      </w:r>
    </w:p>
    <w:p>
      <w:pPr>
        <w:ind w:firstLine="567"/>
        <w:jc w:val="both"/>
        <w:spacing w:line="240" w:lineRule="auto"/>
        <w:tabs>
          <w:tab w:val="left" w:pos="360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firstLine="567"/>
        <w:jc w:val="center"/>
        <w:spacing w:line="240" w:lineRule="auto"/>
        <w:tabs>
          <w:tab w:val="left" w:pos="360" w:leader="none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Срок действия и порядок расторжения Контракта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9.1. Контра</w:t>
      </w:r>
      <w:r>
        <w:rPr>
          <w:sz w:val="22"/>
          <w:szCs w:val="22"/>
        </w:rPr>
        <w:t xml:space="preserve">кт вст</w:t>
      </w:r>
      <w:r>
        <w:rPr>
          <w:sz w:val="22"/>
          <w:szCs w:val="22"/>
        </w:rPr>
        <w:t xml:space="preserve">упает в силу с момента его подписания обеими Сторонами и действует до полн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го исполнения Сторонами всех обязательств по Контракту. Окончание срока действия Контракта не вл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чет прекращения неисполненных обязатель</w:t>
      </w:r>
      <w:r>
        <w:rPr>
          <w:sz w:val="22"/>
          <w:szCs w:val="22"/>
        </w:rPr>
        <w:t xml:space="preserve">ств Ст</w:t>
      </w:r>
      <w:r>
        <w:rPr>
          <w:sz w:val="22"/>
          <w:szCs w:val="22"/>
        </w:rPr>
        <w:t xml:space="preserve">орон по Контракту, в том числе гарантийных обяз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тельств Исполнителя.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9.2.  </w:t>
      </w:r>
      <w:r>
        <w:rPr>
          <w:sz w:val="22"/>
          <w:szCs w:val="22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</w:t>
      </w:r>
      <w:r>
        <w:rPr>
          <w:sz w:val="22"/>
          <w:szCs w:val="22"/>
        </w:rPr>
        <w:t xml:space="preserve">ь</w:t>
      </w:r>
      <w:r>
        <w:rPr>
          <w:sz w:val="22"/>
          <w:szCs w:val="22"/>
        </w:rPr>
        <w:t xml:space="preserve">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чения государственных и муниципальных нужд".</w:t>
      </w:r>
      <w:r>
        <w:rPr>
          <w:sz w:val="22"/>
          <w:szCs w:val="22"/>
        </w:rPr>
      </w:r>
    </w:p>
    <w:p>
      <w:pPr>
        <w:ind w:firstLine="567"/>
        <w:jc w:val="center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center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center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 Прочие положения</w:t>
      </w:r>
      <w:r>
        <w:rPr>
          <w:b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10.1. Во всем, что не предусмотрено Контрактом, Стороны руководствуются законодательством Российской Федерации.</w:t>
      </w:r>
      <w:r>
        <w:rPr>
          <w:rFonts w:eastAsia="Calibri"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10.2. В случае изменения у какой-либо из Сторон местонахождения, названия, а также в случае р</w:t>
      </w:r>
      <w:r>
        <w:rPr>
          <w:rFonts w:eastAsia="Calibri"/>
          <w:sz w:val="22"/>
          <w:szCs w:val="22"/>
          <w:lang w:eastAsia="en-US"/>
        </w:rPr>
        <w:t xml:space="preserve">е</w:t>
      </w:r>
      <w:r>
        <w:rPr>
          <w:rFonts w:eastAsia="Calibri"/>
          <w:sz w:val="22"/>
          <w:szCs w:val="22"/>
          <w:lang w:eastAsia="en-US"/>
        </w:rPr>
        <w:t xml:space="preserve">организации она обязана в течение десяти дней письменно известить об этом другую Сторону.</w:t>
      </w:r>
      <w:r>
        <w:rPr>
          <w:rFonts w:eastAsia="Calibri"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10.3. Изменение условий Кон</w:t>
      </w:r>
      <w:r>
        <w:rPr>
          <w:rFonts w:eastAsia="Calibri"/>
          <w:sz w:val="22"/>
          <w:szCs w:val="22"/>
          <w:lang w:eastAsia="en-US"/>
        </w:rPr>
        <w:t xml:space="preserve">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eastAsia="Calibri"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10.4. При исполнении Контракта не допускается перемена исполнителя, за исключением случая, е</w:t>
      </w:r>
      <w:r>
        <w:rPr>
          <w:rFonts w:eastAsia="Calibri"/>
          <w:sz w:val="22"/>
          <w:szCs w:val="22"/>
          <w:lang w:eastAsia="en-US"/>
        </w:rPr>
        <w:t xml:space="preserve">с</w:t>
      </w:r>
      <w:r>
        <w:rPr>
          <w:rFonts w:eastAsia="Calibri"/>
          <w:sz w:val="22"/>
          <w:szCs w:val="22"/>
          <w:lang w:eastAsia="en-US"/>
        </w:rPr>
        <w:t xml:space="preserve">ли новый Исполнитель является правопреемником Исполнителя вследствие реорганизации юридическ</w:t>
      </w:r>
      <w:r>
        <w:rPr>
          <w:rFonts w:eastAsia="Calibri"/>
          <w:sz w:val="22"/>
          <w:szCs w:val="22"/>
          <w:lang w:eastAsia="en-US"/>
        </w:rPr>
        <w:t xml:space="preserve">о</w:t>
      </w:r>
      <w:r>
        <w:rPr>
          <w:rFonts w:eastAsia="Calibri"/>
          <w:sz w:val="22"/>
          <w:szCs w:val="22"/>
          <w:lang w:eastAsia="en-US"/>
        </w:rPr>
        <w:t xml:space="preserve">го лица в форме преобразования, слияния или присоединения.</w:t>
      </w:r>
      <w:r>
        <w:rPr>
          <w:rFonts w:eastAsia="Calibri"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eastAsia="Calibri"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10.5. Стороны обязуются обеспечить конфиденциальность сведений, относящихся к предмету Ко</w:t>
      </w:r>
      <w:r>
        <w:rPr>
          <w:rFonts w:eastAsia="Calibri"/>
          <w:sz w:val="22"/>
          <w:szCs w:val="22"/>
          <w:lang w:eastAsia="en-US"/>
        </w:rPr>
        <w:t xml:space="preserve">н</w:t>
      </w:r>
      <w:r>
        <w:rPr>
          <w:rFonts w:eastAsia="Calibri"/>
          <w:sz w:val="22"/>
          <w:szCs w:val="22"/>
          <w:lang w:eastAsia="en-US"/>
        </w:rPr>
        <w:t xml:space="preserve">тракта, и ставших им известными в ходе исполнения Контракта.</w:t>
      </w:r>
      <w:r>
        <w:rPr>
          <w:rFonts w:eastAsia="Calibri"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567"/>
        <w:spacing w:line="240" w:lineRule="auto"/>
        <w:tabs>
          <w:tab w:val="left" w:pos="3807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11. Антикоррупционная оговорка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11.1. Стороны обязуются соблюдать законодательство Российской Федерации по противоде</w:t>
      </w:r>
      <w:r>
        <w:rPr>
          <w:sz w:val="22"/>
          <w:szCs w:val="22"/>
        </w:rPr>
        <w:t xml:space="preserve">й</w:t>
      </w:r>
      <w:r>
        <w:rPr>
          <w:sz w:val="22"/>
          <w:szCs w:val="22"/>
        </w:rPr>
        <w:t xml:space="preserve">ствию коррупции и противодействию легализации (отмыванию) доходов, полученных преступным п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тем, и принятые во исполнение таких законов подзаконные акты.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11.2. </w:t>
      </w:r>
      <w:r>
        <w:rPr>
          <w:sz w:val="22"/>
          <w:szCs w:val="22"/>
        </w:rPr>
        <w:t xml:space="preserve">При исполнении своих обязательств по настоящему Контракту Стороны, их аффилированные лица, работники или посредни</w:t>
      </w:r>
      <w:r>
        <w:rPr>
          <w:sz w:val="22"/>
          <w:szCs w:val="22"/>
        </w:rPr>
        <w:t xml:space="preserve">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стичь неправомерных целей.</w:t>
      </w:r>
      <w:r>
        <w:rPr>
          <w:sz w:val="22"/>
          <w:szCs w:val="22"/>
        </w:rPr>
      </w:r>
    </w:p>
    <w:p>
      <w:pPr>
        <w:ind w:firstLine="567"/>
        <w:jc w:val="both"/>
        <w:spacing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11.3. При исполнении своих обязательств по настоящему Контракту Стороны, их аффилированные лица, работники или посре</w:t>
      </w:r>
      <w:r>
        <w:rPr>
          <w:sz w:val="22"/>
          <w:szCs w:val="22"/>
        </w:rPr>
        <w:t xml:space="preserve">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действии легализации (отмыванию) доходов, полученных преступным путем.</w:t>
      </w:r>
      <w:r>
        <w:rPr>
          <w:b/>
          <w:bCs/>
          <w:sz w:val="22"/>
          <w:szCs w:val="22"/>
        </w:rPr>
      </w:r>
    </w:p>
    <w:p>
      <w:pPr>
        <w:pStyle w:val="911"/>
        <w:spacing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Приложения:</w:t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11"/>
        <w:jc w:val="left"/>
        <w:spacing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- Спецификация (Приложение № 1 к Контракту).</w:t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11"/>
        <w:jc w:val="left"/>
        <w:spacing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11"/>
        <w:jc w:val="left"/>
        <w:spacing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11"/>
        <w:jc w:val="center"/>
        <w:spacing w:line="240" w:lineRule="auto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11. Юридические адреса, реквизиты С</w:t>
      </w:r>
      <w:r>
        <w:t xml:space="preserve">торон</w:t>
      </w:r>
      <w:r>
        <w:rPr>
          <w:b/>
          <w:bCs/>
          <w:sz w:val="22"/>
          <w:szCs w:val="22"/>
        </w:rPr>
      </w:r>
    </w:p>
    <w:tbl>
      <w:tblPr>
        <w:tblW w:w="10138" w:type="dxa"/>
        <w:tblLayout w:type="fixed"/>
        <w:tblLook w:val="0000" w:firstRow="0" w:lastRow="0" w:firstColumn="0" w:lastColumn="0" w:noHBand="0" w:noVBand="0"/>
      </w:tblPr>
      <w:tblGrid>
        <w:gridCol w:w="5048"/>
        <w:gridCol w:w="5090"/>
      </w:tblGrid>
      <w:tr>
        <w:tblPrEx/>
        <w:trPr/>
        <w:tc>
          <w:tcPr>
            <w:tcW w:w="5048" w:type="dxa"/>
            <w:textDirection w:val="lrTb"/>
            <w:noWrap w:val="false"/>
          </w:tcPr>
          <w:p>
            <w:pPr>
              <w:spacing w:line="240" w:lineRule="auto"/>
              <w:tabs>
                <w:tab w:val="left" w:pos="2310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b/>
                <w:sz w:val="22"/>
                <w:szCs w:val="22"/>
              </w:rPr>
            </w:r>
          </w:p>
          <w:p>
            <w:pPr>
              <w:spacing w:line="240" w:lineRule="auto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ФГБОУ </w:t>
            </w:r>
            <w:r>
              <w:rPr>
                <w:sz w:val="22"/>
                <w:szCs w:val="22"/>
              </w:rPr>
              <w:t xml:space="preserve">ВО</w:t>
            </w:r>
            <w:r>
              <w:rPr>
                <w:sz w:val="22"/>
                <w:szCs w:val="22"/>
              </w:rPr>
              <w:t xml:space="preserve"> «Алтайский государственный </w:t>
            </w:r>
            <w:r>
              <w:rPr>
                <w:sz w:val="22"/>
                <w:szCs w:val="22"/>
              </w:rPr>
            </w:r>
          </w:p>
          <w:p>
            <w:pPr>
              <w:spacing w:line="240" w:lineRule="auto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университет» </w:t>
            </w:r>
            <w:r>
              <w:rPr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ИНН 2225004738    КПП 222501001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Юридический адрес: 656049 г. Барнаул пр. Лен</w:t>
            </w:r>
            <w:r>
              <w:rPr>
                <w:bCs/>
                <w:sz w:val="22"/>
                <w:szCs w:val="22"/>
              </w:rPr>
              <w:t xml:space="preserve">и</w:t>
            </w:r>
            <w:r>
              <w:rPr>
                <w:bCs/>
                <w:sz w:val="22"/>
                <w:szCs w:val="22"/>
              </w:rPr>
              <w:t xml:space="preserve">на, д.61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Телефон 8(3852) 291213, 296651, адрес эл. почты: rector@asu.ru, uoz@mail.asu.ru.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Банк получателя: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ОКЦ № 1 </w:t>
            </w:r>
            <w:r>
              <w:rPr>
                <w:bCs/>
                <w:sz w:val="22"/>
                <w:szCs w:val="22"/>
              </w:rPr>
              <w:t xml:space="preserve">СибГУ</w:t>
            </w:r>
            <w:r>
              <w:rPr>
                <w:bCs/>
                <w:sz w:val="22"/>
                <w:szCs w:val="22"/>
              </w:rPr>
              <w:t xml:space="preserve"> Банка России // УФК по Новос</w:t>
            </w:r>
            <w:r>
              <w:rPr>
                <w:bCs/>
                <w:sz w:val="22"/>
                <w:szCs w:val="22"/>
              </w:rPr>
              <w:t xml:space="preserve">и</w:t>
            </w:r>
            <w:r>
              <w:rPr>
                <w:bCs/>
                <w:sz w:val="22"/>
                <w:szCs w:val="22"/>
              </w:rPr>
              <w:t xml:space="preserve">бирской области, г Новосибирск 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БИК 015004950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Номер казначейского счета, открытого территор</w:t>
            </w:r>
            <w:r>
              <w:rPr>
                <w:bCs/>
                <w:sz w:val="22"/>
                <w:szCs w:val="22"/>
              </w:rPr>
              <w:t xml:space="preserve">и</w:t>
            </w:r>
            <w:r>
              <w:rPr>
                <w:bCs/>
                <w:sz w:val="22"/>
                <w:szCs w:val="22"/>
              </w:rPr>
              <w:t xml:space="preserve">альному органу</w:t>
            </w:r>
            <w:r>
              <w:rPr>
                <w:bCs/>
                <w:sz w:val="22"/>
                <w:szCs w:val="22"/>
              </w:rPr>
              <w:tab/>
              <w:t xml:space="preserve">Федерального казначейства (расчетного счета) 03214643000000015104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Номер банковского</w:t>
            </w:r>
            <w:r>
              <w:rPr>
                <w:bCs/>
                <w:sz w:val="22"/>
                <w:szCs w:val="22"/>
              </w:rPr>
              <w:tab/>
              <w:t xml:space="preserve">счета,</w:t>
            </w:r>
            <w:r>
              <w:rPr>
                <w:bCs/>
                <w:sz w:val="22"/>
                <w:szCs w:val="22"/>
              </w:rPr>
              <w:tab/>
              <w:t xml:space="preserve">открытого террит</w:t>
            </w:r>
            <w:r>
              <w:rPr>
                <w:bCs/>
                <w:sz w:val="22"/>
                <w:szCs w:val="22"/>
              </w:rPr>
              <w:t xml:space="preserve">о</w:t>
            </w:r>
            <w:r>
              <w:rPr>
                <w:bCs/>
                <w:sz w:val="22"/>
                <w:szCs w:val="22"/>
              </w:rPr>
              <w:t xml:space="preserve">риальному</w:t>
            </w:r>
            <w:r>
              <w:rPr>
                <w:bCs/>
                <w:sz w:val="22"/>
                <w:szCs w:val="22"/>
              </w:rPr>
              <w:tab/>
              <w:t xml:space="preserve">органу</w:t>
            </w:r>
            <w:r>
              <w:rPr>
                <w:bCs/>
                <w:sz w:val="22"/>
                <w:szCs w:val="22"/>
              </w:rPr>
              <w:tab/>
              <w:t xml:space="preserve"> Федерального казначейства 40102810445370000043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Получатель: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УПРАВЛЕНИЕ ФЕДЕРАЛЬНОГО КАЗНАЧЕ</w:t>
            </w:r>
            <w:r>
              <w:rPr>
                <w:bCs/>
                <w:sz w:val="22"/>
                <w:szCs w:val="22"/>
              </w:rPr>
              <w:t xml:space="preserve">Й</w:t>
            </w:r>
            <w:r>
              <w:rPr>
                <w:bCs/>
                <w:sz w:val="22"/>
                <w:szCs w:val="22"/>
              </w:rPr>
              <w:t xml:space="preserve">СТВА ПО НОВОСИБИРСКОЙ ОБЛАСТИ (ФГБОУ </w:t>
            </w:r>
            <w:r>
              <w:rPr>
                <w:bCs/>
                <w:sz w:val="22"/>
                <w:szCs w:val="22"/>
              </w:rPr>
              <w:t xml:space="preserve">ВО</w:t>
            </w:r>
            <w:r>
              <w:rPr>
                <w:bCs/>
                <w:sz w:val="22"/>
                <w:szCs w:val="22"/>
              </w:rPr>
              <w:t xml:space="preserve"> "Алтайский государственный униве</w:t>
            </w:r>
            <w:r>
              <w:rPr>
                <w:bCs/>
                <w:sz w:val="22"/>
                <w:szCs w:val="22"/>
              </w:rPr>
              <w:t xml:space="preserve">р</w:t>
            </w:r>
            <w:r>
              <w:rPr>
                <w:bCs/>
                <w:sz w:val="22"/>
                <w:szCs w:val="22"/>
              </w:rPr>
              <w:t xml:space="preserve">ситет" л/с 20176U88990)</w:t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keepLines/>
              <w:keepNext/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090" w:type="dxa"/>
            <w:textDirection w:val="lrTb"/>
            <w:noWrap w:val="false"/>
          </w:tcPr>
          <w:p>
            <w:pPr>
              <w:pStyle w:val="694"/>
              <w:ind w:left="0"/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         Исполнитель:</w:t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5048" w:type="dxa"/>
            <w:textDirection w:val="lrTb"/>
            <w:noWrap w:val="false"/>
          </w:tcPr>
          <w:p>
            <w:pPr>
              <w:spacing w:line="240" w:lineRule="auto"/>
              <w:tabs>
                <w:tab w:val="left" w:pos="2310" w:leader="none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sz w:val="22"/>
                <w:szCs w:val="22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______________/ </w:t>
            </w:r>
            <w:r>
              <w:rPr>
                <w:bCs/>
                <w:iCs/>
                <w:sz w:val="22"/>
                <w:szCs w:val="22"/>
              </w:rPr>
              <w:t xml:space="preserve">С.Н. Бочаров/</w:t>
            </w:r>
            <w:r>
              <w:rPr>
                <w:bCs/>
                <w:iCs/>
                <w:sz w:val="22"/>
                <w:szCs w:val="22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МП</w:t>
            </w:r>
            <w:r>
              <w:rPr>
                <w:bCs/>
                <w:iCs/>
                <w:sz w:val="22"/>
                <w:szCs w:val="22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</w:r>
            <w:r>
              <w:rPr>
                <w:bCs/>
                <w:iCs/>
                <w:sz w:val="22"/>
                <w:szCs w:val="22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«____» ______________ 2026 г</w:t>
            </w:r>
            <w:r>
              <w:rPr>
                <w:sz w:val="22"/>
                <w:szCs w:val="22"/>
              </w:rPr>
            </w:r>
          </w:p>
        </w:tc>
        <w:tc>
          <w:tcPr>
            <w:tcW w:w="5090" w:type="dxa"/>
            <w:textDirection w:val="lrTb"/>
            <w:noWrap w:val="false"/>
          </w:tcPr>
          <w:p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</w:r>
            <w:r>
              <w:rPr>
                <w:b/>
                <w:i/>
                <w:sz w:val="22"/>
                <w:szCs w:val="22"/>
              </w:rPr>
            </w:r>
          </w:p>
          <w:p>
            <w:pPr>
              <w:spacing w:line="240" w:lineRule="auto"/>
              <w:rPr>
                <w:bCs/>
                <w:iC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______________/ ________________________/</w:t>
            </w:r>
            <w:r>
              <w:rPr>
                <w:bCs/>
                <w:iCs/>
                <w:sz w:val="22"/>
                <w:szCs w:val="22"/>
              </w:rPr>
            </w:r>
          </w:p>
          <w:p>
            <w:pPr>
              <w:pStyle w:val="903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МП</w:t>
            </w:r>
            <w:r>
              <w:rPr>
                <w:sz w:val="22"/>
                <w:szCs w:val="22"/>
              </w:rPr>
            </w:r>
          </w:p>
          <w:p>
            <w:pPr>
              <w:pStyle w:val="903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«____» ______________ 2026 г.</w:t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/>
      <w:bookmarkStart w:id="0" w:name="_GoBack1"/>
      <w:r/>
      <w:bookmarkEnd w:id="0"/>
      <w:r/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Приложение № 1</w:t>
      </w:r>
      <w:r>
        <w:rPr>
          <w:sz w:val="22"/>
          <w:szCs w:val="22"/>
        </w:rPr>
      </w:r>
    </w:p>
    <w:p>
      <w:pPr>
        <w:ind w:firstLine="708"/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к Контракту_____________________</w:t>
      </w:r>
      <w:r>
        <w:rPr>
          <w:sz w:val="22"/>
          <w:szCs w:val="22"/>
        </w:rPr>
      </w:r>
    </w:p>
    <w:p>
      <w:pPr>
        <w:ind w:firstLine="708"/>
        <w:jc w:val="right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от ________________</w:t>
      </w:r>
      <w:r>
        <w:rPr>
          <w:sz w:val="22"/>
          <w:szCs w:val="22"/>
        </w:rPr>
      </w:r>
    </w:p>
    <w:p>
      <w:pPr>
        <w:jc w:val="center"/>
        <w:spacing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</w:r>
    </w:p>
    <w:p>
      <w:pPr>
        <w:jc w:val="center"/>
        <w:spacing w:line="240" w:lineRule="auto"/>
        <w:shd w:val="clear" w:color="auto" w:fill="ffffff"/>
      </w:pPr>
      <w:r/>
      <w:r/>
    </w:p>
    <w:p>
      <w:pPr>
        <w:pStyle w:val="919"/>
        <w:numPr>
          <w:ilvl w:val="0"/>
          <w:numId w:val="5"/>
        </w:numPr>
        <w:ind w:left="0" w:firstLine="709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Наименование объекта закупки: </w:t>
      </w:r>
      <w:r>
        <w:rPr>
          <w:sz w:val="22"/>
          <w:szCs w:val="22"/>
        </w:rPr>
        <w:t xml:space="preserve">Услуги по организации проживания участников научно-исследовательской международной этнографической экспедиции «Большой Алтай: тюркское наследие – 2026»  ФГБОУ </w:t>
      </w:r>
      <w:r>
        <w:rPr>
          <w:sz w:val="22"/>
          <w:szCs w:val="22"/>
        </w:rPr>
        <w:t xml:space="preserve">ВО</w:t>
      </w:r>
      <w:r>
        <w:rPr>
          <w:sz w:val="22"/>
          <w:szCs w:val="22"/>
        </w:rPr>
        <w:t xml:space="preserve"> «Алтайский государственный университет»  в рамках реализации Года единства народов России и развития научных исследований и международного сотрудничества в области </w:t>
      </w:r>
      <w:r>
        <w:rPr>
          <w:sz w:val="22"/>
          <w:szCs w:val="22"/>
        </w:rPr>
        <w:t xml:space="preserve">алта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стики</w:t>
      </w:r>
      <w:r>
        <w:rPr>
          <w:sz w:val="22"/>
          <w:szCs w:val="22"/>
        </w:rPr>
        <w:t xml:space="preserve"> и тюркологии и реализации пункта №1 «Проектирование и проведение международных конф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ренций, круглых столов для обобщения, систематизации и популяризации историко-культурного нас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ления тюркской цивилизации с участием </w:t>
      </w:r>
      <w:r>
        <w:rPr>
          <w:sz w:val="22"/>
          <w:szCs w:val="22"/>
        </w:rPr>
        <w:t xml:space="preserve">университетов и академических структур стран Большого А</w:t>
      </w:r>
      <w:r>
        <w:rPr>
          <w:sz w:val="22"/>
          <w:szCs w:val="22"/>
        </w:rPr>
        <w:t xml:space="preserve">л</w:t>
      </w:r>
      <w:r>
        <w:rPr>
          <w:sz w:val="22"/>
          <w:szCs w:val="22"/>
        </w:rPr>
        <w:t xml:space="preserve">тая и </w:t>
      </w:r>
      <w:r>
        <w:rPr>
          <w:sz w:val="22"/>
          <w:szCs w:val="22"/>
        </w:rPr>
        <w:t xml:space="preserve">Центральной Азии» (Паспорт проекта (реестровый номер - 850000Ф.99.1.БН66АА04000) «Научно-экспертная и организационно-методическая работа по обеспечению мероприятия проекта "Тюркский мир "Большого Алтая": единство и многообразие в истории и современности"».</w:t>
      </w:r>
      <w:r>
        <w:rPr>
          <w:sz w:val="22"/>
          <w:szCs w:val="22"/>
        </w:rPr>
      </w:r>
    </w:p>
    <w:p>
      <w:pPr>
        <w:pStyle w:val="919"/>
        <w:numPr>
          <w:ilvl w:val="0"/>
          <w:numId w:val="5"/>
        </w:numPr>
        <w:ind w:left="0" w:firstLine="709"/>
        <w:spacing w:line="264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Функциональные, технические и качественные характеристики, эксплуатационные характ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ристики объекта закупки (при необходимости) (далее-услуга):</w:t>
      </w:r>
      <w:r>
        <w:rPr>
          <w:sz w:val="22"/>
          <w:szCs w:val="22"/>
        </w:rPr>
      </w:r>
    </w:p>
    <w:p>
      <w:pPr>
        <w:spacing w:line="264" w:lineRule="auto"/>
        <w:tabs>
          <w:tab w:val="left" w:pos="5898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Таблица №1 Описание объекта закупки</w:t>
      </w:r>
      <w:r>
        <w:rPr>
          <w:sz w:val="22"/>
          <w:szCs w:val="22"/>
        </w:rPr>
      </w:r>
    </w:p>
    <w:tbl>
      <w:tblPr>
        <w:tblW w:w="503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2209"/>
        <w:gridCol w:w="3699"/>
        <w:gridCol w:w="1133"/>
        <w:gridCol w:w="851"/>
        <w:gridCol w:w="851"/>
        <w:gridCol w:w="851"/>
      </w:tblGrid>
      <w:tr>
        <w:tblPrEx/>
        <w:trPr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9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Усл</w:t>
            </w:r>
            <w:r>
              <w:rPr>
                <w:sz w:val="22"/>
                <w:szCs w:val="22"/>
              </w:rPr>
              <w:t xml:space="preserve">у</w:t>
            </w:r>
            <w:r>
              <w:rPr>
                <w:sz w:val="22"/>
                <w:szCs w:val="22"/>
              </w:rPr>
              <w:t xml:space="preserve">ги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99" w:type="dxa"/>
            <w:textDirection w:val="lrTb"/>
            <w:noWrap w:val="false"/>
          </w:tcPr>
          <w:p>
            <w:pPr>
              <w:jc w:val="both"/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объему Услуги (или порядку его определения), составу и (или) содержанию, результатам, срокам и (или) последовательности их оказания, место оказания Услуг.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изм.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ницу, руб., с уч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том НДС/без НДС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руб., с уч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том НДС / без НДС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4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9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Услуги по организ</w:t>
            </w:r>
            <w:r>
              <w:rPr>
                <w:sz w:val="21"/>
                <w:szCs w:val="21"/>
              </w:rPr>
              <w:t xml:space="preserve">а</w:t>
            </w:r>
            <w:r>
              <w:rPr>
                <w:sz w:val="21"/>
                <w:szCs w:val="21"/>
              </w:rPr>
              <w:t xml:space="preserve">ции проживания участников научно-исследовательской международной этн</w:t>
            </w:r>
            <w:r>
              <w:rPr>
                <w:sz w:val="21"/>
                <w:szCs w:val="21"/>
              </w:rPr>
              <w:t xml:space="preserve">о</w:t>
            </w:r>
            <w:r>
              <w:rPr>
                <w:sz w:val="21"/>
                <w:szCs w:val="21"/>
              </w:rPr>
              <w:t xml:space="preserve">графической эксп</w:t>
            </w:r>
            <w:r>
              <w:rPr>
                <w:sz w:val="21"/>
                <w:szCs w:val="21"/>
              </w:rPr>
              <w:t xml:space="preserve">е</w:t>
            </w:r>
            <w:r>
              <w:rPr>
                <w:sz w:val="21"/>
                <w:szCs w:val="21"/>
              </w:rPr>
              <w:t xml:space="preserve">диции «Большой А</w:t>
            </w:r>
            <w:r>
              <w:rPr>
                <w:sz w:val="21"/>
                <w:szCs w:val="21"/>
              </w:rPr>
              <w:t xml:space="preserve">л</w:t>
            </w:r>
            <w:r>
              <w:rPr>
                <w:sz w:val="21"/>
                <w:szCs w:val="21"/>
              </w:rPr>
              <w:t xml:space="preserve">тай: тюркское насл</w:t>
            </w:r>
            <w:r>
              <w:rPr>
                <w:sz w:val="21"/>
                <w:szCs w:val="21"/>
              </w:rPr>
              <w:t xml:space="preserve">е</w:t>
            </w:r>
            <w:r>
              <w:rPr>
                <w:sz w:val="21"/>
                <w:szCs w:val="21"/>
              </w:rPr>
              <w:t xml:space="preserve">дие – 2026» по месту проведения научно-исследовательских работ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99" w:type="dxa"/>
            <w:textDirection w:val="lrTb"/>
            <w:noWrap w:val="false"/>
          </w:tcPr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Исполнитель оказывает услуги по о</w:t>
            </w:r>
            <w:r>
              <w:rPr>
                <w:sz w:val="21"/>
                <w:szCs w:val="21"/>
              </w:rPr>
              <w:t xml:space="preserve">р</w:t>
            </w:r>
            <w:r>
              <w:rPr>
                <w:sz w:val="21"/>
                <w:szCs w:val="21"/>
              </w:rPr>
              <w:t xml:space="preserve">ганизации проживания 7 участников научно-исследовательской междун</w:t>
            </w:r>
            <w:r>
              <w:rPr>
                <w:sz w:val="21"/>
                <w:szCs w:val="21"/>
              </w:rPr>
              <w:t xml:space="preserve">а</w:t>
            </w:r>
            <w:r>
              <w:rPr>
                <w:sz w:val="21"/>
                <w:szCs w:val="21"/>
              </w:rPr>
              <w:t xml:space="preserve">родной этнографической экспедиции «Большой Алтай: тюркское наследие – 2026»: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1.Размещение 7 участников в </w:t>
            </w:r>
            <w:r>
              <w:rPr>
                <w:sz w:val="21"/>
                <w:szCs w:val="21"/>
              </w:rPr>
              <w:t xml:space="preserve">отеле</w:t>
            </w:r>
            <w:r>
              <w:rPr>
                <w:sz w:val="21"/>
                <w:szCs w:val="21"/>
              </w:rPr>
              <w:t xml:space="preserve"> «Старт» по адресу: Республика Алтай, г. Горно-Алтайск в период 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 10.08. 2026 – 11.08. 2026  (одни су</w:t>
            </w:r>
            <w:r>
              <w:rPr>
                <w:sz w:val="21"/>
                <w:szCs w:val="21"/>
              </w:rPr>
              <w:t xml:space="preserve">т</w:t>
            </w:r>
            <w:r>
              <w:rPr>
                <w:sz w:val="21"/>
                <w:szCs w:val="21"/>
              </w:rPr>
              <w:t xml:space="preserve">ки);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2.Размещение 7 участников на базе отдыха «Алтын-</w:t>
            </w:r>
            <w:r>
              <w:rPr>
                <w:sz w:val="21"/>
                <w:szCs w:val="21"/>
              </w:rPr>
              <w:t xml:space="preserve">Кель</w:t>
            </w:r>
            <w:r>
              <w:rPr>
                <w:sz w:val="21"/>
                <w:szCs w:val="21"/>
              </w:rPr>
              <w:t xml:space="preserve">» по адресу: Ре</w:t>
            </w:r>
            <w:r>
              <w:rPr>
                <w:sz w:val="21"/>
                <w:szCs w:val="21"/>
              </w:rPr>
              <w:t xml:space="preserve">с</w:t>
            </w:r>
            <w:r>
              <w:rPr>
                <w:sz w:val="21"/>
                <w:szCs w:val="21"/>
              </w:rPr>
              <w:t xml:space="preserve">публика Алтай, </w:t>
            </w:r>
            <w:r>
              <w:rPr>
                <w:sz w:val="21"/>
                <w:szCs w:val="21"/>
              </w:rPr>
              <w:t xml:space="preserve">Турочакский</w:t>
            </w:r>
            <w:r>
              <w:rPr>
                <w:sz w:val="21"/>
                <w:szCs w:val="21"/>
              </w:rPr>
              <w:t xml:space="preserve"> район, село Артыбаш, 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период с 11.08.2026 –  13.08.2026 (двое суток);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3.Размещение 7 участников в гост</w:t>
            </w:r>
            <w:r>
              <w:rPr>
                <w:sz w:val="21"/>
                <w:szCs w:val="21"/>
              </w:rPr>
              <w:t xml:space="preserve">и</w:t>
            </w:r>
            <w:r>
              <w:rPr>
                <w:sz w:val="21"/>
                <w:szCs w:val="21"/>
              </w:rPr>
              <w:t xml:space="preserve">нице «Надежда» и/или  гостинице «</w:t>
            </w:r>
            <w:r>
              <w:rPr>
                <w:sz w:val="21"/>
                <w:szCs w:val="21"/>
              </w:rPr>
              <w:t xml:space="preserve">Айылчы</w:t>
            </w:r>
            <w:r>
              <w:rPr>
                <w:sz w:val="21"/>
                <w:szCs w:val="21"/>
              </w:rPr>
              <w:t xml:space="preserve"> Тура» по адресу: Республ</w:t>
            </w:r>
            <w:r>
              <w:rPr>
                <w:sz w:val="21"/>
                <w:szCs w:val="21"/>
              </w:rPr>
              <w:t xml:space="preserve">и</w:t>
            </w:r>
            <w:r>
              <w:rPr>
                <w:sz w:val="21"/>
                <w:szCs w:val="21"/>
              </w:rPr>
              <w:t xml:space="preserve">ка Алтай, </w:t>
            </w:r>
            <w:r>
              <w:rPr>
                <w:sz w:val="21"/>
                <w:szCs w:val="21"/>
              </w:rPr>
              <w:t xml:space="preserve">Усть-Канский</w:t>
            </w:r>
            <w:r>
              <w:rPr>
                <w:sz w:val="21"/>
                <w:szCs w:val="21"/>
              </w:rPr>
              <w:t xml:space="preserve"> район, село Усть-Кан, в период: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 13.08.2026 – 14.08.2026 (одни су</w:t>
            </w:r>
            <w:r>
              <w:rPr>
                <w:sz w:val="21"/>
                <w:szCs w:val="21"/>
              </w:rPr>
              <w:t xml:space="preserve">т</w:t>
            </w:r>
            <w:r>
              <w:rPr>
                <w:sz w:val="21"/>
                <w:szCs w:val="21"/>
              </w:rPr>
              <w:t xml:space="preserve">ки);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 17.08.2026 – 18.08.2026 (одни су</w:t>
            </w:r>
            <w:r>
              <w:rPr>
                <w:sz w:val="21"/>
                <w:szCs w:val="21"/>
              </w:rPr>
              <w:t xml:space="preserve">т</w:t>
            </w:r>
            <w:r>
              <w:rPr>
                <w:sz w:val="21"/>
                <w:szCs w:val="21"/>
              </w:rPr>
              <w:t xml:space="preserve">ки).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Размещение 7 участников в эко-отеле «Альтаир» по адресу: Республ</w:t>
            </w:r>
            <w:r>
              <w:rPr>
                <w:sz w:val="21"/>
                <w:szCs w:val="21"/>
              </w:rPr>
              <w:t xml:space="preserve">и</w:t>
            </w:r>
            <w:r>
              <w:rPr>
                <w:sz w:val="21"/>
                <w:szCs w:val="21"/>
              </w:rPr>
              <w:t xml:space="preserve">ка Алтай, </w:t>
            </w:r>
            <w:r>
              <w:rPr>
                <w:sz w:val="21"/>
                <w:szCs w:val="21"/>
              </w:rPr>
              <w:t xml:space="preserve">Усть-Коксинский</w:t>
            </w:r>
            <w:r>
              <w:rPr>
                <w:sz w:val="21"/>
                <w:szCs w:val="21"/>
              </w:rPr>
              <w:t xml:space="preserve"> район, село Усть-Кокса,  в период: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 14.08.2026 – 17.08.2026 (трое суток).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Во всех местах проживания, номерной фонд должен соответствовать след</w:t>
            </w:r>
            <w:r>
              <w:rPr>
                <w:sz w:val="21"/>
                <w:szCs w:val="21"/>
              </w:rPr>
              <w:t xml:space="preserve">у</w:t>
            </w:r>
            <w:r>
              <w:rPr>
                <w:sz w:val="21"/>
                <w:szCs w:val="21"/>
              </w:rPr>
              <w:t xml:space="preserve">ющим требованиям: благоустроенные номер с включенным завтраком; д</w:t>
            </w:r>
            <w:r>
              <w:rPr>
                <w:sz w:val="21"/>
                <w:szCs w:val="21"/>
              </w:rPr>
              <w:t xml:space="preserve">о</w:t>
            </w:r>
            <w:r>
              <w:rPr>
                <w:sz w:val="21"/>
                <w:szCs w:val="21"/>
              </w:rPr>
              <w:t xml:space="preserve">пускается одно-, двух- или трёхмес</w:t>
            </w:r>
            <w:r>
              <w:rPr>
                <w:sz w:val="21"/>
                <w:szCs w:val="21"/>
              </w:rPr>
              <w:t xml:space="preserve">т</w:t>
            </w:r>
            <w:r>
              <w:rPr>
                <w:sz w:val="21"/>
                <w:szCs w:val="21"/>
              </w:rPr>
              <w:t xml:space="preserve">ное размещение. При этом исполн</w:t>
            </w:r>
            <w:r>
              <w:rPr>
                <w:sz w:val="21"/>
                <w:szCs w:val="21"/>
              </w:rPr>
              <w:t xml:space="preserve">и</w:t>
            </w:r>
            <w:r>
              <w:rPr>
                <w:sz w:val="21"/>
                <w:szCs w:val="21"/>
              </w:rPr>
              <w:t xml:space="preserve">тель обязан гарантировать, что в двух‑ и трёхместных номерах все спальные места будут заняты лицами одного пола (все проживающие — мужчины либо все — женщины)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Гостиничный номер должен быть оборудован: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односпальной (односпальными) кр</w:t>
            </w:r>
            <w:r>
              <w:rPr>
                <w:sz w:val="21"/>
                <w:szCs w:val="21"/>
              </w:rPr>
              <w:t xml:space="preserve">о</w:t>
            </w:r>
            <w:r>
              <w:rPr>
                <w:sz w:val="21"/>
                <w:szCs w:val="21"/>
              </w:rPr>
              <w:t xml:space="preserve">ватью (кроватями);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шкафом для одежды;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стульями (по количеству </w:t>
            </w:r>
            <w:r>
              <w:rPr>
                <w:sz w:val="21"/>
                <w:szCs w:val="21"/>
              </w:rPr>
              <w:t xml:space="preserve">прожива</w:t>
            </w:r>
            <w:r>
              <w:rPr>
                <w:sz w:val="21"/>
                <w:szCs w:val="21"/>
              </w:rPr>
              <w:t xml:space="preserve">ю</w:t>
            </w:r>
            <w:r>
              <w:rPr>
                <w:sz w:val="21"/>
                <w:szCs w:val="21"/>
              </w:rPr>
              <w:t xml:space="preserve">щих</w:t>
            </w:r>
            <w:r>
              <w:rPr>
                <w:sz w:val="21"/>
                <w:szCs w:val="21"/>
              </w:rPr>
              <w:t xml:space="preserve">);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холодильником;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телевизором;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зеркалом;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санузлом,  душем в </w:t>
            </w:r>
            <w:r>
              <w:rPr>
                <w:sz w:val="21"/>
                <w:szCs w:val="21"/>
              </w:rPr>
              <w:t xml:space="preserve">номере</w:t>
            </w:r>
            <w:r>
              <w:rPr>
                <w:sz w:val="21"/>
                <w:szCs w:val="21"/>
              </w:rPr>
              <w:t xml:space="preserve">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Каждому гостю на сутки должны быть выданы: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-индивидуальный гигиенический набор;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комплект полотенец.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Услуги должны соответствовать: </w:t>
            </w:r>
            <w:r>
              <w:rPr>
                <w:sz w:val="21"/>
                <w:szCs w:val="21"/>
              </w:rPr>
            </w:r>
          </w:p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Постановлению Правительства Ро</w:t>
            </w:r>
            <w:r>
              <w:rPr>
                <w:sz w:val="21"/>
                <w:szCs w:val="21"/>
              </w:rPr>
              <w:t xml:space="preserve">с</w:t>
            </w:r>
            <w:r>
              <w:rPr>
                <w:sz w:val="21"/>
                <w:szCs w:val="21"/>
              </w:rPr>
              <w:t xml:space="preserve">сийской Федерации от 27 ноября 2025 г. № 1912 «Об утверждении Правил предоставления гостиничных услуг и услуг иных средств размещения в Российской Федерации»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</w:rPr>
            </w:pPr>
            <w:r>
              <w:rPr>
                <w:sz w:val="20"/>
                <w:szCs w:val="20"/>
                <w:lang w:eastAsia="ar-SA"/>
              </w:rPr>
              <w:t xml:space="preserve">Человеко-день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56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/>
      <w:bookmarkStart w:id="1" w:name="_GoBack"/>
      <w:r/>
      <w:bookmarkEnd w:id="1"/>
      <w:r>
        <w:rPr>
          <w:b/>
          <w:sz w:val="22"/>
          <w:szCs w:val="22"/>
        </w:rPr>
        <w:t xml:space="preserve">Заказчик:</w:t>
      </w:r>
      <w:r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Исполнитель:</w:t>
      </w:r>
      <w:r>
        <w:rPr>
          <w:sz w:val="22"/>
          <w:szCs w:val="22"/>
        </w:rPr>
      </w:r>
    </w:p>
    <w:p>
      <w:pPr>
        <w:pStyle w:val="913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______________/ С.Н. Бочаров/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  <w:t xml:space="preserve">________________/ ___________________/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«____» ______________ 2026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«____» ______________ 2026 г.</w:t>
      </w:r>
      <w:r>
        <w:rPr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764" w:right="850" w:bottom="764" w:left="1134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Mangal;Courier">
    <w:panose1 w:val="02000603000000000000"/>
  </w:font>
  <w:font w:name="Liberation Mono;Courier New">
    <w:panose1 w:val="02070409020205020404"/>
  </w:font>
  <w:font w:name="Segoe UI">
    <w:panose1 w:val="020B0502040504020204"/>
  </w:font>
  <w:font w:name="OpenSymbol;Arial Unicode MS">
    <w:panose1 w:val="05010000000000000000"/>
  </w:font>
  <w:font w:name="Tahoma">
    <w:panose1 w:val="020B0604030504040204"/>
  </w:font>
  <w:font w:name="Calibri">
    <w:panose1 w:val="020F0502020204030204"/>
  </w:font>
  <w:font w:name="Microsoft YaHei">
    <w:panose1 w:val="020B0503020203020204"/>
  </w:font>
  <w:font w:name="Times New Roman">
    <w:panose1 w:val="02020603050405020304"/>
  </w:font>
  <w:font w:name="Wingdings">
    <w:panose1 w:val="05010000000000000000"/>
  </w:font>
  <w:font w:name="Noto Serif CJK SC">
    <w:panose1 w:val="02020400000000000000"/>
  </w:font>
  <w:font w:name="FreeSans">
    <w:panose1 w:val="020B0504020202020204"/>
  </w:font>
  <w:font w:name="Arial">
    <w:panose1 w:val="020B0604020202020204"/>
  </w:font>
  <w:font w:name="PT Astra Serif">
    <w:panose1 w:val="020A0603040505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tabs>
        <w:tab w:val="clear" w:pos="4677" w:leader="none"/>
        <w:tab w:val="left" w:pos="6990" w:leader="none"/>
        <w:tab w:val="left" w:pos="7065" w:leader="none"/>
        <w:tab w:val="clear" w:pos="9355" w:leader="none"/>
      </w:tabs>
    </w:pPr>
    <w:r>
      <w:tab/>
    </w: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9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94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09" w:hanging="900"/>
        <w:tabs>
          <w:tab w:val="num" w:pos="0" w:leader="none"/>
        </w:tabs>
      </w:pPr>
      <w:rPr>
        <w:rFonts w:ascii="Times New Roman" w:hAnsi="Times New Roman" w:eastAsia="Calibri" w:cs="Times New Roman"/>
        <w:b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429" w:hanging="72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1789" w:hanging="108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1789" w:hanging="108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49" w:hanging="144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eastAsia="Noto Serif CJK SC" w:cs="FreeSans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2"/>
    <w:link w:val="69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2"/>
    <w:link w:val="69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2"/>
    <w:link w:val="695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2"/>
    <w:link w:val="69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2"/>
    <w:link w:val="697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2"/>
    <w:link w:val="698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2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2"/>
    <w:link w:val="700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2"/>
    <w:link w:val="701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2"/>
    <w:link w:val="714"/>
    <w:uiPriority w:val="10"/>
    <w:rPr>
      <w:sz w:val="48"/>
      <w:szCs w:val="48"/>
    </w:rPr>
  </w:style>
  <w:style w:type="character" w:styleId="37">
    <w:name w:val="Subtitle Char"/>
    <w:basedOn w:val="702"/>
    <w:link w:val="912"/>
    <w:uiPriority w:val="11"/>
    <w:rPr>
      <w:sz w:val="24"/>
      <w:szCs w:val="24"/>
    </w:rPr>
  </w:style>
  <w:style w:type="character" w:styleId="39">
    <w:name w:val="Quote Char"/>
    <w:link w:val="717"/>
    <w:uiPriority w:val="29"/>
    <w:rPr>
      <w:i/>
    </w:rPr>
  </w:style>
  <w:style w:type="character" w:styleId="41">
    <w:name w:val="Intense Quote Char"/>
    <w:link w:val="719"/>
    <w:uiPriority w:val="30"/>
    <w:rPr>
      <w:i/>
    </w:rPr>
  </w:style>
  <w:style w:type="character" w:styleId="43">
    <w:name w:val="Header Char"/>
    <w:basedOn w:val="702"/>
    <w:link w:val="916"/>
    <w:uiPriority w:val="99"/>
  </w:style>
  <w:style w:type="character" w:styleId="47">
    <w:name w:val="Caption Char"/>
    <w:basedOn w:val="905"/>
    <w:link w:val="917"/>
    <w:uiPriority w:val="99"/>
  </w:style>
  <w:style w:type="character" w:styleId="176">
    <w:name w:val="Footnote Text Char"/>
    <w:link w:val="850"/>
    <w:uiPriority w:val="99"/>
    <w:rPr>
      <w:sz w:val="18"/>
    </w:rPr>
  </w:style>
  <w:style w:type="character" w:styleId="179">
    <w:name w:val="Endnote Text Char"/>
    <w:link w:val="853"/>
    <w:uiPriority w:val="99"/>
    <w:rPr>
      <w:sz w:val="20"/>
    </w:rPr>
  </w:style>
  <w:style w:type="paragraph" w:styleId="692" w:default="1">
    <w:name w:val="Normal"/>
    <w:qFormat/>
    <w:pPr>
      <w:spacing w:line="100" w:lineRule="atLeast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693">
    <w:name w:val="Heading 1"/>
    <w:basedOn w:val="692"/>
    <w:next w:val="903"/>
    <w:link w:val="705"/>
    <w:qFormat/>
    <w:pPr>
      <w:numPr>
        <w:ilvl w:val="0"/>
        <w:numId w:val="1"/>
      </w:numPr>
      <w:jc w:val="both"/>
      <w:keepNext/>
      <w:outlineLvl w:val="0"/>
    </w:pPr>
    <w:rPr>
      <w:b/>
    </w:rPr>
  </w:style>
  <w:style w:type="paragraph" w:styleId="694">
    <w:name w:val="Heading 2"/>
    <w:basedOn w:val="692"/>
    <w:next w:val="903"/>
    <w:link w:val="706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95">
    <w:name w:val="Heading 3"/>
    <w:basedOn w:val="692"/>
    <w:next w:val="692"/>
    <w:link w:val="707"/>
    <w:qFormat/>
    <w:pPr>
      <w:ind w:left="720" w:hanging="720"/>
      <w:keepNext/>
      <w:spacing w:before="240" w:after="60" w:line="240" w:lineRule="auto"/>
      <w:tabs>
        <w:tab w:val="left" w:pos="0" w:leader="none"/>
      </w:tabs>
      <w:outlineLvl w:val="2"/>
    </w:pPr>
    <w:rPr>
      <w:rFonts w:ascii="Arial" w:hAnsi="Arial" w:cs="Calibri"/>
      <w:b/>
      <w:bCs/>
      <w:sz w:val="26"/>
      <w:szCs w:val="26"/>
    </w:rPr>
  </w:style>
  <w:style w:type="paragraph" w:styleId="696">
    <w:name w:val="Heading 4"/>
    <w:basedOn w:val="692"/>
    <w:next w:val="692"/>
    <w:link w:val="708"/>
    <w:qFormat/>
    <w:pPr>
      <w:ind w:left="864" w:hanging="864"/>
      <w:keepNext/>
      <w:spacing w:before="240" w:after="60" w:line="240" w:lineRule="auto"/>
      <w:tabs>
        <w:tab w:val="left" w:pos="0" w:leader="none"/>
      </w:tabs>
      <w:outlineLvl w:val="3"/>
    </w:pPr>
    <w:rPr>
      <w:rFonts w:cs="Calibri"/>
      <w:b/>
      <w:bCs/>
      <w:sz w:val="28"/>
      <w:szCs w:val="28"/>
    </w:rPr>
  </w:style>
  <w:style w:type="paragraph" w:styleId="697">
    <w:name w:val="Heading 5"/>
    <w:basedOn w:val="692"/>
    <w:next w:val="692"/>
    <w:link w:val="709"/>
    <w:qFormat/>
    <w:pPr>
      <w:ind w:left="1008" w:hanging="1008"/>
      <w:spacing w:before="240" w:after="60" w:line="240" w:lineRule="auto"/>
      <w:tabs>
        <w:tab w:val="left" w:pos="0" w:leader="none"/>
      </w:tabs>
      <w:outlineLvl w:val="4"/>
    </w:pPr>
    <w:rPr>
      <w:rFonts w:cs="Calibri"/>
      <w:b/>
      <w:bCs/>
      <w:i/>
      <w:iCs/>
      <w:sz w:val="26"/>
      <w:szCs w:val="26"/>
    </w:rPr>
  </w:style>
  <w:style w:type="paragraph" w:styleId="698">
    <w:name w:val="Heading 6"/>
    <w:basedOn w:val="692"/>
    <w:next w:val="692"/>
    <w:link w:val="710"/>
    <w:qFormat/>
    <w:pPr>
      <w:ind w:left="1152" w:hanging="1152"/>
      <w:spacing w:before="240" w:after="60" w:line="240" w:lineRule="auto"/>
      <w:tabs>
        <w:tab w:val="left" w:pos="0" w:leader="none"/>
      </w:tabs>
      <w:outlineLvl w:val="5"/>
    </w:pPr>
    <w:rPr>
      <w:rFonts w:cs="Calibri"/>
      <w:b/>
      <w:bCs/>
      <w:sz w:val="20"/>
      <w:szCs w:val="20"/>
    </w:rPr>
  </w:style>
  <w:style w:type="paragraph" w:styleId="699">
    <w:name w:val="Heading 7"/>
    <w:basedOn w:val="692"/>
    <w:next w:val="692"/>
    <w:link w:val="711"/>
    <w:qFormat/>
    <w:pPr>
      <w:ind w:left="1296" w:hanging="1296"/>
      <w:spacing w:before="240" w:after="60" w:line="240" w:lineRule="auto"/>
      <w:tabs>
        <w:tab w:val="left" w:pos="0" w:leader="none"/>
      </w:tabs>
      <w:outlineLvl w:val="6"/>
    </w:pPr>
    <w:rPr>
      <w:rFonts w:cs="Calibri"/>
    </w:rPr>
  </w:style>
  <w:style w:type="paragraph" w:styleId="700">
    <w:name w:val="Heading 8"/>
    <w:basedOn w:val="692"/>
    <w:next w:val="692"/>
    <w:link w:val="712"/>
    <w:qFormat/>
    <w:pPr>
      <w:ind w:left="1440" w:hanging="1440"/>
      <w:spacing w:before="240" w:after="60" w:line="240" w:lineRule="auto"/>
      <w:tabs>
        <w:tab w:val="left" w:pos="0" w:leader="none"/>
      </w:tabs>
      <w:outlineLvl w:val="7"/>
    </w:pPr>
    <w:rPr>
      <w:rFonts w:cs="Calibri"/>
      <w:i/>
      <w:iCs/>
    </w:rPr>
  </w:style>
  <w:style w:type="paragraph" w:styleId="701">
    <w:name w:val="Heading 9"/>
    <w:basedOn w:val="692"/>
    <w:next w:val="692"/>
    <w:link w:val="713"/>
    <w:qFormat/>
    <w:pPr>
      <w:ind w:left="1584" w:hanging="1584"/>
      <w:spacing w:before="240" w:after="60" w:line="240" w:lineRule="auto"/>
      <w:tabs>
        <w:tab w:val="left" w:pos="0" w:leader="none"/>
      </w:tabs>
      <w:outlineLvl w:val="8"/>
    </w:pPr>
    <w:rPr>
      <w:rFonts w:ascii="Arial" w:hAnsi="Arial" w:cs="Calibri"/>
      <w:sz w:val="20"/>
      <w:szCs w:val="20"/>
    </w:rPr>
  </w:style>
  <w:style w:type="character" w:styleId="702" w:default="1">
    <w:name w:val="Default Paragraph Font"/>
    <w:uiPriority w:val="1"/>
    <w:unhideWhenUsed/>
  </w:style>
  <w:style w:type="table" w:styleId="7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4" w:default="1">
    <w:name w:val="No List"/>
    <w:uiPriority w:val="99"/>
    <w:semiHidden/>
    <w:unhideWhenUsed/>
  </w:style>
  <w:style w:type="character" w:styleId="705" w:customStyle="1">
    <w:name w:val="Заголовок 1 Знак1"/>
    <w:basedOn w:val="702"/>
    <w:link w:val="693"/>
    <w:uiPriority w:val="9"/>
    <w:rPr>
      <w:rFonts w:ascii="Arial" w:hAnsi="Arial" w:eastAsia="Arial" w:cs="Arial"/>
      <w:sz w:val="40"/>
      <w:szCs w:val="40"/>
    </w:rPr>
  </w:style>
  <w:style w:type="character" w:styleId="706" w:customStyle="1">
    <w:name w:val="Заголовок 2 Знак1"/>
    <w:basedOn w:val="702"/>
    <w:link w:val="694"/>
    <w:uiPriority w:val="9"/>
    <w:rPr>
      <w:rFonts w:ascii="Arial" w:hAnsi="Arial" w:eastAsia="Arial" w:cs="Arial"/>
      <w:sz w:val="34"/>
    </w:rPr>
  </w:style>
  <w:style w:type="character" w:styleId="707" w:customStyle="1">
    <w:name w:val="Заголовок 3 Знак1"/>
    <w:basedOn w:val="702"/>
    <w:link w:val="695"/>
    <w:uiPriority w:val="9"/>
    <w:rPr>
      <w:rFonts w:ascii="Arial" w:hAnsi="Arial" w:eastAsia="Arial" w:cs="Arial"/>
      <w:sz w:val="30"/>
      <w:szCs w:val="30"/>
    </w:rPr>
  </w:style>
  <w:style w:type="character" w:styleId="708" w:customStyle="1">
    <w:name w:val="Заголовок 4 Знак1"/>
    <w:basedOn w:val="702"/>
    <w:link w:val="696"/>
    <w:uiPriority w:val="9"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Заголовок 5 Знак1"/>
    <w:basedOn w:val="702"/>
    <w:link w:val="697"/>
    <w:uiPriority w:val="9"/>
    <w:rPr>
      <w:rFonts w:ascii="Arial" w:hAnsi="Arial" w:eastAsia="Arial" w:cs="Arial"/>
      <w:b/>
      <w:bCs/>
      <w:sz w:val="24"/>
      <w:szCs w:val="24"/>
    </w:rPr>
  </w:style>
  <w:style w:type="character" w:styleId="710" w:customStyle="1">
    <w:name w:val="Заголовок 6 Знак1"/>
    <w:basedOn w:val="702"/>
    <w:link w:val="698"/>
    <w:uiPriority w:val="9"/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Заголовок 7 Знак1"/>
    <w:basedOn w:val="702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2" w:customStyle="1">
    <w:name w:val="Заголовок 8 Знак1"/>
    <w:basedOn w:val="702"/>
    <w:link w:val="700"/>
    <w:uiPriority w:val="9"/>
    <w:rPr>
      <w:rFonts w:ascii="Arial" w:hAnsi="Arial" w:eastAsia="Arial" w:cs="Arial"/>
      <w:i/>
      <w:iCs/>
      <w:sz w:val="22"/>
      <w:szCs w:val="22"/>
    </w:rPr>
  </w:style>
  <w:style w:type="character" w:styleId="713" w:customStyle="1">
    <w:name w:val="Заголовок 9 Знак1"/>
    <w:basedOn w:val="702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Title"/>
    <w:basedOn w:val="692"/>
    <w:next w:val="69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Название Знак1"/>
    <w:basedOn w:val="702"/>
    <w:link w:val="714"/>
    <w:uiPriority w:val="10"/>
    <w:rPr>
      <w:sz w:val="48"/>
      <w:szCs w:val="48"/>
    </w:rPr>
  </w:style>
  <w:style w:type="character" w:styleId="716" w:customStyle="1">
    <w:name w:val="Подзаголовок Знак"/>
    <w:basedOn w:val="702"/>
    <w:link w:val="912"/>
    <w:uiPriority w:val="11"/>
    <w:rPr>
      <w:sz w:val="24"/>
      <w:szCs w:val="24"/>
    </w:rPr>
  </w:style>
  <w:style w:type="paragraph" w:styleId="717">
    <w:name w:val="Quote"/>
    <w:basedOn w:val="692"/>
    <w:next w:val="692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92"/>
    <w:next w:val="692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character" w:styleId="721" w:customStyle="1">
    <w:name w:val="Верхний колонтитул Знак1"/>
    <w:basedOn w:val="702"/>
    <w:link w:val="916"/>
    <w:uiPriority w:val="99"/>
  </w:style>
  <w:style w:type="character" w:styleId="722" w:customStyle="1">
    <w:name w:val="Footer Char"/>
    <w:basedOn w:val="702"/>
    <w:uiPriority w:val="99"/>
  </w:style>
  <w:style w:type="character" w:styleId="723" w:customStyle="1">
    <w:name w:val="Нижний колонтитул Знак1"/>
    <w:link w:val="917"/>
    <w:uiPriority w:val="99"/>
  </w:style>
  <w:style w:type="table" w:styleId="724">
    <w:name w:val="Table Grid"/>
    <w:basedOn w:val="703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 w:customStyle="1">
    <w:name w:val="Table Grid Light"/>
    <w:basedOn w:val="70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Plain Table 1"/>
    <w:basedOn w:val="70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 w:customStyle="1">
    <w:name w:val="Plain Table 2"/>
    <w:basedOn w:val="703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 w:customStyle="1">
    <w:name w:val="Plain Table 3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 w:customStyle="1">
    <w:name w:val="Plain Table 4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Plain Table 5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1 Light"/>
    <w:basedOn w:val="70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1"/>
    <w:basedOn w:val="703"/>
    <w:uiPriority w:val="99"/>
    <w:tblPr>
      <w:tblStyleRowBandSize w:val="1"/>
      <w:tblStyleColBandSize w:val="1"/>
      <w:tblInd w:w="0" w:type="dxa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7FC76" w:themeColor="accent1" w:themeTint="67" w:sz="4" w:space="0"/>
          <w:left w:val="single" w:color="87FC76" w:themeColor="accent1" w:themeTint="67" w:sz="4" w:space="0"/>
          <w:bottom w:val="single" w:color="87FC76" w:themeColor="accent1" w:themeTint="67" w:sz="4" w:space="0"/>
          <w:right w:val="single" w:color="87FC76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52FB39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2"/>
    <w:basedOn w:val="703"/>
    <w:uiPriority w:val="99"/>
    <w:tblPr>
      <w:tblStyleRowBandSize w:val="1"/>
      <w:tblStyleColBandSize w:val="1"/>
      <w:tblInd w:w="0" w:type="dxa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76CBFC" w:themeColor="accent2" w:themeTint="67" w:sz="4" w:space="0"/>
          <w:left w:val="single" w:color="76CBFC" w:themeColor="accent2" w:themeTint="67" w:sz="4" w:space="0"/>
          <w:bottom w:val="single" w:color="76CBFC" w:themeColor="accent2" w:themeTint="67" w:sz="4" w:space="0"/>
          <w:right w:val="single" w:color="76CBFC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39B4FB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3"/>
    <w:basedOn w:val="703"/>
    <w:uiPriority w:val="99"/>
    <w:tblPr>
      <w:tblStyleRowBandSize w:val="1"/>
      <w:tblStyleColBandSize w:val="1"/>
      <w:tblInd w:w="0" w:type="dxa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CA776" w:themeColor="accent3" w:themeTint="67" w:sz="4" w:space="0"/>
          <w:left w:val="single" w:color="FCA776" w:themeColor="accent3" w:themeTint="67" w:sz="4" w:space="0"/>
          <w:bottom w:val="single" w:color="FCA776" w:themeColor="accent3" w:themeTint="67" w:sz="4" w:space="0"/>
          <w:right w:val="single" w:color="FCA776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B8039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4"/>
    <w:basedOn w:val="703"/>
    <w:uiPriority w:val="99"/>
    <w:tblPr>
      <w:tblStyleRowBandSize w:val="1"/>
      <w:tblStyleColBandSize w:val="1"/>
      <w:tblInd w:w="0" w:type="dxa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A76FC" w:themeColor="accent4" w:themeTint="67" w:sz="4" w:space="0"/>
          <w:left w:val="single" w:color="EA76FC" w:themeColor="accent4" w:themeTint="67" w:sz="4" w:space="0"/>
          <w:bottom w:val="single" w:color="EA76FC" w:themeColor="accent4" w:themeTint="67" w:sz="4" w:space="0"/>
          <w:right w:val="single" w:color="EA76FC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139FB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5"/>
    <w:basedOn w:val="703"/>
    <w:uiPriority w:val="99"/>
    <w:tblPr>
      <w:tblStyleRowBandSize w:val="1"/>
      <w:tblStyleColBandSize w:val="1"/>
      <w:tblInd w:w="0" w:type="dxa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282" w:themeColor="accent5" w:themeTint="67" w:sz="4" w:space="0"/>
          <w:left w:val="single" w:color="FFE282" w:themeColor="accent5" w:themeTint="67" w:sz="4" w:space="0"/>
          <w:bottom w:val="single" w:color="FFE282" w:themeColor="accent5" w:themeTint="67" w:sz="4" w:space="0"/>
          <w:right w:val="single" w:color="FFE282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54A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6"/>
    <w:basedOn w:val="703"/>
    <w:uiPriority w:val="99"/>
    <w:tblPr>
      <w:tblStyleRowBandSize w:val="1"/>
      <w:tblStyleColBandSize w:val="1"/>
      <w:tblInd w:w="0" w:type="dxa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09D9C" w:themeColor="accent6" w:themeTint="67" w:sz="4" w:space="0"/>
          <w:left w:val="single" w:color="F09D9C" w:themeColor="accent6" w:themeTint="67" w:sz="4" w:space="0"/>
          <w:bottom w:val="single" w:color="F09D9C" w:themeColor="accent6" w:themeTint="67" w:sz="4" w:space="0"/>
          <w:right w:val="single" w:color="F09D9C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9727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2"/>
    <w:basedOn w:val="70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1"/>
    <w:basedOn w:val="703"/>
    <w:uiPriority w:val="99"/>
    <w:tblPr>
      <w:tblStyleRowBandSize w:val="1"/>
      <w:tblStyleColBandSize w:val="1"/>
      <w:tblInd w:w="0" w:type="dxa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BBE03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BBE03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2"/>
    <w:basedOn w:val="703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36B3FB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36B3FB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3"/>
    <w:basedOn w:val="70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43E03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43E03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4"/>
    <w:basedOn w:val="703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032FB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E032FB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5"/>
    <w:basedOn w:val="703"/>
    <w:uiPriority w:val="99"/>
    <w:tblPr>
      <w:tblStyleRowBandSize w:val="1"/>
      <w:tblStyleColBandSize w:val="1"/>
      <w:tblInd w:w="0" w:type="dxa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9C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6"/>
    <w:basedOn w:val="703"/>
    <w:uiPriority w:val="99"/>
    <w:tblPr>
      <w:tblStyleRowBandSize w:val="1"/>
      <w:tblStyleColBandSize w:val="1"/>
      <w:tblInd w:w="0" w:type="dxa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211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"/>
    <w:basedOn w:val="70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1"/>
    <w:basedOn w:val="703"/>
    <w:uiPriority w:val="99"/>
    <w:tblPr>
      <w:tblStyleRowBandSize w:val="1"/>
      <w:tblStyleColBandSize w:val="1"/>
      <w:tblInd w:w="0" w:type="dxa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2"/>
    <w:basedOn w:val="703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3"/>
    <w:basedOn w:val="70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4"/>
    <w:basedOn w:val="703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5"/>
    <w:basedOn w:val="703"/>
    <w:uiPriority w:val="99"/>
    <w:tblPr>
      <w:tblStyleRowBandSize w:val="1"/>
      <w:tblStyleColBandSize w:val="1"/>
      <w:tblInd w:w="0" w:type="dxa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6"/>
    <w:basedOn w:val="703"/>
    <w:uiPriority w:val="99"/>
    <w:tblPr>
      <w:tblStyleRowBandSize w:val="1"/>
      <w:tblStyleColBandSize w:val="1"/>
      <w:tblInd w:w="0" w:type="dxa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4"/>
    <w:basedOn w:val="70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 w:customStyle="1">
    <w:name w:val="Grid Table 4 - Accent 1"/>
    <w:basedOn w:val="703"/>
    <w:uiPriority w:val="5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  <w:insideV w:val="single" w:color="58FB40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4fdbc" w:themeColor="accent1" w:themeTint="32" w:fill="c4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4fdbc" w:themeColor="accent1" w:themeTint="32" w:fill="c4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bbe03" w:themeColor="accent1" w:themeTint="EA" w:fill="1bbe03" w:themeFill="accent1" w:themeFillTint="EA"/>
        <w:tcBorders>
          <w:top w:val="single" w:color="1BBE03" w:themeColor="accent1" w:themeTint="EA" w:sz="4" w:space="0"/>
          <w:left w:val="single" w:color="1BBE03" w:themeColor="accent1" w:themeTint="EA" w:sz="4" w:space="0"/>
          <w:bottom w:val="single" w:color="1BBE03" w:themeColor="accent1" w:themeTint="EA" w:sz="4" w:space="0"/>
          <w:right w:val="single" w:color="1BBE03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BBE03" w:themeColor="accent1" w:themeTint="EA" w:sz="4" w:space="0"/>
        </w:tcBorders>
      </w:tcPr>
    </w:tblStylePr>
  </w:style>
  <w:style w:type="table" w:styleId="754" w:customStyle="1">
    <w:name w:val="Grid Table 4 - Accent 2"/>
    <w:basedOn w:val="703"/>
    <w:uiPriority w:val="5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  <w:insideV w:val="single" w:color="40B7FB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36b3fb" w:themeColor="accent2" w:themeTint="97" w:fill="36b3fb" w:themeFill="accent2" w:themeFillTint="97"/>
        <w:tcBorders>
          <w:top w:val="single" w:color="36B3FB" w:themeColor="accent2" w:themeTint="97" w:sz="4" w:space="0"/>
          <w:left w:val="single" w:color="36B3FB" w:themeColor="accent2" w:themeTint="97" w:sz="4" w:space="0"/>
          <w:bottom w:val="single" w:color="36B3FB" w:themeColor="accent2" w:themeTint="97" w:sz="4" w:space="0"/>
          <w:right w:val="single" w:color="36B3FB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36B3FB" w:themeColor="accent2" w:themeTint="97" w:sz="4" w:space="0"/>
        </w:tcBorders>
      </w:tcPr>
    </w:tblStylePr>
  </w:style>
  <w:style w:type="table" w:styleId="755" w:customStyle="1">
    <w:name w:val="Grid Table 4 - Accent 3"/>
    <w:basedOn w:val="703"/>
    <w:uiPriority w:val="5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  <w:insideV w:val="single" w:color="FB8540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43e03" w:themeColor="accent3" w:themeTint="FE" w:fill="a43e03" w:themeFill="accent3" w:themeFillTint="FE"/>
        <w:tcBorders>
          <w:top w:val="single" w:color="A43E03" w:themeColor="accent3" w:themeTint="FE" w:sz="4" w:space="0"/>
          <w:left w:val="single" w:color="A43E03" w:themeColor="accent3" w:themeTint="FE" w:sz="4" w:space="0"/>
          <w:bottom w:val="single" w:color="A43E03" w:themeColor="accent3" w:themeTint="FE" w:sz="4" w:space="0"/>
          <w:right w:val="single" w:color="A43E03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43E03" w:themeColor="accent3" w:themeTint="FE" w:sz="4" w:space="0"/>
        </w:tcBorders>
      </w:tcPr>
    </w:tblStylePr>
  </w:style>
  <w:style w:type="table" w:styleId="756" w:customStyle="1">
    <w:name w:val="Grid Table 4 - Accent 4"/>
    <w:basedOn w:val="703"/>
    <w:uiPriority w:val="5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  <w:insideV w:val="single" w:color="E240FB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032fb" w:themeColor="accent4" w:themeTint="9A" w:fill="e032fb" w:themeFill="accent4" w:themeFillTint="9A"/>
        <w:tcBorders>
          <w:top w:val="single" w:color="E032FB" w:themeColor="accent4" w:themeTint="9A" w:sz="4" w:space="0"/>
          <w:left w:val="single" w:color="E032FB" w:themeColor="accent4" w:themeTint="9A" w:sz="4" w:space="0"/>
          <w:bottom w:val="single" w:color="E032FB" w:themeColor="accent4" w:themeTint="9A" w:sz="4" w:space="0"/>
          <w:right w:val="single" w:color="E032FB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032FB" w:themeColor="accent4" w:themeTint="9A" w:sz="4" w:space="0"/>
        </w:tcBorders>
      </w:tcPr>
    </w:tblStylePr>
  </w:style>
  <w:style w:type="table" w:styleId="757" w:customStyle="1">
    <w:name w:val="Grid Table 4 - Accent 5"/>
    <w:basedOn w:val="703"/>
    <w:uiPriority w:val="5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9C00" w:themeColor="accent5" w:sz="4" w:space="0"/>
        </w:tcBorders>
      </w:tcPr>
    </w:tblStylePr>
  </w:style>
  <w:style w:type="table" w:styleId="758" w:customStyle="1">
    <w:name w:val="Grid Table 4 - Accent 6"/>
    <w:basedOn w:val="703"/>
    <w:uiPriority w:val="5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211E" w:themeColor="accent6" w:sz="4" w:space="0"/>
        </w:tcBorders>
      </w:tcPr>
    </w:tblStylePr>
  </w:style>
  <w:style w:type="table" w:styleId="759" w:customStyle="1">
    <w:name w:val="Grid Table 5 Dark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1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2fdb9" w:themeColor="accent1" w:themeTint="34" w:fill="c2fdb9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7fc63" w:themeColor="accent1" w:themeTint="75" w:fill="77fc63" w:themeFill="accent1" w:themeFillTint="75"/>
      </w:tcPr>
    </w:tblStylePr>
    <w:tblStylePr w:type="band1Vert">
      <w:tcPr>
        <w:shd w:val="clear" w:color="77fc63" w:themeColor="accent1" w:themeTint="75" w:fill="77fc6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2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ce6fd" w:themeColor="accent2" w:themeTint="32" w:fill="bce6fd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63c4fc" w:themeColor="accent2" w:themeTint="75" w:fill="63c4fc" w:themeFill="accent2" w:themeFillTint="75"/>
      </w:tcPr>
    </w:tblStylePr>
    <w:tblStylePr w:type="band1Vert">
      <w:tcPr>
        <w:shd w:val="clear" w:color="63c4fc" w:themeColor="accent2" w:themeTint="75" w:fill="63c4f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3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d2b9" w:themeColor="accent3" w:themeTint="34" w:fill="fdd2b9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c9b63" w:themeColor="accent3" w:themeTint="75" w:fill="fc9b63" w:themeFill="accent3" w:themeFillTint="75"/>
      </w:tcPr>
    </w:tblStylePr>
    <w:tblStylePr w:type="band1Vert">
      <w:tcPr>
        <w:shd w:val="clear" w:color="fc9b63" w:themeColor="accent3" w:themeTint="75" w:fill="fc9b63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4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4b9fd" w:themeColor="accent4" w:themeTint="34" w:fill="f4b9fd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763fc" w:themeColor="accent4" w:themeTint="75" w:fill="e763fc" w:themeFill="accent4" w:themeFillTint="75"/>
      </w:tcPr>
    </w:tblStylePr>
    <w:tblStylePr w:type="band1Vert">
      <w:tcPr>
        <w:shd w:val="clear" w:color="e763fc" w:themeColor="accent4" w:themeTint="75" w:fill="e763fc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5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0bf" w:themeColor="accent5" w:themeTint="34" w:fill="fff0bf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e71" w:themeColor="accent5" w:themeTint="75" w:fill="ffde71" w:themeFill="accent5" w:themeFillTint="75"/>
      </w:tcPr>
    </w:tblStylePr>
    <w:tblStylePr w:type="band1Vert">
      <w:tcPr>
        <w:shd w:val="clear" w:color="ffde71" w:themeColor="accent5" w:themeTint="75" w:fill="ffde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6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7cdcd" w:themeColor="accent6" w:themeTint="34" w:fill="f7cdcd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e908f" w:themeColor="accent6" w:themeTint="75" w:fill="ee908f" w:themeFill="accent6" w:themeFillTint="75"/>
      </w:tcPr>
    </w:tblStylePr>
    <w:tblStylePr w:type="band1Vert">
      <w:tcPr>
        <w:shd w:val="clear" w:color="ee908f" w:themeColor="accent6" w:themeTint="75" w:fill="ee90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6 Colorful"/>
    <w:basedOn w:val="70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7" w:customStyle="1">
    <w:name w:val="Grid Table 6 Colorful - Accent 1"/>
    <w:basedOn w:val="703"/>
    <w:uiPriority w:val="99"/>
    <w:tblPr>
      <w:tblStyleRowBandSize w:val="1"/>
      <w:tblStyleColBandSize w:val="1"/>
      <w:tblInd w:w="0" w:type="dxa"/>
      <w:tblBorders>
        <w:top w:val="single" w:color="6AFC55" w:themeColor="accent1" w:themeTint="80" w:sz="4" w:space="0"/>
        <w:left w:val="single" w:color="6AFC55" w:themeColor="accent1" w:themeTint="80" w:sz="4" w:space="0"/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6afc55" w:themeColor="accent1" w:themeTint="80" w:themeShade="95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  <w:tblStylePr w:type="firstCol">
      <w:rPr>
        <w:b/>
        <w:color w:val="6afc55" w:themeColor="accent1" w:themeTint="80" w:themeShade="95"/>
      </w:rPr>
    </w:tblStylePr>
    <w:tblStylePr w:type="firstRow">
      <w:rPr>
        <w:b/>
        <w:color w:val="6afc55" w:themeColor="accent1" w:themeTint="80" w:themeShade="95"/>
      </w:rPr>
      <w:tcPr>
        <w:tcBorders>
          <w:bottom w:val="single" w:color="6AFC55" w:themeColor="accent1" w:themeTint="80" w:sz="12" w:space="0"/>
        </w:tcBorders>
      </w:tcPr>
    </w:tblStylePr>
    <w:tblStylePr w:type="lastCol">
      <w:rPr>
        <w:b/>
        <w:color w:val="6afc55" w:themeColor="accent1" w:themeTint="80" w:themeShade="95"/>
      </w:rPr>
    </w:tblStylePr>
    <w:tblStylePr w:type="lastRow">
      <w:rPr>
        <w:b/>
        <w:color w:val="6afc55" w:themeColor="accent1" w:themeTint="80" w:themeShade="95"/>
      </w:rPr>
    </w:tblStylePr>
  </w:style>
  <w:style w:type="table" w:styleId="768" w:customStyle="1">
    <w:name w:val="Grid Table 6 Colorful - Accent 2"/>
    <w:basedOn w:val="703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36B3FB" w:themeColor="accent2" w:themeTint="97" w:sz="12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</w:tblStylePr>
  </w:style>
  <w:style w:type="table" w:styleId="769" w:customStyle="1">
    <w:name w:val="Grid Table 6 Colorful - Accent 3"/>
    <w:basedOn w:val="703"/>
    <w:uiPriority w:val="99"/>
    <w:tblPr>
      <w:tblStyleRowBandSize w:val="1"/>
      <w:tblStyleColBandSize w:val="1"/>
      <w:tblInd w:w="0" w:type="dxa"/>
      <w:tblBorders>
        <w:top w:val="single" w:color="A43E03" w:themeColor="accent3" w:themeTint="FE" w:sz="4" w:space="0"/>
        <w:left w:val="single" w:color="A43E03" w:themeColor="accent3" w:themeTint="FE" w:sz="4" w:space="0"/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43e03" w:themeColor="accent3" w:themeTint="FE" w:themeShade="95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  <w:tblStylePr w:type="firstCol">
      <w:rPr>
        <w:b/>
        <w:color w:val="a43e03" w:themeColor="accent3" w:themeTint="FE" w:themeShade="95"/>
      </w:rPr>
    </w:tblStylePr>
    <w:tblStylePr w:type="firstRow">
      <w:rPr>
        <w:b/>
        <w:color w:val="a43e03" w:themeColor="accent3" w:themeTint="FE" w:themeShade="95"/>
      </w:rPr>
      <w:tcPr>
        <w:tcBorders>
          <w:bottom w:val="single" w:color="A43E03" w:themeColor="accent3" w:themeTint="FE" w:sz="12" w:space="0"/>
        </w:tcBorders>
      </w:tcPr>
    </w:tblStylePr>
    <w:tblStylePr w:type="lastCol">
      <w:rPr>
        <w:b/>
        <w:color w:val="a43e03" w:themeColor="accent3" w:themeTint="FE" w:themeShade="95"/>
      </w:rPr>
    </w:tblStylePr>
    <w:tblStylePr w:type="lastRow">
      <w:rPr>
        <w:b/>
        <w:color w:val="a43e03" w:themeColor="accent3" w:themeTint="FE" w:themeShade="95"/>
      </w:rPr>
    </w:tblStylePr>
  </w:style>
  <w:style w:type="table" w:styleId="770" w:customStyle="1">
    <w:name w:val="Grid Table 6 Colorful - Accent 4"/>
    <w:basedOn w:val="703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E032FB" w:themeColor="accent4" w:themeTint="9A" w:sz="12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</w:tblStylePr>
  </w:style>
  <w:style w:type="table" w:styleId="771" w:customStyle="1">
    <w:name w:val="Grid Table 6 Colorful - Accent 5"/>
    <w:basedOn w:val="703"/>
    <w:uiPriority w:val="99"/>
    <w:tblPr>
      <w:tblStyleRowBandSize w:val="1"/>
      <w:tblStyleColBandSize w:val="1"/>
      <w:tblInd w:w="0" w:type="dxa"/>
      <w:tblBorders>
        <w:top w:val="single" w:color="C99C00" w:themeColor="accent5" w:sz="4" w:space="0"/>
        <w:left w:val="single" w:color="C99C00" w:themeColor="accent5" w:sz="4" w:space="0"/>
        <w:bottom w:val="single" w:color="C99C00" w:themeColor="accent5" w:sz="4" w:space="0"/>
        <w:right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9C00" w:themeColor="accent5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772" w:customStyle="1">
    <w:name w:val="Grid Table 6 Colorful - Accent 6"/>
    <w:basedOn w:val="703"/>
    <w:uiPriority w:val="99"/>
    <w:tblPr>
      <w:tblStyleRowBandSize w:val="1"/>
      <w:tblStyleColBandSize w:val="1"/>
      <w:tblInd w:w="0" w:type="dxa"/>
      <w:tblBorders>
        <w:top w:val="single" w:color="C9211E" w:themeColor="accent6" w:sz="4" w:space="0"/>
        <w:left w:val="single" w:color="C9211E" w:themeColor="accent6" w:sz="4" w:space="0"/>
        <w:bottom w:val="single" w:color="C9211E" w:themeColor="accent6" w:sz="4" w:space="0"/>
        <w:right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211E" w:themeColor="accent6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773" w:customStyle="1">
    <w:name w:val="Grid Table 7 Colorful"/>
    <w:basedOn w:val="70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1"/>
    <w:basedOn w:val="703"/>
    <w:uiPriority w:val="99"/>
    <w:tblPr>
      <w:tblStyleRowBandSize w:val="1"/>
      <w:tblStyleColBandSize w:val="1"/>
      <w:tblInd w:w="0" w:type="dxa"/>
      <w:tblBorders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6afc55" w:themeColor="accent1" w:themeTint="80" w:themeShade="95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  <w:tblStylePr w:type="firstCol">
      <w:rPr>
        <w:rFonts w:ascii="Arial" w:hAnsi="Arial"/>
        <w:i/>
        <w:color w:val="6afc55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AFC55" w:themeColor="accent1" w:themeTint="80" w:sz="4" w:space="0"/>
        </w:tcBorders>
      </w:tcPr>
    </w:tblStylePr>
    <w:tblStylePr w:type="firstRow">
      <w:rPr>
        <w:rFonts w:ascii="Arial" w:hAnsi="Arial"/>
        <w:b/>
        <w:color w:val="6afc55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AFC55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6AFC55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AFC55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2"/>
    <w:basedOn w:val="703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rFonts w:ascii="Arial" w:hAnsi="Arial"/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36B3FB" w:themeColor="accent2" w:themeTint="97" w:sz="4" w:space="0"/>
        </w:tcBorders>
      </w:tcPr>
    </w:tblStylePr>
    <w:tblStylePr w:type="firstRow">
      <w:rPr>
        <w:rFonts w:ascii="Arial" w:hAnsi="Arial"/>
        <w:b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36B3FB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36B3FB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36B3FB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3"/>
    <w:basedOn w:val="70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43e03" w:themeColor="accent3" w:themeTint="FE" w:themeShade="95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  <w:tblStylePr w:type="firstCol">
      <w:rPr>
        <w:rFonts w:ascii="Arial" w:hAnsi="Arial"/>
        <w:i/>
        <w:color w:val="a43e03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43E03" w:themeColor="accent3" w:themeTint="FE" w:sz="4" w:space="0"/>
        </w:tcBorders>
      </w:tcPr>
    </w:tblStylePr>
    <w:tblStylePr w:type="firstRow">
      <w:rPr>
        <w:rFonts w:ascii="Arial" w:hAnsi="Arial"/>
        <w:b/>
        <w:color w:val="a43e03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43E03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43E03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43E03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4"/>
    <w:basedOn w:val="703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rFonts w:ascii="Arial" w:hAnsi="Arial"/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032FB" w:themeColor="accent4" w:themeTint="9A" w:sz="4" w:space="0"/>
        </w:tcBorders>
      </w:tcPr>
    </w:tblStylePr>
    <w:tblStylePr w:type="firstRow">
      <w:rPr>
        <w:rFonts w:ascii="Arial" w:hAnsi="Arial"/>
        <w:b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E032FB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E032FB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E032FB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5"/>
    <w:basedOn w:val="703"/>
    <w:uiPriority w:val="99"/>
    <w:tblPr>
      <w:tblStyleRowBandSize w:val="1"/>
      <w:tblStyleColBandSize w:val="1"/>
      <w:tblInd w:w="0" w:type="dxa"/>
      <w:tblBorders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rFonts w:ascii="Arial" w:hAnsi="Arial"/>
        <w:i/>
        <w:color w:val="755a00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750" w:themeColor="accent5" w:themeTint="90" w:sz="4" w:space="0"/>
        </w:tcBorders>
      </w:tcPr>
    </w:tblStylePr>
    <w:tblStylePr w:type="firstRow">
      <w:rPr>
        <w:rFonts w:ascii="Arial" w:hAnsi="Arial"/>
        <w:b/>
        <w:color w:val="755a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75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FFD75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cPr>
        <w:shd w:val="clear" w:color="ffffff" w:themeColor="light1" w:fill="ffffff" w:themeFill="light1"/>
        <w:tcBorders>
          <w:top w:val="single" w:color="FFD75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6"/>
    <w:basedOn w:val="703"/>
    <w:uiPriority w:val="99"/>
    <w:tblPr>
      <w:tblStyleRowBandSize w:val="1"/>
      <w:tblStyleColBandSize w:val="1"/>
      <w:tblInd w:w="0" w:type="dxa"/>
      <w:tblBorders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51311" w:themeColor="accent6" w:themeShade="95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  <w:tblStylePr w:type="firstCol">
      <w:rPr>
        <w:rFonts w:ascii="Arial" w:hAnsi="Arial"/>
        <w:i/>
        <w:color w:val="751311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A7775" w:themeColor="accent6" w:themeTint="90" w:sz="4" w:space="0"/>
        </w:tcBorders>
      </w:tcPr>
    </w:tblStylePr>
    <w:tblStylePr w:type="firstRow">
      <w:rPr>
        <w:rFonts w:ascii="Arial" w:hAnsi="Arial"/>
        <w:b/>
        <w:color w:val="7513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EA7775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EA7775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cPr>
        <w:shd w:val="clear" w:color="ffffff" w:themeColor="light1" w:fill="ffffff" w:themeFill="light1"/>
        <w:tcBorders>
          <w:top w:val="single" w:color="EA7775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1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8A303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8A303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2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369A3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369A3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3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33E03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33E03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4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E03A3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E03A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5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99C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6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9211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2"/>
    <w:basedOn w:val="70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1"/>
    <w:basedOn w:val="703"/>
    <w:uiPriority w:val="9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bottom w:val="single" w:color="58FB40" w:themeColor="accent1" w:themeTint="90" w:sz="4" w:space="0"/>
        <w:insideH w:val="single" w:color="58FB40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8FB40" w:themeColor="accent1" w:themeTint="90" w:sz="4" w:space="0"/>
          <w:left w:val="none" w:color="000000" w:sz="4" w:space="0"/>
          <w:bottom w:val="single" w:color="58FB4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8FB40" w:themeColor="accent1" w:themeTint="90" w:sz="4" w:space="0"/>
          <w:left w:val="none" w:color="000000" w:sz="4" w:space="0"/>
          <w:bottom w:val="single" w:color="58FB40" w:themeColor="accen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2"/>
    <w:basedOn w:val="703"/>
    <w:uiPriority w:val="9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bottom w:val="single" w:color="40B7FB" w:themeColor="accent2" w:themeTint="90" w:sz="4" w:space="0"/>
        <w:insideH w:val="single" w:color="40B7FB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40B7FB" w:themeColor="accent2" w:themeTint="90" w:sz="4" w:space="0"/>
          <w:left w:val="none" w:color="000000" w:sz="4" w:space="0"/>
          <w:bottom w:val="single" w:color="40B7F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40B7FB" w:themeColor="accent2" w:themeTint="90" w:sz="4" w:space="0"/>
          <w:left w:val="none" w:color="000000" w:sz="4" w:space="0"/>
          <w:bottom w:val="single" w:color="40B7FB" w:themeColor="accent2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3"/>
    <w:basedOn w:val="703"/>
    <w:uiPriority w:val="9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bottom w:val="single" w:color="FB8540" w:themeColor="accent3" w:themeTint="90" w:sz="4" w:space="0"/>
        <w:insideH w:val="single" w:color="FB8540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B8540" w:themeColor="accent3" w:themeTint="90" w:sz="4" w:space="0"/>
          <w:left w:val="none" w:color="000000" w:sz="4" w:space="0"/>
          <w:bottom w:val="single" w:color="FB854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B8540" w:themeColor="accent3" w:themeTint="90" w:sz="4" w:space="0"/>
          <w:left w:val="none" w:color="000000" w:sz="4" w:space="0"/>
          <w:bottom w:val="single" w:color="FB8540" w:themeColor="accent3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4"/>
    <w:basedOn w:val="703"/>
    <w:uiPriority w:val="9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bottom w:val="single" w:color="E240FB" w:themeColor="accent4" w:themeTint="90" w:sz="4" w:space="0"/>
        <w:insideH w:val="single" w:color="E240FB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E240FB" w:themeColor="accent4" w:themeTint="90" w:sz="4" w:space="0"/>
          <w:left w:val="none" w:color="000000" w:sz="4" w:space="0"/>
          <w:bottom w:val="single" w:color="E240FB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E240FB" w:themeColor="accent4" w:themeTint="90" w:sz="4" w:space="0"/>
          <w:left w:val="none" w:color="000000" w:sz="4" w:space="0"/>
          <w:bottom w:val="single" w:color="E240FB" w:themeColor="accent4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5"/>
    <w:basedOn w:val="703"/>
    <w:uiPriority w:val="9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bottom w:val="single" w:color="FFD750" w:themeColor="accent5" w:themeTint="90" w:sz="4" w:space="0"/>
        <w:insideH w:val="single" w:color="FFD75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750" w:themeColor="accent5" w:themeTint="90" w:sz="4" w:space="0"/>
          <w:left w:val="none" w:color="000000" w:sz="4" w:space="0"/>
          <w:bottom w:val="single" w:color="FFD75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750" w:themeColor="accent5" w:themeTint="90" w:sz="4" w:space="0"/>
          <w:left w:val="none" w:color="000000" w:sz="4" w:space="0"/>
          <w:bottom w:val="single" w:color="FFD750" w:themeColor="accent5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6"/>
    <w:basedOn w:val="703"/>
    <w:uiPriority w:val="9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bottom w:val="single" w:color="EA7775" w:themeColor="accent6" w:themeTint="90" w:sz="4" w:space="0"/>
        <w:insideH w:val="single" w:color="EA7775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EA7775" w:themeColor="accent6" w:themeTint="90" w:sz="4" w:space="0"/>
          <w:left w:val="none" w:color="000000" w:sz="4" w:space="0"/>
          <w:bottom w:val="single" w:color="EA7775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EA7775" w:themeColor="accent6" w:themeTint="90" w:sz="4" w:space="0"/>
          <w:left w:val="none" w:color="000000" w:sz="4" w:space="0"/>
          <w:bottom w:val="single" w:color="EA7775" w:themeColor="accent6" w:themeTint="90" w:sz="4" w:space="0"/>
          <w:right w:val="none" w:color="000000" w:sz="4" w:space="0"/>
        </w:tcBorders>
      </w:tcPr>
    </w:tblStylePr>
  </w:style>
  <w:style w:type="table" w:styleId="794" w:customStyle="1">
    <w:name w:val="List Table 3"/>
    <w:basedOn w:val="70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1"/>
    <w:basedOn w:val="703"/>
    <w:uiPriority w:val="99"/>
    <w:tblPr>
      <w:tblStyleRowBandSize w:val="1"/>
      <w:tblStyleColBandSize w:val="1"/>
      <w:tblInd w:w="0" w:type="dxa"/>
      <w:tblBorders>
        <w:top w:val="single" w:color="18A303" w:themeColor="accent1" w:sz="4" w:space="0"/>
        <w:left w:val="single" w:color="18A303" w:themeColor="accent1" w:sz="4" w:space="0"/>
        <w:bottom w:val="single" w:color="18A303" w:themeColor="accent1" w:sz="4" w:space="0"/>
        <w:right w:val="single" w:color="18A303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18A303" w:themeColor="accent1" w:sz="4" w:space="0"/>
          <w:bottom w:val="single" w:color="18A303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8A303" w:themeColor="accent1" w:sz="4" w:space="0"/>
          <w:right w:val="single" w:color="18A303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2"/>
    <w:basedOn w:val="703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36B3FB" w:themeColor="accent2" w:themeTint="97" w:sz="4" w:space="0"/>
          <w:bottom w:val="single" w:color="36B3FB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36B3FB" w:themeColor="accent2" w:themeTint="97" w:sz="4" w:space="0"/>
          <w:right w:val="single" w:color="36B3FB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3"/>
    <w:basedOn w:val="70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4" w:space="0"/>
        <w:left w:val="single" w:color="FB7E35" w:themeColor="accent3" w:themeTint="98" w:sz="4" w:space="0"/>
        <w:bottom w:val="single" w:color="FB7E35" w:themeColor="accent3" w:themeTint="98" w:sz="4" w:space="0"/>
        <w:right w:val="single" w:color="FB7E35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7E35" w:themeColor="accent3" w:themeTint="98" w:sz="4" w:space="0"/>
          <w:bottom w:val="single" w:color="FB7E35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B7E35" w:themeColor="accent3" w:themeTint="98" w:sz="4" w:space="0"/>
          <w:right w:val="single" w:color="FB7E35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b7e35" w:themeColor="accent3" w:themeTint="98" w:fill="fb7e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4"/>
    <w:basedOn w:val="703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032FB" w:themeColor="accent4" w:themeTint="9A" w:sz="4" w:space="0"/>
          <w:bottom w:val="single" w:color="E032FB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032FB" w:themeColor="accent4" w:themeTint="9A" w:sz="4" w:space="0"/>
          <w:right w:val="single" w:color="E032FB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5"/>
    <w:basedOn w:val="703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4" w:space="0"/>
        <w:left w:val="single" w:color="FFD444" w:themeColor="accent5" w:themeTint="9A" w:sz="4" w:space="0"/>
        <w:bottom w:val="single" w:color="FFD444" w:themeColor="accent5" w:themeTint="9A" w:sz="4" w:space="0"/>
        <w:right w:val="single" w:color="FFD444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444" w:themeColor="accent5" w:themeTint="9A" w:sz="4" w:space="0"/>
          <w:bottom w:val="single" w:color="FFD444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444" w:themeColor="accent5" w:themeTint="9A" w:sz="4" w:space="0"/>
          <w:right w:val="single" w:color="FFD444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444" w:themeColor="accent5" w:themeTint="9A" w:fill="ffd444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6"/>
    <w:basedOn w:val="703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4" w:space="0"/>
        <w:left w:val="single" w:color="E9706E" w:themeColor="accent6" w:themeTint="98" w:sz="4" w:space="0"/>
        <w:bottom w:val="single" w:color="E9706E" w:themeColor="accent6" w:themeTint="98" w:sz="4" w:space="0"/>
        <w:right w:val="single" w:color="E9706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9706E" w:themeColor="accent6" w:themeTint="98" w:sz="4" w:space="0"/>
          <w:bottom w:val="single" w:color="E9706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9706E" w:themeColor="accent6" w:themeTint="98" w:sz="4" w:space="0"/>
          <w:right w:val="single" w:color="E9706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06e" w:themeColor="accent6" w:themeTint="98" w:fill="e970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"/>
    <w:basedOn w:val="70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1"/>
    <w:basedOn w:val="703"/>
    <w:uiPriority w:val="9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2"/>
    <w:basedOn w:val="703"/>
    <w:uiPriority w:val="9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3"/>
    <w:basedOn w:val="703"/>
    <w:uiPriority w:val="9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4"/>
    <w:basedOn w:val="703"/>
    <w:uiPriority w:val="9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5"/>
    <w:basedOn w:val="703"/>
    <w:uiPriority w:val="9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6"/>
    <w:basedOn w:val="703"/>
    <w:uiPriority w:val="9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5 Dark"/>
    <w:basedOn w:val="70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1"/>
    <w:basedOn w:val="703"/>
    <w:uiPriority w:val="99"/>
    <w:tblPr>
      <w:tblStyleRowBandSize w:val="1"/>
      <w:tblStyleColBandSize w:val="1"/>
      <w:tblInd w:w="0" w:type="dxa"/>
      <w:tblBorders>
        <w:top w:val="single" w:color="18A303" w:themeColor="accent1" w:sz="32" w:space="0"/>
        <w:left w:val="single" w:color="18A303" w:themeColor="accent1" w:sz="32" w:space="0"/>
        <w:bottom w:val="single" w:color="18A303" w:themeColor="accent1" w:sz="32" w:space="0"/>
        <w:right w:val="single" w:color="18A303" w:themeColor="accent1" w:sz="32" w:space="0"/>
      </w:tblBorders>
      <w:shd w:val="clear" w:color="18a303" w:themeColor="accent1" w:fill="18a303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18a303" w:themeColor="accent1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8a303" w:themeColor="accent1" w:fill="18a303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8a303" w:themeColor="accent1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8A303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8a303" w:themeColor="accent1" w:fill="18a303" w:themeFill="accent1"/>
        <w:tcBorders>
          <w:top w:val="single" w:color="18A303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8A303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2"/>
    <w:basedOn w:val="703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32" w:space="0"/>
        <w:left w:val="single" w:color="36B3FB" w:themeColor="accent2" w:themeTint="97" w:sz="32" w:space="0"/>
        <w:bottom w:val="single" w:color="36B3FB" w:themeColor="accent2" w:themeTint="97" w:sz="32" w:space="0"/>
        <w:right w:val="single" w:color="36B3FB" w:themeColor="accent2" w:themeTint="97" w:sz="32" w:space="0"/>
      </w:tblBorders>
      <w:shd w:val="clear" w:color="36b3fb" w:themeColor="accent2" w:themeTint="97" w:fill="36b3fb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36b3fb" w:themeColor="accent2" w:themeTint="97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36b3fb" w:themeColor="accent2" w:themeTint="97" w:fill="36b3fb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36b3fb" w:themeColor="accent2" w:themeTint="97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36B3FB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36b3fb" w:themeColor="accent2" w:themeTint="97" w:fill="36b3fb" w:themeFill="accent2" w:themeFillTint="97"/>
        <w:tcBorders>
          <w:top w:val="single" w:color="36B3FB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36B3FB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3"/>
    <w:basedOn w:val="70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32" w:space="0"/>
        <w:left w:val="single" w:color="FB7E35" w:themeColor="accent3" w:themeTint="98" w:sz="32" w:space="0"/>
        <w:bottom w:val="single" w:color="FB7E35" w:themeColor="accent3" w:themeTint="98" w:sz="32" w:space="0"/>
        <w:right w:val="single" w:color="FB7E35" w:themeColor="accent3" w:themeTint="98" w:sz="32" w:space="0"/>
      </w:tblBorders>
      <w:shd w:val="clear" w:color="fb7e35" w:themeColor="accent3" w:themeTint="98" w:fill="fb7e35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7e35" w:themeColor="accent3" w:themeTint="98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b7e35" w:themeColor="accent3" w:themeTint="98" w:fill="fb7e35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b7e35" w:themeColor="accent3" w:themeTint="98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B7E35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b7e35" w:themeColor="accent3" w:themeTint="98" w:fill="fb7e35" w:themeFill="accent3" w:themeFillTint="98"/>
        <w:tcBorders>
          <w:top w:val="single" w:color="FB7E35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B7E35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4"/>
    <w:basedOn w:val="703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32" w:space="0"/>
        <w:left w:val="single" w:color="E032FB" w:themeColor="accent4" w:themeTint="9A" w:sz="32" w:space="0"/>
        <w:bottom w:val="single" w:color="E032FB" w:themeColor="accent4" w:themeTint="9A" w:sz="32" w:space="0"/>
        <w:right w:val="single" w:color="E032FB" w:themeColor="accent4" w:themeTint="9A" w:sz="32" w:space="0"/>
      </w:tblBorders>
      <w:shd w:val="clear" w:color="e032fb" w:themeColor="accent4" w:themeTint="9A" w:fill="e032fb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032fb" w:themeColor="accent4" w:themeTint="9A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032fb" w:themeColor="accent4" w:themeTint="9A" w:fill="e032fb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032fb" w:themeColor="accent4" w:themeTint="9A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E032FB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e032fb" w:themeColor="accent4" w:themeTint="9A" w:fill="e032fb" w:themeFill="accent4" w:themeFillTint="9A"/>
        <w:tcBorders>
          <w:top w:val="single" w:color="E032FB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032FB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5"/>
    <w:basedOn w:val="703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32" w:space="0"/>
        <w:left w:val="single" w:color="FFD444" w:themeColor="accent5" w:themeTint="9A" w:sz="32" w:space="0"/>
        <w:bottom w:val="single" w:color="FFD444" w:themeColor="accent5" w:themeTint="9A" w:sz="32" w:space="0"/>
        <w:right w:val="single" w:color="FFD444" w:themeColor="accent5" w:themeTint="9A" w:sz="32" w:space="0"/>
      </w:tblBorders>
      <w:shd w:val="clear" w:color="ffd444" w:themeColor="accent5" w:themeTint="9A" w:fill="ffd444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444" w:themeColor="accent5" w:themeTint="9A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444" w:themeColor="accent5" w:themeTint="9A" w:fill="ffd444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444" w:themeColor="accent5" w:themeTint="9A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444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444" w:themeColor="accent5" w:themeTint="9A" w:fill="ffd444" w:themeFill="accent5" w:themeFillTint="9A"/>
        <w:tcBorders>
          <w:top w:val="single" w:color="FFD444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444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6"/>
    <w:basedOn w:val="703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32" w:space="0"/>
        <w:left w:val="single" w:color="E9706E" w:themeColor="accent6" w:themeTint="98" w:sz="32" w:space="0"/>
        <w:bottom w:val="single" w:color="E9706E" w:themeColor="accent6" w:themeTint="98" w:sz="32" w:space="0"/>
        <w:right w:val="single" w:color="E9706E" w:themeColor="accent6" w:themeTint="98" w:sz="32" w:space="0"/>
      </w:tblBorders>
      <w:shd w:val="clear" w:color="e9706e" w:themeColor="accent6" w:themeTint="98" w:fill="e9706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9706e" w:themeColor="accent6" w:themeTint="98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9706e" w:themeColor="accent6" w:themeTint="98" w:fill="e9706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9706e" w:themeColor="accent6" w:themeTint="98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E9706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e9706e" w:themeColor="accent6" w:themeTint="98" w:fill="e9706e" w:themeFill="accent6" w:themeFillTint="98"/>
        <w:tcBorders>
          <w:top w:val="single" w:color="E9706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9706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6 Colorful"/>
    <w:basedOn w:val="70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6" w:customStyle="1">
    <w:name w:val="List Table 6 Colorful - Accent 1"/>
    <w:basedOn w:val="703"/>
    <w:uiPriority w:val="99"/>
    <w:tblPr>
      <w:tblStyleRowBandSize w:val="1"/>
      <w:tblStyleColBandSize w:val="1"/>
      <w:tblInd w:w="0" w:type="dxa"/>
      <w:tblBorders>
        <w:top w:val="single" w:color="18A303" w:themeColor="accent1" w:sz="4" w:space="0"/>
        <w:bottom w:val="single" w:color="18A303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d5e01" w:themeColor="accent1" w:themeShade="95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  <w:tblStylePr w:type="firstCol">
      <w:rPr>
        <w:b/>
        <w:color w:val="0d5e01" w:themeColor="accent1" w:themeShade="95"/>
      </w:rPr>
    </w:tblStylePr>
    <w:tblStylePr w:type="firstRow">
      <w:rPr>
        <w:b/>
        <w:color w:val="0d5e01" w:themeColor="accent1" w:themeShade="95"/>
      </w:rPr>
      <w:tcPr>
        <w:tcBorders>
          <w:bottom w:val="single" w:color="18A303" w:themeColor="accent1" w:sz="4" w:space="0"/>
        </w:tcBorders>
      </w:tcPr>
    </w:tblStylePr>
    <w:tblStylePr w:type="lastCol">
      <w:rPr>
        <w:b/>
        <w:color w:val="0d5e01" w:themeColor="accent1" w:themeShade="95"/>
      </w:rPr>
    </w:tblStylePr>
    <w:tblStylePr w:type="lastRow">
      <w:rPr>
        <w:b/>
        <w:color w:val="0d5e01" w:themeColor="accent1" w:themeShade="95"/>
      </w:rPr>
      <w:tcPr>
        <w:tcBorders>
          <w:top w:val="single" w:color="18A303" w:themeColor="accent1" w:sz="4" w:space="0"/>
        </w:tcBorders>
      </w:tcPr>
    </w:tblStylePr>
  </w:style>
  <w:style w:type="table" w:styleId="817" w:customStyle="1">
    <w:name w:val="List Table 6 Colorful - Accent 2"/>
    <w:basedOn w:val="703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bottom w:val="single" w:color="36B3FB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36B3FB" w:themeColor="accent2" w:themeTint="97" w:sz="4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  <w:tcPr>
        <w:tcBorders>
          <w:top w:val="single" w:color="36B3FB" w:themeColor="accent2" w:themeTint="97" w:sz="4" w:space="0"/>
        </w:tcBorders>
      </w:tcPr>
    </w:tblStylePr>
  </w:style>
  <w:style w:type="table" w:styleId="818" w:customStyle="1">
    <w:name w:val="List Table 6 Colorful - Accent 3"/>
    <w:basedOn w:val="70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4" w:space="0"/>
        <w:bottom w:val="single" w:color="FB7E35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b7e35" w:themeColor="accent3" w:themeTint="98" w:themeShade="95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  <w:tblStylePr w:type="firstCol">
      <w:rPr>
        <w:b/>
        <w:color w:val="fb7e35" w:themeColor="accent3" w:themeTint="98" w:themeShade="95"/>
      </w:rPr>
    </w:tblStylePr>
    <w:tblStylePr w:type="firstRow">
      <w:rPr>
        <w:b/>
        <w:color w:val="fb7e35" w:themeColor="accent3" w:themeTint="98" w:themeShade="95"/>
      </w:rPr>
      <w:tcPr>
        <w:tcBorders>
          <w:bottom w:val="single" w:color="FB7E35" w:themeColor="accent3" w:themeTint="98" w:sz="4" w:space="0"/>
        </w:tcBorders>
      </w:tcPr>
    </w:tblStylePr>
    <w:tblStylePr w:type="lastCol">
      <w:rPr>
        <w:b/>
        <w:color w:val="fb7e35" w:themeColor="accent3" w:themeTint="98" w:themeShade="95"/>
      </w:rPr>
    </w:tblStylePr>
    <w:tblStylePr w:type="lastRow">
      <w:rPr>
        <w:b/>
        <w:color w:val="fb7e35" w:themeColor="accent3" w:themeTint="98" w:themeShade="95"/>
      </w:rPr>
      <w:tcPr>
        <w:tcBorders>
          <w:top w:val="single" w:color="FB7E35" w:themeColor="accent3" w:themeTint="98" w:sz="4" w:space="0"/>
        </w:tcBorders>
      </w:tcPr>
    </w:tblStylePr>
  </w:style>
  <w:style w:type="table" w:styleId="819" w:customStyle="1">
    <w:name w:val="List Table 6 Colorful - Accent 4"/>
    <w:basedOn w:val="703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bottom w:val="single" w:color="E032FB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E032FB" w:themeColor="accent4" w:themeTint="9A" w:sz="4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  <w:tcPr>
        <w:tcBorders>
          <w:top w:val="single" w:color="E032FB" w:themeColor="accent4" w:themeTint="9A" w:sz="4" w:space="0"/>
        </w:tcBorders>
      </w:tcPr>
    </w:tblStylePr>
  </w:style>
  <w:style w:type="table" w:styleId="820" w:customStyle="1">
    <w:name w:val="List Table 6 Colorful - Accent 5"/>
    <w:basedOn w:val="703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4" w:space="0"/>
        <w:bottom w:val="single" w:color="FFD444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444" w:themeColor="accent5" w:themeTint="9A" w:themeShade="95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  <w:tblStylePr w:type="firstCol">
      <w:rPr>
        <w:b/>
        <w:color w:val="ffd444" w:themeColor="accent5" w:themeTint="9A" w:themeShade="95"/>
      </w:rPr>
    </w:tblStylePr>
    <w:tblStylePr w:type="firstRow">
      <w:rPr>
        <w:b/>
        <w:color w:val="ffd444" w:themeColor="accent5" w:themeTint="9A" w:themeShade="95"/>
      </w:rPr>
      <w:tcPr>
        <w:tcBorders>
          <w:bottom w:val="single" w:color="FFD444" w:themeColor="accent5" w:themeTint="9A" w:sz="4" w:space="0"/>
        </w:tcBorders>
      </w:tcPr>
    </w:tblStylePr>
    <w:tblStylePr w:type="lastCol">
      <w:rPr>
        <w:b/>
        <w:color w:val="ffd444" w:themeColor="accent5" w:themeTint="9A" w:themeShade="95"/>
      </w:rPr>
    </w:tblStylePr>
    <w:tblStylePr w:type="lastRow">
      <w:rPr>
        <w:b/>
        <w:color w:val="ffd444" w:themeColor="accent5" w:themeTint="9A" w:themeShade="95"/>
      </w:rPr>
      <w:tcPr>
        <w:tcBorders>
          <w:top w:val="single" w:color="FFD444" w:themeColor="accent5" w:themeTint="9A" w:sz="4" w:space="0"/>
        </w:tcBorders>
      </w:tcPr>
    </w:tblStylePr>
  </w:style>
  <w:style w:type="table" w:styleId="821" w:customStyle="1">
    <w:name w:val="List Table 6 Colorful - Accent 6"/>
    <w:basedOn w:val="703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4" w:space="0"/>
        <w:bottom w:val="single" w:color="E9706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e9706e" w:themeColor="accent6" w:themeTint="98" w:themeShade="95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  <w:tblStylePr w:type="firstCol">
      <w:rPr>
        <w:b/>
        <w:color w:val="e9706e" w:themeColor="accent6" w:themeTint="98" w:themeShade="95"/>
      </w:rPr>
    </w:tblStylePr>
    <w:tblStylePr w:type="firstRow">
      <w:rPr>
        <w:b/>
        <w:color w:val="e9706e" w:themeColor="accent6" w:themeTint="98" w:themeShade="95"/>
      </w:rPr>
      <w:tcPr>
        <w:tcBorders>
          <w:bottom w:val="single" w:color="E9706E" w:themeColor="accent6" w:themeTint="98" w:sz="4" w:space="0"/>
        </w:tcBorders>
      </w:tcPr>
    </w:tblStylePr>
    <w:tblStylePr w:type="lastCol">
      <w:rPr>
        <w:b/>
        <w:color w:val="e9706e" w:themeColor="accent6" w:themeTint="98" w:themeShade="95"/>
      </w:rPr>
    </w:tblStylePr>
    <w:tblStylePr w:type="lastRow">
      <w:rPr>
        <w:b/>
        <w:color w:val="e9706e" w:themeColor="accent6" w:themeTint="98" w:themeShade="95"/>
      </w:rPr>
      <w:tcPr>
        <w:tcBorders>
          <w:top w:val="single" w:color="E9706E" w:themeColor="accent6" w:themeTint="98" w:sz="4" w:space="0"/>
        </w:tcBorders>
      </w:tcPr>
    </w:tblStylePr>
  </w:style>
  <w:style w:type="table" w:styleId="822" w:customStyle="1">
    <w:name w:val="List Table 7 Colorful"/>
    <w:basedOn w:val="70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1"/>
    <w:basedOn w:val="703"/>
    <w:uiPriority w:val="99"/>
    <w:tblPr>
      <w:tblStyleRowBandSize w:val="1"/>
      <w:tblStyleColBandSize w:val="1"/>
      <w:tblInd w:w="0" w:type="dxa"/>
      <w:tblBorders>
        <w:right w:val="single" w:color="18A303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d5e01" w:themeColor="accent1" w:themeShade="95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  <w:tblStylePr w:type="firstCol">
      <w:rPr>
        <w:rFonts w:ascii="Arial" w:hAnsi="Arial"/>
        <w:i/>
        <w:color w:val="0d5e0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8A303" w:themeColor="accent1" w:sz="4" w:space="0"/>
        </w:tcBorders>
      </w:tcPr>
    </w:tblStylePr>
    <w:tblStylePr w:type="firstRow">
      <w:rPr>
        <w:rFonts w:ascii="Arial" w:hAnsi="Arial"/>
        <w:i/>
        <w:color w:val="0d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8A303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18A303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cPr>
        <w:shd w:val="clear" w:color="ffffff" w:themeColor="light1" w:fill="ffffff" w:themeFill="light1"/>
        <w:tcBorders>
          <w:top w:val="single" w:color="18A303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2"/>
    <w:basedOn w:val="703"/>
    <w:uiPriority w:val="99"/>
    <w:tblPr>
      <w:tblStyleRowBandSize w:val="1"/>
      <w:tblStyleColBandSize w:val="1"/>
      <w:tblInd w:w="0" w:type="dxa"/>
      <w:tblBorders>
        <w:right w:val="single" w:color="36B3FB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rFonts w:ascii="Arial" w:hAnsi="Arial"/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36B3FB" w:themeColor="accent2" w:themeTint="97" w:sz="4" w:space="0"/>
        </w:tcBorders>
      </w:tcPr>
    </w:tblStylePr>
    <w:tblStylePr w:type="firstRow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36B3FB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36B3FB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36B3FB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3"/>
    <w:basedOn w:val="703"/>
    <w:uiPriority w:val="99"/>
    <w:tblPr>
      <w:tblStyleRowBandSize w:val="1"/>
      <w:tblStyleColBandSize w:val="1"/>
      <w:tblInd w:w="0" w:type="dxa"/>
      <w:tblBorders>
        <w:right w:val="single" w:color="FB7E35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b7e35" w:themeColor="accent3" w:themeTint="98" w:themeShade="95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  <w:tblStylePr w:type="firstCol">
      <w:rPr>
        <w:rFonts w:ascii="Arial" w:hAnsi="Arial"/>
        <w:i/>
        <w:color w:val="fb7e3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B7E35" w:themeColor="accent3" w:themeTint="98" w:sz="4" w:space="0"/>
        </w:tcBorders>
      </w:tcPr>
    </w:tblStylePr>
    <w:tblStylePr w:type="firstRow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B7E35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B7E35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FB7E35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4"/>
    <w:basedOn w:val="703"/>
    <w:uiPriority w:val="99"/>
    <w:tblPr>
      <w:tblStyleRowBandSize w:val="1"/>
      <w:tblStyleColBandSize w:val="1"/>
      <w:tblInd w:w="0" w:type="dxa"/>
      <w:tblBorders>
        <w:right w:val="single" w:color="E032FB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rFonts w:ascii="Arial" w:hAnsi="Arial"/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032FB" w:themeColor="accent4" w:themeTint="9A" w:sz="4" w:space="0"/>
        </w:tcBorders>
      </w:tcPr>
    </w:tblStylePr>
    <w:tblStylePr w:type="firstRow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E032FB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E032FB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E032FB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5"/>
    <w:basedOn w:val="703"/>
    <w:uiPriority w:val="99"/>
    <w:tblPr>
      <w:tblStyleRowBandSize w:val="1"/>
      <w:tblStyleColBandSize w:val="1"/>
      <w:tblInd w:w="0" w:type="dxa"/>
      <w:tblBorders>
        <w:right w:val="single" w:color="FFD444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444" w:themeColor="accent5" w:themeTint="9A" w:themeShade="95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  <w:tblStylePr w:type="firstCol">
      <w:rPr>
        <w:rFonts w:ascii="Arial" w:hAnsi="Arial"/>
        <w:i/>
        <w:color w:val="ffd444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444" w:themeColor="accent5" w:themeTint="9A" w:sz="4" w:space="0"/>
        </w:tcBorders>
      </w:tcPr>
    </w:tblStylePr>
    <w:tblStylePr w:type="firstRow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444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444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FFD444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6"/>
    <w:basedOn w:val="703"/>
    <w:uiPriority w:val="99"/>
    <w:tblPr>
      <w:tblStyleRowBandSize w:val="1"/>
      <w:tblStyleColBandSize w:val="1"/>
      <w:tblInd w:w="0" w:type="dxa"/>
      <w:tblBorders>
        <w:right w:val="single" w:color="E9706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e9706e" w:themeColor="accent6" w:themeTint="98" w:themeShade="95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  <w:tblStylePr w:type="firstCol">
      <w:rPr>
        <w:rFonts w:ascii="Arial" w:hAnsi="Arial"/>
        <w:i/>
        <w:color w:val="e9706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9706E" w:themeColor="accent6" w:themeTint="98" w:sz="4" w:space="0"/>
        </w:tcBorders>
      </w:tcPr>
    </w:tblStylePr>
    <w:tblStylePr w:type="firstRow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E9706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E9706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E9706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ned - Accent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Lined - Accent 1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</w:style>
  <w:style w:type="table" w:styleId="831" w:customStyle="1">
    <w:name w:val="Lined - Accent 2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</w:style>
  <w:style w:type="table" w:styleId="832" w:customStyle="1">
    <w:name w:val="Lined - Accent 3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</w:style>
  <w:style w:type="table" w:styleId="833" w:customStyle="1">
    <w:name w:val="Lined - Accent 4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</w:style>
  <w:style w:type="table" w:styleId="834" w:customStyle="1">
    <w:name w:val="Lined - Accent 5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</w:style>
  <w:style w:type="table" w:styleId="835" w:customStyle="1">
    <w:name w:val="Lined - Accent 6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</w:style>
  <w:style w:type="table" w:styleId="836" w:customStyle="1">
    <w:name w:val="Bordered &amp; Lined - Accent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Bordered &amp; Lined - Accent 1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0D5E01" w:themeColor="accent1" w:themeShade="95" w:sz="4" w:space="0"/>
        <w:left w:val="single" w:color="0D5E01" w:themeColor="accent1" w:themeShade="95" w:sz="4" w:space="0"/>
        <w:bottom w:val="single" w:color="0D5E01" w:themeColor="accent1" w:themeShade="95" w:sz="4" w:space="0"/>
        <w:right w:val="single" w:color="0D5E01" w:themeColor="accent1" w:themeShade="95" w:sz="4" w:space="0"/>
        <w:insideH w:val="single" w:color="0D5E01" w:themeColor="accent1" w:themeShade="95" w:sz="4" w:space="0"/>
        <w:insideV w:val="single" w:color="0D5E0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</w:style>
  <w:style w:type="table" w:styleId="838" w:customStyle="1">
    <w:name w:val="Bordered &amp; Lined - Accent 2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013C5E" w:themeColor="accent2" w:themeShade="95" w:sz="4" w:space="0"/>
        <w:left w:val="single" w:color="013C5E" w:themeColor="accent2" w:themeShade="95" w:sz="4" w:space="0"/>
        <w:bottom w:val="single" w:color="013C5E" w:themeColor="accent2" w:themeShade="95" w:sz="4" w:space="0"/>
        <w:right w:val="single" w:color="013C5E" w:themeColor="accent2" w:themeShade="95" w:sz="4" w:space="0"/>
        <w:insideH w:val="single" w:color="013C5E" w:themeColor="accent2" w:themeShade="95" w:sz="4" w:space="0"/>
        <w:insideV w:val="single" w:color="013C5E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</w:style>
  <w:style w:type="table" w:styleId="839" w:customStyle="1">
    <w:name w:val="Bordered &amp; Lined - Accent 3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E2401" w:themeColor="accent3" w:themeShade="95" w:sz="4" w:space="0"/>
        <w:left w:val="single" w:color="5E2401" w:themeColor="accent3" w:themeShade="95" w:sz="4" w:space="0"/>
        <w:bottom w:val="single" w:color="5E2401" w:themeColor="accent3" w:themeShade="95" w:sz="4" w:space="0"/>
        <w:right w:val="single" w:color="5E2401" w:themeColor="accent3" w:themeShade="95" w:sz="4" w:space="0"/>
        <w:insideH w:val="single" w:color="5E2401" w:themeColor="accent3" w:themeShade="95" w:sz="4" w:space="0"/>
        <w:insideV w:val="single" w:color="5E2401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</w:style>
  <w:style w:type="table" w:styleId="840" w:customStyle="1">
    <w:name w:val="Bordered &amp; Lined - Accent 4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2015E" w:themeColor="accent4" w:themeShade="95" w:sz="4" w:space="0"/>
        <w:left w:val="single" w:color="52015E" w:themeColor="accent4" w:themeShade="95" w:sz="4" w:space="0"/>
        <w:bottom w:val="single" w:color="52015E" w:themeColor="accent4" w:themeShade="95" w:sz="4" w:space="0"/>
        <w:right w:val="single" w:color="52015E" w:themeColor="accent4" w:themeShade="95" w:sz="4" w:space="0"/>
        <w:insideH w:val="single" w:color="52015E" w:themeColor="accent4" w:themeShade="95" w:sz="4" w:space="0"/>
        <w:insideV w:val="single" w:color="52015E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</w:style>
  <w:style w:type="table" w:styleId="841" w:customStyle="1">
    <w:name w:val="Bordered &amp; Lined - Accent 5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55A00" w:themeColor="accent5" w:themeShade="95" w:sz="4" w:space="0"/>
        <w:left w:val="single" w:color="755A00" w:themeColor="accent5" w:themeShade="95" w:sz="4" w:space="0"/>
        <w:bottom w:val="single" w:color="755A00" w:themeColor="accent5" w:themeShade="95" w:sz="4" w:space="0"/>
        <w:right w:val="single" w:color="755A00" w:themeColor="accent5" w:themeShade="95" w:sz="4" w:space="0"/>
        <w:insideH w:val="single" w:color="755A00" w:themeColor="accent5" w:themeShade="95" w:sz="4" w:space="0"/>
        <w:insideV w:val="single" w:color="755A00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</w:style>
  <w:style w:type="table" w:styleId="842" w:customStyle="1">
    <w:name w:val="Bordered &amp; Lined - Accent 6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51311" w:themeColor="accent6" w:themeShade="95" w:sz="4" w:space="0"/>
        <w:left w:val="single" w:color="751311" w:themeColor="accent6" w:themeShade="95" w:sz="4" w:space="0"/>
        <w:bottom w:val="single" w:color="751311" w:themeColor="accent6" w:themeShade="95" w:sz="4" w:space="0"/>
        <w:right w:val="single" w:color="751311" w:themeColor="accent6" w:themeShade="95" w:sz="4" w:space="0"/>
        <w:insideH w:val="single" w:color="751311" w:themeColor="accent6" w:themeShade="95" w:sz="4" w:space="0"/>
        <w:insideV w:val="single" w:color="751311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</w:style>
  <w:style w:type="table" w:styleId="843" w:customStyle="1">
    <w:name w:val="Bordered"/>
    <w:basedOn w:val="703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4" w:customStyle="1">
    <w:name w:val="Bordered - Accent 1"/>
    <w:basedOn w:val="703"/>
    <w:uiPriority w:val="99"/>
    <w:tblPr>
      <w:tblStyleRowBandSize w:val="1"/>
      <w:tblStyleColBandSize w:val="1"/>
      <w:tblInd w:w="0" w:type="dxa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7FC76" w:themeColor="accent1" w:themeTint="67" w:sz="4" w:space="0"/>
          <w:left w:val="single" w:color="87FC76" w:themeColor="accent1" w:themeTint="67" w:sz="4" w:space="0"/>
          <w:bottom w:val="single" w:color="87FC76" w:themeColor="accent1" w:themeTint="67" w:sz="4" w:space="0"/>
          <w:right w:val="single" w:color="87FC76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8A303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8A303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8A303" w:themeColor="accent1" w:sz="12" w:space="0"/>
        </w:tcBorders>
      </w:tcPr>
    </w:tblStylePr>
  </w:style>
  <w:style w:type="table" w:styleId="845" w:customStyle="1">
    <w:name w:val="Bordered - Accent 2"/>
    <w:basedOn w:val="703"/>
    <w:uiPriority w:val="99"/>
    <w:tblPr>
      <w:tblStyleRowBandSize w:val="1"/>
      <w:tblStyleColBandSize w:val="1"/>
      <w:tblInd w:w="0" w:type="dxa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76CBFC" w:themeColor="accent2" w:themeTint="67" w:sz="4" w:space="0"/>
          <w:left w:val="single" w:color="76CBFC" w:themeColor="accent2" w:themeTint="67" w:sz="4" w:space="0"/>
          <w:bottom w:val="single" w:color="76CBFC" w:themeColor="accent2" w:themeTint="67" w:sz="4" w:space="0"/>
          <w:right w:val="single" w:color="76CBFC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36B3FB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36B3FB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36B3FB" w:themeColor="accent2" w:themeTint="97" w:sz="12" w:space="0"/>
        </w:tcBorders>
      </w:tcPr>
    </w:tblStylePr>
  </w:style>
  <w:style w:type="table" w:styleId="846" w:customStyle="1">
    <w:name w:val="Bordered - Accent 3"/>
    <w:basedOn w:val="703"/>
    <w:uiPriority w:val="99"/>
    <w:tblPr>
      <w:tblStyleRowBandSize w:val="1"/>
      <w:tblStyleColBandSize w:val="1"/>
      <w:tblInd w:w="0" w:type="dxa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CA776" w:themeColor="accent3" w:themeTint="67" w:sz="4" w:space="0"/>
          <w:left w:val="single" w:color="FCA776" w:themeColor="accent3" w:themeTint="67" w:sz="4" w:space="0"/>
          <w:bottom w:val="single" w:color="FCA776" w:themeColor="accent3" w:themeTint="67" w:sz="4" w:space="0"/>
          <w:right w:val="single" w:color="FCA776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B7E35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B7E35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B7E35" w:themeColor="accent3" w:themeTint="98" w:sz="12" w:space="0"/>
        </w:tcBorders>
      </w:tcPr>
    </w:tblStylePr>
  </w:style>
  <w:style w:type="table" w:styleId="847" w:customStyle="1">
    <w:name w:val="Bordered - Accent 4"/>
    <w:basedOn w:val="703"/>
    <w:uiPriority w:val="99"/>
    <w:tblPr>
      <w:tblStyleRowBandSize w:val="1"/>
      <w:tblStyleColBandSize w:val="1"/>
      <w:tblInd w:w="0" w:type="dxa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A76FC" w:themeColor="accent4" w:themeTint="67" w:sz="4" w:space="0"/>
          <w:left w:val="single" w:color="EA76FC" w:themeColor="accent4" w:themeTint="67" w:sz="4" w:space="0"/>
          <w:bottom w:val="single" w:color="EA76FC" w:themeColor="accent4" w:themeTint="67" w:sz="4" w:space="0"/>
          <w:right w:val="single" w:color="EA76FC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E032FB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032FB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032FB" w:themeColor="accent4" w:themeTint="9A" w:sz="12" w:space="0"/>
        </w:tcBorders>
      </w:tcPr>
    </w:tblStylePr>
  </w:style>
  <w:style w:type="table" w:styleId="848" w:customStyle="1">
    <w:name w:val="Bordered - Accent 5"/>
    <w:basedOn w:val="703"/>
    <w:uiPriority w:val="99"/>
    <w:tblPr>
      <w:tblStyleRowBandSize w:val="1"/>
      <w:tblStyleColBandSize w:val="1"/>
      <w:tblInd w:w="0" w:type="dxa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282" w:themeColor="accent5" w:themeTint="67" w:sz="4" w:space="0"/>
          <w:left w:val="single" w:color="FFE282" w:themeColor="accent5" w:themeTint="67" w:sz="4" w:space="0"/>
          <w:bottom w:val="single" w:color="FFE282" w:themeColor="accent5" w:themeTint="67" w:sz="4" w:space="0"/>
          <w:right w:val="single" w:color="FFE282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444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444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444" w:themeColor="accent5" w:themeTint="9A" w:sz="12" w:space="0"/>
        </w:tcBorders>
      </w:tcPr>
    </w:tblStylePr>
  </w:style>
  <w:style w:type="table" w:styleId="849" w:customStyle="1">
    <w:name w:val="Bordered - Accent 6"/>
    <w:basedOn w:val="703"/>
    <w:uiPriority w:val="99"/>
    <w:tblPr>
      <w:tblStyleRowBandSize w:val="1"/>
      <w:tblStyleColBandSize w:val="1"/>
      <w:tblInd w:w="0" w:type="dxa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09D9C" w:themeColor="accent6" w:themeTint="67" w:sz="4" w:space="0"/>
          <w:left w:val="single" w:color="F09D9C" w:themeColor="accent6" w:themeTint="67" w:sz="4" w:space="0"/>
          <w:bottom w:val="single" w:color="F09D9C" w:themeColor="accent6" w:themeTint="67" w:sz="4" w:space="0"/>
          <w:right w:val="single" w:color="F09D9C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E9706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9706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9706E" w:themeColor="accent6" w:themeTint="98" w:sz="12" w:space="0"/>
        </w:tcBorders>
      </w:tcPr>
    </w:tblStylePr>
  </w:style>
  <w:style w:type="paragraph" w:styleId="850">
    <w:name w:val="footnote text"/>
    <w:basedOn w:val="692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 w:customStyle="1">
    <w:name w:val="Текст сноски Знак"/>
    <w:link w:val="850"/>
    <w:uiPriority w:val="99"/>
    <w:rPr>
      <w:sz w:val="18"/>
    </w:rPr>
  </w:style>
  <w:style w:type="character" w:styleId="852">
    <w:name w:val="footnote reference"/>
    <w:basedOn w:val="702"/>
    <w:uiPriority w:val="99"/>
    <w:unhideWhenUsed/>
    <w:rPr>
      <w:vertAlign w:val="superscript"/>
    </w:rPr>
  </w:style>
  <w:style w:type="paragraph" w:styleId="853">
    <w:name w:val="endnote text"/>
    <w:basedOn w:val="692"/>
    <w:link w:val="854"/>
    <w:uiPriority w:val="99"/>
    <w:semiHidden/>
    <w:unhideWhenUsed/>
    <w:pPr>
      <w:spacing w:line="240" w:lineRule="auto"/>
    </w:pPr>
    <w:rPr>
      <w:sz w:val="20"/>
    </w:rPr>
  </w:style>
  <w:style w:type="character" w:styleId="854" w:customStyle="1">
    <w:name w:val="Текст концевой сноски Знак"/>
    <w:link w:val="853"/>
    <w:uiPriority w:val="99"/>
    <w:rPr>
      <w:sz w:val="20"/>
    </w:rPr>
  </w:style>
  <w:style w:type="character" w:styleId="855">
    <w:name w:val="endnote reference"/>
    <w:basedOn w:val="702"/>
    <w:uiPriority w:val="99"/>
    <w:semiHidden/>
    <w:unhideWhenUsed/>
    <w:rPr>
      <w:vertAlign w:val="superscript"/>
    </w:rPr>
  </w:style>
  <w:style w:type="paragraph" w:styleId="856">
    <w:name w:val="toc 1"/>
    <w:basedOn w:val="692"/>
    <w:next w:val="692"/>
    <w:uiPriority w:val="39"/>
    <w:unhideWhenUsed/>
    <w:pPr>
      <w:spacing w:after="57"/>
    </w:pPr>
  </w:style>
  <w:style w:type="paragraph" w:styleId="857">
    <w:name w:val="toc 2"/>
    <w:basedOn w:val="692"/>
    <w:next w:val="692"/>
    <w:uiPriority w:val="39"/>
    <w:unhideWhenUsed/>
    <w:pPr>
      <w:ind w:left="283"/>
      <w:spacing w:after="57"/>
    </w:pPr>
  </w:style>
  <w:style w:type="paragraph" w:styleId="858">
    <w:name w:val="toc 3"/>
    <w:basedOn w:val="692"/>
    <w:next w:val="692"/>
    <w:uiPriority w:val="39"/>
    <w:unhideWhenUsed/>
    <w:pPr>
      <w:ind w:left="567"/>
      <w:spacing w:after="57"/>
    </w:pPr>
  </w:style>
  <w:style w:type="paragraph" w:styleId="859">
    <w:name w:val="toc 4"/>
    <w:basedOn w:val="692"/>
    <w:next w:val="692"/>
    <w:uiPriority w:val="39"/>
    <w:unhideWhenUsed/>
    <w:pPr>
      <w:ind w:left="850"/>
      <w:spacing w:after="57"/>
    </w:pPr>
  </w:style>
  <w:style w:type="paragraph" w:styleId="860">
    <w:name w:val="toc 5"/>
    <w:basedOn w:val="692"/>
    <w:next w:val="692"/>
    <w:uiPriority w:val="39"/>
    <w:unhideWhenUsed/>
    <w:pPr>
      <w:ind w:left="1134"/>
      <w:spacing w:after="57"/>
    </w:pPr>
  </w:style>
  <w:style w:type="paragraph" w:styleId="861">
    <w:name w:val="toc 6"/>
    <w:basedOn w:val="692"/>
    <w:next w:val="692"/>
    <w:uiPriority w:val="39"/>
    <w:unhideWhenUsed/>
    <w:pPr>
      <w:ind w:left="1417"/>
      <w:spacing w:after="57"/>
    </w:pPr>
  </w:style>
  <w:style w:type="paragraph" w:styleId="862">
    <w:name w:val="toc 7"/>
    <w:basedOn w:val="692"/>
    <w:next w:val="692"/>
    <w:uiPriority w:val="39"/>
    <w:unhideWhenUsed/>
    <w:pPr>
      <w:ind w:left="1701"/>
      <w:spacing w:after="57"/>
    </w:pPr>
  </w:style>
  <w:style w:type="paragraph" w:styleId="863">
    <w:name w:val="toc 8"/>
    <w:basedOn w:val="692"/>
    <w:next w:val="692"/>
    <w:uiPriority w:val="39"/>
    <w:unhideWhenUsed/>
    <w:pPr>
      <w:ind w:left="1984"/>
      <w:spacing w:after="57"/>
    </w:pPr>
  </w:style>
  <w:style w:type="paragraph" w:styleId="864">
    <w:name w:val="toc 9"/>
    <w:basedOn w:val="692"/>
    <w:next w:val="692"/>
    <w:uiPriority w:val="39"/>
    <w:unhideWhenUsed/>
    <w:pPr>
      <w:ind w:left="2268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692"/>
    <w:next w:val="692"/>
    <w:uiPriority w:val="99"/>
    <w:unhideWhenUsed/>
  </w:style>
  <w:style w:type="character" w:styleId="867" w:customStyle="1">
    <w:name w:val="WW8Num2z0"/>
    <w:qFormat/>
    <w:rPr>
      <w:rFonts w:ascii="Times New Roman" w:hAnsi="Times New Roman" w:eastAsia="Calibri" w:cs="Times New Roman"/>
      <w:b/>
      <w:color w:val="000000"/>
    </w:rPr>
  </w:style>
  <w:style w:type="character" w:styleId="868" w:customStyle="1">
    <w:name w:val="WW8Num2z1"/>
    <w:qFormat/>
  </w:style>
  <w:style w:type="character" w:styleId="869" w:customStyle="1">
    <w:name w:val="WW8Num3z0"/>
    <w:qFormat/>
  </w:style>
  <w:style w:type="character" w:styleId="870" w:customStyle="1">
    <w:name w:val="WW8Num4z0"/>
    <w:qFormat/>
    <w:rPr>
      <w:b/>
    </w:rPr>
  </w:style>
  <w:style w:type="character" w:styleId="871" w:customStyle="1">
    <w:name w:val="WW8Num5z0"/>
    <w:qFormat/>
  </w:style>
  <w:style w:type="character" w:styleId="872" w:customStyle="1">
    <w:name w:val="WW8Num8z0"/>
    <w:qFormat/>
    <w:rPr>
      <w:b/>
    </w:rPr>
  </w:style>
  <w:style w:type="character" w:styleId="873" w:customStyle="1">
    <w:name w:val="WW8Num9z0"/>
    <w:qFormat/>
  </w:style>
  <w:style w:type="character" w:styleId="874" w:customStyle="1">
    <w:name w:val="WW8Num10z0"/>
    <w:qFormat/>
  </w:style>
  <w:style w:type="character" w:styleId="875" w:customStyle="1">
    <w:name w:val="WW8Num12z0"/>
    <w:qFormat/>
    <w:rPr>
      <w:rFonts w:ascii="Times New Roman" w:hAnsi="Times New Roman" w:eastAsia="Calibri" w:cs="Times New Roman"/>
      <w:b/>
      <w:color w:val="000000"/>
    </w:rPr>
  </w:style>
  <w:style w:type="character" w:styleId="876" w:customStyle="1">
    <w:name w:val="WW8Num12z1"/>
    <w:qFormat/>
  </w:style>
  <w:style w:type="character" w:styleId="877" w:customStyle="1">
    <w:name w:val="WW8Num13z0"/>
    <w:qFormat/>
  </w:style>
  <w:style w:type="character" w:styleId="878" w:customStyle="1">
    <w:name w:val="WW8Num15z0"/>
    <w:qFormat/>
  </w:style>
  <w:style w:type="character" w:styleId="879" w:customStyle="1">
    <w:name w:val="WW8Num16z0"/>
    <w:qFormat/>
  </w:style>
  <w:style w:type="character" w:styleId="880" w:customStyle="1">
    <w:name w:val="Заголовок 1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881" w:customStyle="1">
    <w:name w:val="Заголовок 2 Знак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882" w:customStyle="1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3" w:customStyle="1">
    <w:name w:val="Название Знак"/>
    <w:qFormat/>
    <w:rPr>
      <w:rFonts w:ascii="Times New Roman" w:hAnsi="Times New Roman" w:eastAsia="Times New Roman" w:cs="Times New Roman"/>
      <w:b/>
      <w:color w:val="000000"/>
      <w:sz w:val="24"/>
      <w:szCs w:val="24"/>
    </w:rPr>
  </w:style>
  <w:style w:type="character" w:styleId="884" w:customStyle="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5" w:customStyle="1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6" w:customStyle="1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7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88" w:customStyle="1">
    <w:name w:val="Символ нумерации"/>
    <w:qFormat/>
  </w:style>
  <w:style w:type="character" w:styleId="889" w:customStyle="1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890" w:customStyle="1">
    <w:name w:val="Текст выноски Знак1"/>
    <w:qFormat/>
    <w:rPr>
      <w:rFonts w:ascii="Segoe UI" w:hAnsi="Segoe UI" w:cs="Segoe UI"/>
      <w:sz w:val="18"/>
      <w:szCs w:val="18"/>
    </w:rPr>
  </w:style>
  <w:style w:type="character" w:styleId="891">
    <w:name w:val="Hyperlink"/>
    <w:rPr>
      <w:color w:val="0000ff"/>
      <w:u w:val="single"/>
    </w:rPr>
  </w:style>
  <w:style w:type="character" w:styleId="892" w:customStyle="1">
    <w:name w:val="Без интервала Знак"/>
    <w:qFormat/>
    <w:rPr>
      <w:rFonts w:ascii="Calibri" w:hAnsi="Calibri" w:eastAsia="Calibri" w:cs="Calibri"/>
      <w:sz w:val="22"/>
      <w:szCs w:val="22"/>
    </w:rPr>
  </w:style>
  <w:style w:type="character" w:styleId="893" w:customStyle="1">
    <w:name w:val="Заголовок 3 Знак"/>
    <w:qFormat/>
    <w:rPr>
      <w:rFonts w:ascii="Arial" w:hAnsi="Arial" w:cs="Calibri"/>
      <w:b/>
      <w:bCs/>
      <w:sz w:val="26"/>
      <w:szCs w:val="26"/>
    </w:rPr>
  </w:style>
  <w:style w:type="character" w:styleId="894" w:customStyle="1">
    <w:name w:val="Заголовок 4 Знак"/>
    <w:qFormat/>
    <w:rPr>
      <w:rFonts w:cs="Calibri"/>
      <w:b/>
      <w:bCs/>
      <w:sz w:val="28"/>
      <w:szCs w:val="28"/>
    </w:rPr>
  </w:style>
  <w:style w:type="character" w:styleId="895" w:customStyle="1">
    <w:name w:val="Заголовок 5 Знак"/>
    <w:qFormat/>
    <w:rPr>
      <w:rFonts w:cs="Calibri"/>
      <w:b/>
      <w:bCs/>
      <w:i/>
      <w:iCs/>
      <w:sz w:val="26"/>
      <w:szCs w:val="26"/>
    </w:rPr>
  </w:style>
  <w:style w:type="character" w:styleId="896" w:customStyle="1">
    <w:name w:val="Заголовок 6 Знак"/>
    <w:qFormat/>
    <w:rPr>
      <w:rFonts w:cs="Calibri"/>
      <w:b/>
      <w:bCs/>
    </w:rPr>
  </w:style>
  <w:style w:type="character" w:styleId="897" w:customStyle="1">
    <w:name w:val="Заголовок 7 Знак"/>
    <w:qFormat/>
    <w:rPr>
      <w:rFonts w:cs="Calibri"/>
      <w:sz w:val="24"/>
      <w:szCs w:val="24"/>
    </w:rPr>
  </w:style>
  <w:style w:type="character" w:styleId="898" w:customStyle="1">
    <w:name w:val="Заголовок 8 Знак"/>
    <w:qFormat/>
    <w:rPr>
      <w:rFonts w:cs="Calibri"/>
      <w:i/>
      <w:iCs/>
      <w:sz w:val="24"/>
      <w:szCs w:val="24"/>
    </w:rPr>
  </w:style>
  <w:style w:type="character" w:styleId="899" w:customStyle="1">
    <w:name w:val="Заголовок 9 Знак"/>
    <w:qFormat/>
    <w:rPr>
      <w:rFonts w:ascii="Arial" w:hAnsi="Arial" w:cs="Calibri"/>
    </w:rPr>
  </w:style>
  <w:style w:type="character" w:styleId="900">
    <w:name w:val="Strong"/>
    <w:qFormat/>
    <w:rPr>
      <w:b/>
    </w:rPr>
  </w:style>
  <w:style w:type="character" w:styleId="901" w:customStyle="1">
    <w:name w:val="Абзац списка Знак"/>
    <w:qFormat/>
    <w:rPr>
      <w:sz w:val="24"/>
      <w:szCs w:val="24"/>
      <w:lang w:eastAsia="zh-CN"/>
    </w:rPr>
  </w:style>
  <w:style w:type="paragraph" w:styleId="902" w:customStyle="1">
    <w:name w:val="Заголовок1"/>
    <w:basedOn w:val="692"/>
    <w:next w:val="903"/>
    <w:qFormat/>
    <w:pPr>
      <w:keepNext/>
      <w:spacing w:before="240" w:after="120"/>
    </w:pPr>
    <w:rPr>
      <w:rFonts w:ascii="Arial" w:hAnsi="Arial" w:eastAsia="Microsoft YaHei" w:cs="Mangal;Courier"/>
      <w:sz w:val="28"/>
      <w:szCs w:val="28"/>
    </w:rPr>
  </w:style>
  <w:style w:type="paragraph" w:styleId="903">
    <w:name w:val="Body Text"/>
    <w:basedOn w:val="692"/>
    <w:pPr>
      <w:spacing w:after="120"/>
    </w:pPr>
  </w:style>
  <w:style w:type="paragraph" w:styleId="904">
    <w:name w:val="List"/>
    <w:basedOn w:val="903"/>
    <w:rPr>
      <w:rFonts w:cs="Mangal;Courier"/>
    </w:rPr>
  </w:style>
  <w:style w:type="paragraph" w:styleId="905">
    <w:name w:val="Caption"/>
    <w:basedOn w:val="692"/>
    <w:qFormat/>
    <w:pPr>
      <w:spacing w:before="120" w:after="120"/>
      <w:suppressLineNumbers/>
    </w:pPr>
    <w:rPr>
      <w:rFonts w:ascii="PT Astra Serif" w:hAnsi="PT Astra Serif" w:cs="FreeSans"/>
      <w:i/>
      <w:iCs/>
    </w:rPr>
  </w:style>
  <w:style w:type="paragraph" w:styleId="906">
    <w:name w:val="index heading"/>
    <w:basedOn w:val="692"/>
    <w:qFormat/>
    <w:pPr>
      <w:suppressLineNumbers/>
    </w:pPr>
    <w:rPr>
      <w:rFonts w:ascii="PT Astra Serif" w:hAnsi="PT Astra Serif" w:cs="FreeSans"/>
    </w:rPr>
  </w:style>
  <w:style w:type="paragraph" w:styleId="907" w:customStyle="1">
    <w:name w:val="Caption1"/>
    <w:basedOn w:val="692"/>
    <w:qFormat/>
    <w:pPr>
      <w:spacing w:before="120" w:after="120"/>
      <w:suppressLineNumbers/>
    </w:pPr>
    <w:rPr>
      <w:rFonts w:ascii="PT Astra Serif" w:hAnsi="PT Astra Serif" w:cs="FreeSans"/>
      <w:i/>
      <w:iCs/>
    </w:rPr>
  </w:style>
  <w:style w:type="paragraph" w:styleId="908" w:customStyle="1">
    <w:name w:val="Caption11"/>
    <w:basedOn w:val="692"/>
    <w:next w:val="912"/>
    <w:qFormat/>
    <w:pPr>
      <w:jc w:val="center"/>
      <w:spacing w:line="360" w:lineRule="auto"/>
    </w:pPr>
    <w:rPr>
      <w:b/>
      <w:bCs/>
      <w:color w:val="000000"/>
      <w:sz w:val="36"/>
      <w:szCs w:val="36"/>
    </w:rPr>
  </w:style>
  <w:style w:type="paragraph" w:styleId="909" w:customStyle="1">
    <w:name w:val="Название1"/>
    <w:basedOn w:val="692"/>
    <w:qFormat/>
    <w:pPr>
      <w:spacing w:before="120" w:after="120"/>
      <w:suppressLineNumbers/>
    </w:pPr>
    <w:rPr>
      <w:rFonts w:cs="Mangal;Courier"/>
      <w:i/>
      <w:iCs/>
    </w:rPr>
  </w:style>
  <w:style w:type="paragraph" w:styleId="910" w:customStyle="1">
    <w:name w:val="Указатель1"/>
    <w:basedOn w:val="692"/>
    <w:qFormat/>
    <w:pPr>
      <w:suppressLineNumbers/>
    </w:pPr>
    <w:rPr>
      <w:rFonts w:cs="Mangal;Courier"/>
    </w:rPr>
  </w:style>
  <w:style w:type="paragraph" w:styleId="911" w:customStyle="1">
    <w:name w:val="Таблицы (моноширинный)"/>
    <w:basedOn w:val="692"/>
    <w:qFormat/>
    <w:pPr>
      <w:ind w:firstLine="720"/>
      <w:jc w:val="both"/>
      <w:widowControl w:val="off"/>
    </w:pPr>
    <w:rPr>
      <w:rFonts w:ascii="Courier New" w:hAnsi="Courier New" w:cs="Courier New"/>
      <w:sz w:val="20"/>
      <w:szCs w:val="20"/>
    </w:rPr>
  </w:style>
  <w:style w:type="paragraph" w:styleId="912">
    <w:name w:val="Subtitle"/>
    <w:basedOn w:val="902"/>
    <w:next w:val="903"/>
    <w:link w:val="716"/>
    <w:qFormat/>
    <w:pPr>
      <w:jc w:val="center"/>
    </w:pPr>
    <w:rPr>
      <w:i/>
      <w:iCs/>
    </w:rPr>
  </w:style>
  <w:style w:type="paragraph" w:styleId="913">
    <w:name w:val="Normal (Web)"/>
    <w:basedOn w:val="692"/>
    <w:qFormat/>
    <w:pPr>
      <w:spacing w:before="280" w:after="280" w:line="240" w:lineRule="auto"/>
    </w:pPr>
  </w:style>
  <w:style w:type="paragraph" w:styleId="914">
    <w:name w:val="Body Text 2"/>
    <w:basedOn w:val="692"/>
    <w:qFormat/>
    <w:pPr>
      <w:jc w:val="center"/>
    </w:pPr>
  </w:style>
  <w:style w:type="paragraph" w:styleId="915" w:customStyle="1">
    <w:name w:val="Колонтитул"/>
    <w:basedOn w:val="692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16">
    <w:name w:val="Header"/>
    <w:basedOn w:val="692"/>
    <w:link w:val="721"/>
    <w:pPr>
      <w:tabs>
        <w:tab w:val="center" w:pos="4677" w:leader="none"/>
        <w:tab w:val="right" w:pos="9355" w:leader="none"/>
      </w:tabs>
      <w:suppressLineNumbers/>
    </w:pPr>
  </w:style>
  <w:style w:type="paragraph" w:styleId="917">
    <w:name w:val="Footer"/>
    <w:basedOn w:val="692"/>
    <w:link w:val="723"/>
    <w:pPr>
      <w:tabs>
        <w:tab w:val="center" w:pos="4677" w:leader="none"/>
        <w:tab w:val="right" w:pos="9355" w:leader="none"/>
      </w:tabs>
      <w:suppressLineNumbers/>
    </w:pPr>
  </w:style>
  <w:style w:type="paragraph" w:styleId="918">
    <w:name w:val="Balloon Text"/>
    <w:basedOn w:val="692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919">
    <w:name w:val="List Paragraph"/>
    <w:basedOn w:val="692"/>
    <w:qFormat/>
    <w:pPr>
      <w:ind w:left="708"/>
      <w:spacing w:line="240" w:lineRule="auto"/>
    </w:pPr>
  </w:style>
  <w:style w:type="paragraph" w:styleId="920">
    <w:name w:val="No Spacing"/>
    <w:qFormat/>
    <w:rPr>
      <w:rFonts w:ascii="Calibri" w:hAnsi="Calibri" w:eastAsia="Calibri" w:cs="Calibri"/>
      <w:sz w:val="22"/>
      <w:szCs w:val="22"/>
      <w:lang w:eastAsia="zh-CN"/>
    </w:rPr>
  </w:style>
  <w:style w:type="paragraph" w:styleId="921" w:customStyle="1">
    <w:name w:val="Содержимое таблицы"/>
    <w:basedOn w:val="692"/>
    <w:qFormat/>
    <w:pPr>
      <w:spacing w:line="240" w:lineRule="auto"/>
      <w:suppressLineNumbers/>
    </w:pPr>
    <w:rPr>
      <w:rFonts w:cs="Calibri"/>
    </w:rPr>
  </w:style>
  <w:style w:type="paragraph" w:styleId="922" w:customStyle="1">
    <w:name w:val="Default"/>
    <w:qFormat/>
    <w:rPr>
      <w:rFonts w:ascii="Times New Roman" w:hAnsi="Times New Roman" w:eastAsia="Calibri" w:cs="Times New Roman"/>
      <w:color w:val="000000"/>
      <w:sz w:val="24"/>
      <w:szCs w:val="24"/>
      <w:lang w:eastAsia="zh-CN"/>
    </w:rPr>
  </w:style>
  <w:style w:type="paragraph" w:styleId="923" w:customStyle="1">
    <w:name w:val="Текст в заданном формате"/>
    <w:basedOn w:val="692"/>
    <w:qFormat/>
    <w:rPr>
      <w:rFonts w:ascii="Liberation Mono;Courier New" w:hAnsi="Liberation Mono;Courier New" w:eastAsia="Liberation Mono;Courier New" w:cs="Liberation Mono;Courier New"/>
      <w:sz w:val="20"/>
      <w:szCs w:val="20"/>
    </w:rPr>
  </w:style>
  <w:style w:type="paragraph" w:styleId="924" w:customStyle="1">
    <w:name w:val="Заголовок таблицы"/>
    <w:basedOn w:val="921"/>
    <w:qFormat/>
    <w:pPr>
      <w:jc w:val="center"/>
    </w:pPr>
    <w:rPr>
      <w:b/>
      <w:bCs/>
    </w:rPr>
  </w:style>
  <w:style w:type="numbering" w:styleId="925" w:customStyle="1">
    <w:name w:val="WW8Num1"/>
    <w:qFormat/>
  </w:style>
  <w:style w:type="numbering" w:styleId="926" w:customStyle="1">
    <w:name w:val="WW8Num2"/>
    <w:qFormat/>
  </w:style>
  <w:style w:type="numbering" w:styleId="927" w:customStyle="1">
    <w:name w:val="WW8Num3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consultantplus://offline/ref=BEDDEDB8E80613988CD2DCD90BCF289085C3F5E9EA60F86EF622A6CBEF34AB6E27B56862AA2EB4C811F13B3175D857E9CDCA3CDB56AA1274q5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AltSU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Деренчук</dc:creator>
  <dc:language>ru-RU</dc:language>
  <cp:lastModifiedBy>alferova</cp:lastModifiedBy>
  <cp:revision>25</cp:revision>
  <dcterms:created xsi:type="dcterms:W3CDTF">2026-06-23T08:51:00Z</dcterms:created>
  <dcterms:modified xsi:type="dcterms:W3CDTF">2026-08-04T01:26:30Z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