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243F" w14:textId="77777777" w:rsidR="00D04440" w:rsidRDefault="001F2CBB" w:rsidP="001F2CBB">
      <w:pPr>
        <w:spacing w:after="0"/>
        <w:rPr>
          <w:rFonts w:ascii="Times New Roman" w:hAnsi="Times New Roman" w:cs="Times New Roman"/>
          <w:sz w:val="24"/>
          <w:szCs w:val="24"/>
        </w:rPr>
      </w:pPr>
      <w:bookmarkStart w:id="0" w:name="_Hlk193791892"/>
      <w:bookmarkStart w:id="1" w:name="_Hlk193791802"/>
      <w:r w:rsidRPr="00B4254C">
        <w:rPr>
          <w:rFonts w:ascii="Times New Roman" w:hAnsi="Times New Roman" w:cs="Times New Roman"/>
          <w:sz w:val="24"/>
          <w:szCs w:val="24"/>
        </w:rPr>
        <w:t xml:space="preserve">                                                                                 </w:t>
      </w:r>
    </w:p>
    <w:p w14:paraId="7DC9EB42" w14:textId="31496B3A" w:rsidR="00B75980" w:rsidRPr="00B75980" w:rsidRDefault="00D04440" w:rsidP="00B75980">
      <w:pPr>
        <w:autoSpaceDE w:val="0"/>
        <w:autoSpaceDN w:val="0"/>
        <w:spacing w:before="90" w:after="240"/>
        <w:ind w:right="-35"/>
        <w:jc w:val="center"/>
        <w:rPr>
          <w:rFonts w:ascii="Times New Roman" w:hAnsi="Times New Roman" w:cs="Times New Roman"/>
          <w:b/>
          <w:sz w:val="24"/>
          <w:szCs w:val="24"/>
        </w:rPr>
      </w:pPr>
      <w:r w:rsidRPr="008B7FCA">
        <w:rPr>
          <w:rFonts w:ascii="Times New Roman" w:hAnsi="Times New Roman" w:cs="Times New Roman"/>
          <w:b/>
          <w:sz w:val="24"/>
          <w:szCs w:val="24"/>
        </w:rPr>
        <w:t>Спецификация</w:t>
      </w:r>
    </w:p>
    <w:tbl>
      <w:tblPr>
        <w:tblStyle w:val="a3"/>
        <w:tblW w:w="0" w:type="auto"/>
        <w:tblLook w:val="04A0" w:firstRow="1" w:lastRow="0" w:firstColumn="1" w:lastColumn="0" w:noHBand="0" w:noVBand="1"/>
      </w:tblPr>
      <w:tblGrid>
        <w:gridCol w:w="582"/>
        <w:gridCol w:w="4130"/>
        <w:gridCol w:w="1660"/>
        <w:gridCol w:w="1865"/>
        <w:gridCol w:w="1958"/>
      </w:tblGrid>
      <w:tr w:rsidR="001B47E7" w:rsidRPr="005C7709" w14:paraId="44CA3BC6" w14:textId="77777777" w:rsidTr="001B47E7">
        <w:tc>
          <w:tcPr>
            <w:tcW w:w="582" w:type="dxa"/>
            <w:vAlign w:val="center"/>
          </w:tcPr>
          <w:p w14:paraId="46533D1C" w14:textId="77777777" w:rsidR="001B47E7" w:rsidRPr="00B75980" w:rsidRDefault="001B47E7" w:rsidP="00BE7DE0">
            <w:pPr>
              <w:jc w:val="center"/>
              <w:rPr>
                <w:rFonts w:ascii="Times New Roman" w:eastAsia="Times New Roman" w:hAnsi="Times New Roman" w:cs="Times New Roman"/>
                <w:b/>
                <w:color w:val="222222"/>
                <w:sz w:val="24"/>
                <w:szCs w:val="24"/>
                <w:lang w:eastAsia="ru-RU"/>
              </w:rPr>
            </w:pPr>
            <w:r w:rsidRPr="00B75980">
              <w:rPr>
                <w:rFonts w:ascii="Times New Roman" w:eastAsia="Times New Roman" w:hAnsi="Times New Roman" w:cs="Times New Roman"/>
                <w:b/>
                <w:color w:val="222222"/>
                <w:sz w:val="24"/>
                <w:szCs w:val="24"/>
                <w:lang w:eastAsia="ru-RU"/>
              </w:rPr>
              <w:t>№ п/п</w:t>
            </w:r>
          </w:p>
        </w:tc>
        <w:tc>
          <w:tcPr>
            <w:tcW w:w="4130" w:type="dxa"/>
            <w:vAlign w:val="center"/>
          </w:tcPr>
          <w:p w14:paraId="025C3803" w14:textId="77777777" w:rsidR="001B47E7" w:rsidRPr="001B47E7" w:rsidRDefault="001B47E7" w:rsidP="00BE7DE0">
            <w:pPr>
              <w:jc w:val="center"/>
              <w:rPr>
                <w:rFonts w:ascii="Times New Roman" w:eastAsia="Times New Roman" w:hAnsi="Times New Roman" w:cs="Times New Roman"/>
                <w:b/>
                <w:color w:val="222222"/>
                <w:sz w:val="24"/>
                <w:szCs w:val="24"/>
                <w:lang w:eastAsia="ru-RU"/>
              </w:rPr>
            </w:pPr>
            <w:r w:rsidRPr="001B47E7">
              <w:rPr>
                <w:rFonts w:ascii="Times New Roman" w:eastAsia="Times New Roman" w:hAnsi="Times New Roman" w:cs="Times New Roman"/>
                <w:b/>
                <w:color w:val="222222"/>
                <w:sz w:val="24"/>
                <w:szCs w:val="24"/>
                <w:lang w:eastAsia="ru-RU"/>
              </w:rPr>
              <w:t>Технические характеристики</w:t>
            </w:r>
          </w:p>
        </w:tc>
        <w:tc>
          <w:tcPr>
            <w:tcW w:w="1660" w:type="dxa"/>
            <w:vAlign w:val="center"/>
          </w:tcPr>
          <w:p w14:paraId="7E6EC6D2" w14:textId="48A433AE" w:rsidR="001B47E7" w:rsidRPr="00B75980" w:rsidRDefault="001B47E7" w:rsidP="001B47E7">
            <w:pPr>
              <w:jc w:val="center"/>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Количество, шт.</w:t>
            </w:r>
          </w:p>
        </w:tc>
        <w:tc>
          <w:tcPr>
            <w:tcW w:w="1865" w:type="dxa"/>
          </w:tcPr>
          <w:p w14:paraId="26DD8097" w14:textId="562256F5" w:rsidR="001B47E7" w:rsidRPr="00B75980" w:rsidRDefault="001B47E7" w:rsidP="00BE7DE0">
            <w:pPr>
              <w:jc w:val="center"/>
              <w:rPr>
                <w:rFonts w:ascii="Times New Roman" w:eastAsia="Times New Roman" w:hAnsi="Times New Roman" w:cs="Times New Roman"/>
                <w:b/>
                <w:color w:val="222222"/>
                <w:sz w:val="24"/>
                <w:szCs w:val="24"/>
                <w:lang w:eastAsia="ru-RU"/>
              </w:rPr>
            </w:pPr>
            <w:r w:rsidRPr="00B75980">
              <w:rPr>
                <w:rFonts w:ascii="Times New Roman" w:eastAsia="Times New Roman" w:hAnsi="Times New Roman" w:cs="Times New Roman"/>
                <w:b/>
                <w:color w:val="222222"/>
                <w:sz w:val="24"/>
                <w:szCs w:val="24"/>
                <w:lang w:eastAsia="ru-RU"/>
              </w:rPr>
              <w:t>Цена за шт. в руб. с учетом НДС</w:t>
            </w:r>
          </w:p>
        </w:tc>
        <w:tc>
          <w:tcPr>
            <w:tcW w:w="1958" w:type="dxa"/>
            <w:vAlign w:val="center"/>
          </w:tcPr>
          <w:p w14:paraId="1A9AEEDC" w14:textId="77777777" w:rsidR="001B47E7" w:rsidRPr="00B75980" w:rsidRDefault="001B47E7" w:rsidP="00BE7DE0">
            <w:pPr>
              <w:jc w:val="center"/>
              <w:rPr>
                <w:rFonts w:ascii="Times New Roman" w:eastAsia="Times New Roman" w:hAnsi="Times New Roman" w:cs="Times New Roman"/>
                <w:b/>
                <w:color w:val="222222"/>
                <w:sz w:val="24"/>
                <w:szCs w:val="24"/>
                <w:lang w:eastAsia="ru-RU"/>
              </w:rPr>
            </w:pPr>
            <w:r w:rsidRPr="00B75980">
              <w:rPr>
                <w:rFonts w:ascii="Times New Roman" w:eastAsia="Times New Roman" w:hAnsi="Times New Roman" w:cs="Times New Roman"/>
                <w:b/>
                <w:color w:val="222222"/>
                <w:sz w:val="24"/>
                <w:szCs w:val="24"/>
                <w:lang w:eastAsia="ru-RU"/>
              </w:rPr>
              <w:t>Сумма в руб. с учетом НДС</w:t>
            </w:r>
          </w:p>
        </w:tc>
      </w:tr>
      <w:tr w:rsidR="00B66C1F" w:rsidRPr="005C7709" w14:paraId="69BF3B89" w14:textId="77777777" w:rsidTr="00F12BB5">
        <w:tc>
          <w:tcPr>
            <w:tcW w:w="10195" w:type="dxa"/>
            <w:gridSpan w:val="5"/>
            <w:vAlign w:val="center"/>
          </w:tcPr>
          <w:p w14:paraId="59D20965" w14:textId="046CB553" w:rsidR="00B66C1F" w:rsidRPr="00B75980" w:rsidRDefault="00B66C1F" w:rsidP="00BE7DE0">
            <w:pPr>
              <w:jc w:val="center"/>
              <w:rPr>
                <w:rFonts w:ascii="Times New Roman" w:eastAsia="Times New Roman" w:hAnsi="Times New Roman" w:cs="Times New Roman"/>
                <w:b/>
                <w:color w:val="222222"/>
                <w:sz w:val="24"/>
                <w:szCs w:val="24"/>
                <w:lang w:eastAsia="ru-RU"/>
              </w:rPr>
            </w:pPr>
            <w:r w:rsidRPr="001B47E7">
              <w:rPr>
                <w:rFonts w:ascii="Times New Roman" w:eastAsia="Times New Roman" w:hAnsi="Times New Roman" w:cs="Times New Roman"/>
                <w:b/>
                <w:color w:val="222222"/>
                <w:sz w:val="24"/>
                <w:szCs w:val="24"/>
                <w:lang w:eastAsia="ru-RU"/>
              </w:rPr>
              <w:t xml:space="preserve">Стол </w:t>
            </w:r>
            <w:proofErr w:type="spellStart"/>
            <w:r w:rsidRPr="001B47E7">
              <w:rPr>
                <w:rFonts w:ascii="Times New Roman" w:eastAsia="Times New Roman" w:hAnsi="Times New Roman" w:cs="Times New Roman"/>
                <w:b/>
                <w:color w:val="000000" w:themeColor="text1"/>
                <w:sz w:val="24"/>
                <w:szCs w:val="24"/>
                <w:lang w:eastAsia="ru-RU"/>
              </w:rPr>
              <w:t>сваро</w:t>
            </w:r>
            <w:proofErr w:type="spellEnd"/>
            <w:r w:rsidRPr="001B47E7">
              <w:rPr>
                <w:rFonts w:ascii="Times New Roman" w:eastAsia="Times New Roman" w:hAnsi="Times New Roman" w:cs="Times New Roman"/>
                <w:b/>
                <w:color w:val="000000" w:themeColor="text1"/>
                <w:sz w:val="24"/>
                <w:szCs w:val="24"/>
                <w:lang w:eastAsia="ru-RU"/>
              </w:rPr>
              <w:t>-сборочный</w:t>
            </w:r>
          </w:p>
        </w:tc>
      </w:tr>
      <w:tr w:rsidR="001B47E7" w:rsidRPr="005C7709" w14:paraId="7D3C4171" w14:textId="77777777" w:rsidTr="00B66C1F">
        <w:tc>
          <w:tcPr>
            <w:tcW w:w="582" w:type="dxa"/>
            <w:vAlign w:val="center"/>
          </w:tcPr>
          <w:p w14:paraId="1D63EA35" w14:textId="16B1C305"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4130" w:type="dxa"/>
            <w:shd w:val="clear" w:color="auto" w:fill="FFFFFF" w:themeFill="background1"/>
          </w:tcPr>
          <w:p w14:paraId="1D1CAD7A"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 xml:space="preserve">Габариты рабочей поверхности: </w:t>
            </w:r>
          </w:p>
          <w:p w14:paraId="7037D9F7"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1200х1000 мм</w:t>
            </w:r>
          </w:p>
        </w:tc>
        <w:tc>
          <w:tcPr>
            <w:tcW w:w="1660" w:type="dxa"/>
            <w:vMerge w:val="restart"/>
            <w:vAlign w:val="center"/>
          </w:tcPr>
          <w:p w14:paraId="1E135A53" w14:textId="06F91060" w:rsidR="001B47E7" w:rsidRPr="00B75980" w:rsidRDefault="00B66C1F" w:rsidP="00B66C1F">
            <w:pPr>
              <w:jc w:val="center"/>
              <w:rPr>
                <w:rFonts w:ascii="Times New Roman" w:eastAsia="Times New Roman" w:hAnsi="Times New Roman" w:cs="Times New Roman"/>
                <w:color w:val="222222"/>
                <w:sz w:val="24"/>
                <w:szCs w:val="24"/>
                <w:lang w:eastAsia="ru-RU"/>
              </w:rPr>
            </w:pPr>
            <w:r w:rsidRPr="001B47E7">
              <w:rPr>
                <w:rFonts w:ascii="Times New Roman" w:eastAsia="Times New Roman" w:hAnsi="Times New Roman" w:cs="Times New Roman"/>
                <w:color w:val="222222"/>
                <w:sz w:val="24"/>
                <w:szCs w:val="24"/>
                <w:lang w:eastAsia="ru-RU"/>
              </w:rPr>
              <w:t>1</w:t>
            </w:r>
          </w:p>
        </w:tc>
        <w:tc>
          <w:tcPr>
            <w:tcW w:w="1865" w:type="dxa"/>
            <w:vMerge w:val="restart"/>
            <w:vAlign w:val="center"/>
          </w:tcPr>
          <w:p w14:paraId="29B1BEDC" w14:textId="6D91F658" w:rsidR="001B47E7" w:rsidRPr="00B75980" w:rsidRDefault="001B47E7" w:rsidP="00BE7DE0">
            <w:pPr>
              <w:jc w:val="center"/>
              <w:rPr>
                <w:rFonts w:ascii="Times New Roman" w:eastAsia="Times New Roman" w:hAnsi="Times New Roman" w:cs="Times New Roman"/>
                <w:color w:val="222222"/>
                <w:sz w:val="24"/>
                <w:szCs w:val="24"/>
                <w:lang w:val="en-US" w:eastAsia="ru-RU"/>
              </w:rPr>
            </w:pPr>
          </w:p>
        </w:tc>
        <w:tc>
          <w:tcPr>
            <w:tcW w:w="1958" w:type="dxa"/>
            <w:vMerge w:val="restart"/>
            <w:vAlign w:val="center"/>
          </w:tcPr>
          <w:p w14:paraId="22F3C794" w14:textId="162D93F6" w:rsidR="001B47E7" w:rsidRPr="00B75980" w:rsidRDefault="001B47E7" w:rsidP="00BE7DE0">
            <w:pPr>
              <w:jc w:val="center"/>
              <w:rPr>
                <w:rFonts w:ascii="Times New Roman" w:eastAsia="Times New Roman" w:hAnsi="Times New Roman" w:cs="Times New Roman"/>
                <w:color w:val="222222"/>
                <w:sz w:val="24"/>
                <w:szCs w:val="24"/>
                <w:lang w:val="en-US" w:eastAsia="ru-RU"/>
              </w:rPr>
            </w:pPr>
          </w:p>
        </w:tc>
      </w:tr>
      <w:tr w:rsidR="001B47E7" w:rsidRPr="005C7709" w14:paraId="5B0AB921" w14:textId="77777777" w:rsidTr="001B47E7">
        <w:tc>
          <w:tcPr>
            <w:tcW w:w="582" w:type="dxa"/>
            <w:vAlign w:val="center"/>
          </w:tcPr>
          <w:p w14:paraId="0BA79399" w14:textId="3C935B3A"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4130" w:type="dxa"/>
            <w:shd w:val="clear" w:color="auto" w:fill="FFFFFF" w:themeFill="background1"/>
          </w:tcPr>
          <w:p w14:paraId="36D61EB0"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Толщина</w:t>
            </w:r>
            <w:r w:rsidRPr="00B75980">
              <w:rPr>
                <w:rFonts w:ascii="Times New Roman" w:eastAsia="Times New Roman" w:hAnsi="Times New Roman" w:cs="Times New Roman"/>
                <w:color w:val="222222"/>
                <w:sz w:val="24"/>
                <w:szCs w:val="24"/>
                <w:lang w:val="en-US" w:eastAsia="ru-RU"/>
              </w:rPr>
              <w:t xml:space="preserve">: </w:t>
            </w:r>
            <w:r w:rsidRPr="00B75980">
              <w:rPr>
                <w:rFonts w:ascii="Times New Roman" w:eastAsia="Times New Roman" w:hAnsi="Times New Roman" w:cs="Times New Roman"/>
                <w:color w:val="222222"/>
                <w:sz w:val="24"/>
                <w:szCs w:val="24"/>
                <w:lang w:eastAsia="ru-RU"/>
              </w:rPr>
              <w:t>25</w:t>
            </w:r>
            <w:r w:rsidRPr="00B75980">
              <w:rPr>
                <w:rFonts w:ascii="Times New Roman" w:eastAsia="Times New Roman" w:hAnsi="Times New Roman" w:cs="Times New Roman"/>
                <w:color w:val="222222"/>
                <w:sz w:val="24"/>
                <w:szCs w:val="24"/>
                <w:lang w:val="en-US" w:eastAsia="ru-RU"/>
              </w:rPr>
              <w:t xml:space="preserve">,0 </w:t>
            </w:r>
            <w:r w:rsidRPr="00B75980">
              <w:rPr>
                <w:rFonts w:ascii="Times New Roman" w:eastAsia="Times New Roman" w:hAnsi="Times New Roman" w:cs="Times New Roman"/>
                <w:color w:val="222222"/>
                <w:sz w:val="24"/>
                <w:szCs w:val="24"/>
                <w:lang w:eastAsia="ru-RU"/>
              </w:rPr>
              <w:t>мм</w:t>
            </w:r>
          </w:p>
        </w:tc>
        <w:tc>
          <w:tcPr>
            <w:tcW w:w="1660" w:type="dxa"/>
            <w:vMerge/>
          </w:tcPr>
          <w:p w14:paraId="3B2D9263"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865" w:type="dxa"/>
            <w:vMerge/>
            <w:vAlign w:val="center"/>
          </w:tcPr>
          <w:p w14:paraId="4F641210" w14:textId="677CD613"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958" w:type="dxa"/>
            <w:vMerge/>
            <w:vAlign w:val="center"/>
          </w:tcPr>
          <w:p w14:paraId="4D15DEA2"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r>
      <w:tr w:rsidR="001B47E7" w:rsidRPr="005C7709" w14:paraId="13512FCA" w14:textId="77777777" w:rsidTr="001B47E7">
        <w:tc>
          <w:tcPr>
            <w:tcW w:w="582" w:type="dxa"/>
            <w:vAlign w:val="center"/>
          </w:tcPr>
          <w:p w14:paraId="456CFD61" w14:textId="7C1F93B0"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4130" w:type="dxa"/>
            <w:shd w:val="clear" w:color="auto" w:fill="FFFFFF" w:themeFill="background1"/>
          </w:tcPr>
          <w:p w14:paraId="01415CA4"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Структура и свойства рабочего стола:</w:t>
            </w:r>
          </w:p>
          <w:p w14:paraId="438BB05B"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Азотированный, фрезерованный, из наборных пластин</w:t>
            </w:r>
          </w:p>
        </w:tc>
        <w:tc>
          <w:tcPr>
            <w:tcW w:w="1660" w:type="dxa"/>
            <w:vMerge/>
          </w:tcPr>
          <w:p w14:paraId="160010F7"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865" w:type="dxa"/>
            <w:vMerge/>
            <w:vAlign w:val="center"/>
          </w:tcPr>
          <w:p w14:paraId="60F9766A" w14:textId="5E55A0A0"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958" w:type="dxa"/>
            <w:vMerge/>
            <w:vAlign w:val="center"/>
          </w:tcPr>
          <w:p w14:paraId="5D40A044"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r>
      <w:tr w:rsidR="001B47E7" w:rsidRPr="005C7709" w14:paraId="5C2EB723" w14:textId="77777777" w:rsidTr="001B47E7">
        <w:tc>
          <w:tcPr>
            <w:tcW w:w="582" w:type="dxa"/>
            <w:vAlign w:val="center"/>
          </w:tcPr>
          <w:p w14:paraId="2CA31F1E" w14:textId="6271BC0C"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4130" w:type="dxa"/>
            <w:shd w:val="clear" w:color="auto" w:fill="FFFFFF" w:themeFill="background1"/>
          </w:tcPr>
          <w:p w14:paraId="08ED875C" w14:textId="77777777" w:rsidR="001B47E7" w:rsidRPr="00B75980" w:rsidRDefault="001B47E7" w:rsidP="00BE7DE0">
            <w:pPr>
              <w:rPr>
                <w:rFonts w:ascii="Times New Roman" w:eastAsia="Times New Roman" w:hAnsi="Times New Roman" w:cs="Times New Roman"/>
                <w:color w:val="222222"/>
                <w:sz w:val="24"/>
                <w:szCs w:val="24"/>
                <w:lang w:val="en-US" w:eastAsia="ru-RU"/>
              </w:rPr>
            </w:pPr>
            <w:r w:rsidRPr="00B75980">
              <w:rPr>
                <w:rFonts w:ascii="Times New Roman" w:eastAsia="Times New Roman" w:hAnsi="Times New Roman" w:cs="Times New Roman"/>
                <w:color w:val="222222"/>
                <w:sz w:val="24"/>
                <w:szCs w:val="24"/>
                <w:lang w:eastAsia="ru-RU"/>
              </w:rPr>
              <w:t>Опоры сварочного стола</w:t>
            </w:r>
            <w:r w:rsidRPr="00B75980">
              <w:rPr>
                <w:rFonts w:ascii="Times New Roman" w:eastAsia="Times New Roman" w:hAnsi="Times New Roman" w:cs="Times New Roman"/>
                <w:color w:val="222222"/>
                <w:sz w:val="24"/>
                <w:szCs w:val="24"/>
                <w:lang w:val="en-US" w:eastAsia="ru-RU"/>
              </w:rPr>
              <w:t xml:space="preserve">: </w:t>
            </w:r>
            <w:r w:rsidRPr="00B75980">
              <w:rPr>
                <w:rFonts w:ascii="Times New Roman" w:eastAsia="Times New Roman" w:hAnsi="Times New Roman" w:cs="Times New Roman"/>
                <w:color w:val="222222"/>
                <w:sz w:val="24"/>
                <w:szCs w:val="24"/>
                <w:lang w:eastAsia="ru-RU"/>
              </w:rPr>
              <w:t xml:space="preserve">6 </w:t>
            </w:r>
            <w:proofErr w:type="spellStart"/>
            <w:r w:rsidRPr="00B75980">
              <w:rPr>
                <w:rFonts w:ascii="Times New Roman" w:eastAsia="Times New Roman" w:hAnsi="Times New Roman" w:cs="Times New Roman"/>
                <w:color w:val="222222"/>
                <w:sz w:val="24"/>
                <w:szCs w:val="24"/>
                <w:lang w:eastAsia="ru-RU"/>
              </w:rPr>
              <w:t>шт</w:t>
            </w:r>
            <w:proofErr w:type="spellEnd"/>
          </w:p>
        </w:tc>
        <w:tc>
          <w:tcPr>
            <w:tcW w:w="1660" w:type="dxa"/>
            <w:vMerge/>
          </w:tcPr>
          <w:p w14:paraId="1FA3887F"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865" w:type="dxa"/>
            <w:vMerge/>
            <w:vAlign w:val="center"/>
          </w:tcPr>
          <w:p w14:paraId="1B6E9683" w14:textId="1B978A5B"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958" w:type="dxa"/>
            <w:vMerge/>
            <w:vAlign w:val="center"/>
          </w:tcPr>
          <w:p w14:paraId="7C90DB01"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r>
      <w:tr w:rsidR="001B47E7" w:rsidRPr="005C7709" w14:paraId="2BE20548" w14:textId="77777777" w:rsidTr="001B47E7">
        <w:tc>
          <w:tcPr>
            <w:tcW w:w="582" w:type="dxa"/>
            <w:vAlign w:val="center"/>
          </w:tcPr>
          <w:p w14:paraId="0734AAA3" w14:textId="404814F7"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5</w:t>
            </w:r>
          </w:p>
        </w:tc>
        <w:tc>
          <w:tcPr>
            <w:tcW w:w="4130" w:type="dxa"/>
            <w:shd w:val="clear" w:color="auto" w:fill="FFFFFF" w:themeFill="background1"/>
          </w:tcPr>
          <w:p w14:paraId="0A82D86E"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 xml:space="preserve">Скругления 3мм по верхнему краю стола </w:t>
            </w:r>
          </w:p>
        </w:tc>
        <w:tc>
          <w:tcPr>
            <w:tcW w:w="1660" w:type="dxa"/>
            <w:vMerge/>
          </w:tcPr>
          <w:p w14:paraId="38F87027"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865" w:type="dxa"/>
            <w:vMerge/>
            <w:vAlign w:val="center"/>
          </w:tcPr>
          <w:p w14:paraId="58B5A3B0" w14:textId="5FB835E5"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958" w:type="dxa"/>
            <w:vMerge/>
            <w:vAlign w:val="center"/>
          </w:tcPr>
          <w:p w14:paraId="4B558BD3"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r>
      <w:tr w:rsidR="001B47E7" w:rsidRPr="005C7709" w14:paraId="2E72B384" w14:textId="77777777" w:rsidTr="001B47E7">
        <w:tc>
          <w:tcPr>
            <w:tcW w:w="582" w:type="dxa"/>
            <w:vAlign w:val="center"/>
          </w:tcPr>
          <w:p w14:paraId="18F156A7" w14:textId="28592432"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6</w:t>
            </w:r>
          </w:p>
        </w:tc>
        <w:tc>
          <w:tcPr>
            <w:tcW w:w="4130" w:type="dxa"/>
            <w:shd w:val="clear" w:color="auto" w:fill="FFFFFF" w:themeFill="background1"/>
          </w:tcPr>
          <w:p w14:paraId="7D9600AF"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Координатная сетка (разметка)</w:t>
            </w:r>
          </w:p>
        </w:tc>
        <w:tc>
          <w:tcPr>
            <w:tcW w:w="1660" w:type="dxa"/>
            <w:vMerge/>
          </w:tcPr>
          <w:p w14:paraId="6BBC0724"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865" w:type="dxa"/>
            <w:vMerge/>
            <w:vAlign w:val="center"/>
          </w:tcPr>
          <w:p w14:paraId="7EA5265E" w14:textId="2DF359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958" w:type="dxa"/>
            <w:vMerge/>
            <w:vAlign w:val="center"/>
          </w:tcPr>
          <w:p w14:paraId="20BDDA76"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r>
      <w:tr w:rsidR="001B47E7" w:rsidRPr="005C7709" w14:paraId="56174FA3" w14:textId="77777777" w:rsidTr="001B47E7">
        <w:tc>
          <w:tcPr>
            <w:tcW w:w="582" w:type="dxa"/>
            <w:vAlign w:val="center"/>
          </w:tcPr>
          <w:p w14:paraId="015D8FD8" w14:textId="7ECE4B2E"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7</w:t>
            </w:r>
          </w:p>
        </w:tc>
        <w:tc>
          <w:tcPr>
            <w:tcW w:w="4130" w:type="dxa"/>
            <w:shd w:val="clear" w:color="auto" w:fill="FFFFFF" w:themeFill="background1"/>
          </w:tcPr>
          <w:p w14:paraId="7D64107B"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Системные отверстия 16 мм</w:t>
            </w:r>
          </w:p>
        </w:tc>
        <w:tc>
          <w:tcPr>
            <w:tcW w:w="1660" w:type="dxa"/>
            <w:vMerge/>
          </w:tcPr>
          <w:p w14:paraId="4829FE99"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865" w:type="dxa"/>
            <w:vMerge/>
            <w:vAlign w:val="center"/>
          </w:tcPr>
          <w:p w14:paraId="02D935AD" w14:textId="276AD2E9"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958" w:type="dxa"/>
            <w:vMerge/>
            <w:vAlign w:val="center"/>
          </w:tcPr>
          <w:p w14:paraId="61ECD795"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r>
      <w:tr w:rsidR="001B47E7" w:rsidRPr="005C7709" w14:paraId="59802B8D" w14:textId="77777777" w:rsidTr="001B47E7">
        <w:tc>
          <w:tcPr>
            <w:tcW w:w="582" w:type="dxa"/>
            <w:vAlign w:val="center"/>
          </w:tcPr>
          <w:p w14:paraId="57570F42" w14:textId="4B272CAE"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p>
        </w:tc>
        <w:tc>
          <w:tcPr>
            <w:tcW w:w="4130" w:type="dxa"/>
            <w:shd w:val="clear" w:color="auto" w:fill="FFFFFF" w:themeFill="background1"/>
          </w:tcPr>
          <w:p w14:paraId="41F13829" w14:textId="7777777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 xml:space="preserve">Нагрузка </w:t>
            </w:r>
            <w:bookmarkStart w:id="2" w:name="_GoBack"/>
            <w:bookmarkEnd w:id="2"/>
            <w:r w:rsidRPr="00B75980">
              <w:rPr>
                <w:rFonts w:ascii="Times New Roman" w:eastAsia="Times New Roman" w:hAnsi="Times New Roman" w:cs="Times New Roman"/>
                <w:color w:val="222222"/>
                <w:sz w:val="24"/>
                <w:szCs w:val="24"/>
                <w:lang w:eastAsia="ru-RU"/>
              </w:rPr>
              <w:t>на рабочую поверхность до 2000 кг</w:t>
            </w:r>
          </w:p>
        </w:tc>
        <w:tc>
          <w:tcPr>
            <w:tcW w:w="1660" w:type="dxa"/>
            <w:vMerge/>
          </w:tcPr>
          <w:p w14:paraId="73BFC769"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865" w:type="dxa"/>
            <w:vMerge/>
            <w:vAlign w:val="center"/>
          </w:tcPr>
          <w:p w14:paraId="5E0446EC" w14:textId="0E191824"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958" w:type="dxa"/>
            <w:vMerge/>
            <w:vAlign w:val="center"/>
          </w:tcPr>
          <w:p w14:paraId="6521B741"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r>
      <w:tr w:rsidR="001B47E7" w:rsidRPr="005C7709" w14:paraId="0326A7ED" w14:textId="77777777" w:rsidTr="001B47E7">
        <w:tc>
          <w:tcPr>
            <w:tcW w:w="582" w:type="dxa"/>
            <w:vAlign w:val="center"/>
          </w:tcPr>
          <w:p w14:paraId="2513B27E" w14:textId="38E9EA8D" w:rsidR="001B47E7" w:rsidRPr="00B75980" w:rsidRDefault="00483D8D" w:rsidP="00BE7DE0">
            <w:pPr>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9</w:t>
            </w:r>
          </w:p>
        </w:tc>
        <w:tc>
          <w:tcPr>
            <w:tcW w:w="4130" w:type="dxa"/>
            <w:shd w:val="clear" w:color="auto" w:fill="FFFFFF" w:themeFill="background1"/>
          </w:tcPr>
          <w:p w14:paraId="7FB33F52" w14:textId="047B09D7" w:rsidR="001B47E7" w:rsidRPr="00B75980" w:rsidRDefault="001B47E7" w:rsidP="00BE7DE0">
            <w:pPr>
              <w:rPr>
                <w:rFonts w:ascii="Times New Roman" w:eastAsia="Times New Roman" w:hAnsi="Times New Roman" w:cs="Times New Roman"/>
                <w:color w:val="222222"/>
                <w:sz w:val="24"/>
                <w:szCs w:val="24"/>
                <w:lang w:eastAsia="ru-RU"/>
              </w:rPr>
            </w:pPr>
            <w:r w:rsidRPr="00B75980">
              <w:rPr>
                <w:rFonts w:ascii="Times New Roman" w:eastAsia="Times New Roman" w:hAnsi="Times New Roman" w:cs="Times New Roman"/>
                <w:color w:val="222222"/>
                <w:sz w:val="24"/>
                <w:szCs w:val="24"/>
                <w:lang w:eastAsia="ru-RU"/>
              </w:rPr>
              <w:t>Вес</w:t>
            </w:r>
            <w:r w:rsidR="007B11A4">
              <w:rPr>
                <w:rFonts w:ascii="Times New Roman" w:eastAsia="Times New Roman" w:hAnsi="Times New Roman" w:cs="Times New Roman"/>
                <w:color w:val="222222"/>
                <w:sz w:val="24"/>
                <w:szCs w:val="24"/>
                <w:lang w:eastAsia="ru-RU"/>
              </w:rPr>
              <w:t>:</w:t>
            </w:r>
            <w:r w:rsidRPr="00B75980">
              <w:rPr>
                <w:rFonts w:ascii="Times New Roman" w:eastAsia="Times New Roman" w:hAnsi="Times New Roman" w:cs="Times New Roman"/>
                <w:color w:val="222222"/>
                <w:sz w:val="24"/>
                <w:szCs w:val="24"/>
                <w:lang w:eastAsia="ru-RU"/>
              </w:rPr>
              <w:t xml:space="preserve"> 300 кг</w:t>
            </w:r>
          </w:p>
        </w:tc>
        <w:tc>
          <w:tcPr>
            <w:tcW w:w="1660" w:type="dxa"/>
            <w:vMerge/>
          </w:tcPr>
          <w:p w14:paraId="26CBABB5"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865" w:type="dxa"/>
            <w:vMerge/>
            <w:vAlign w:val="center"/>
          </w:tcPr>
          <w:p w14:paraId="1A912BCC" w14:textId="1F51F90A" w:rsidR="001B47E7" w:rsidRPr="00D96A65" w:rsidRDefault="001B47E7" w:rsidP="00BE7DE0">
            <w:pPr>
              <w:jc w:val="center"/>
              <w:rPr>
                <w:rFonts w:ascii="Times New Roman" w:eastAsia="Times New Roman" w:hAnsi="Times New Roman" w:cs="Times New Roman"/>
                <w:color w:val="222222"/>
                <w:sz w:val="26"/>
                <w:szCs w:val="26"/>
                <w:lang w:eastAsia="ru-RU"/>
              </w:rPr>
            </w:pPr>
          </w:p>
        </w:tc>
        <w:tc>
          <w:tcPr>
            <w:tcW w:w="1958" w:type="dxa"/>
            <w:vMerge/>
            <w:vAlign w:val="center"/>
          </w:tcPr>
          <w:p w14:paraId="4E49E017" w14:textId="77777777" w:rsidR="001B47E7" w:rsidRPr="00D96A65" w:rsidRDefault="001B47E7" w:rsidP="00BE7DE0">
            <w:pPr>
              <w:jc w:val="center"/>
              <w:rPr>
                <w:rFonts w:ascii="Times New Roman" w:eastAsia="Times New Roman" w:hAnsi="Times New Roman" w:cs="Times New Roman"/>
                <w:color w:val="222222"/>
                <w:sz w:val="26"/>
                <w:szCs w:val="26"/>
                <w:lang w:eastAsia="ru-RU"/>
              </w:rPr>
            </w:pPr>
          </w:p>
        </w:tc>
      </w:tr>
      <w:tr w:rsidR="001B47E7" w:rsidRPr="005C7709" w14:paraId="41F3165E" w14:textId="77777777" w:rsidTr="00F06A75">
        <w:trPr>
          <w:trHeight w:val="509"/>
        </w:trPr>
        <w:tc>
          <w:tcPr>
            <w:tcW w:w="8237" w:type="dxa"/>
            <w:gridSpan w:val="4"/>
          </w:tcPr>
          <w:p w14:paraId="4CF0119C" w14:textId="5CD706DC" w:rsidR="001B47E7" w:rsidRPr="00F06A75" w:rsidRDefault="00F06A75" w:rsidP="00F06A75">
            <w:pPr>
              <w:jc w:val="right"/>
              <w:rPr>
                <w:rFonts w:ascii="Times New Roman" w:eastAsia="Times New Roman" w:hAnsi="Times New Roman" w:cs="Times New Roman"/>
                <w:b/>
                <w:color w:val="222222"/>
                <w:sz w:val="24"/>
                <w:szCs w:val="24"/>
                <w:lang w:eastAsia="ru-RU"/>
              </w:rPr>
            </w:pPr>
            <w:r w:rsidRPr="00F06A75">
              <w:rPr>
                <w:rFonts w:ascii="Times New Roman" w:eastAsia="Times New Roman" w:hAnsi="Times New Roman" w:cs="Times New Roman"/>
                <w:b/>
                <w:color w:val="222222"/>
                <w:sz w:val="24"/>
                <w:szCs w:val="24"/>
                <w:lang w:eastAsia="ru-RU"/>
              </w:rPr>
              <w:t>ИТОГО, с учетом НДС</w:t>
            </w:r>
          </w:p>
        </w:tc>
        <w:tc>
          <w:tcPr>
            <w:tcW w:w="1958" w:type="dxa"/>
          </w:tcPr>
          <w:p w14:paraId="7D04F334" w14:textId="0CBAD1E8" w:rsidR="001B47E7" w:rsidRPr="00B75980" w:rsidRDefault="001B47E7" w:rsidP="00BE7DE0">
            <w:pPr>
              <w:jc w:val="center"/>
              <w:rPr>
                <w:rFonts w:ascii="Times New Roman" w:eastAsia="Times New Roman" w:hAnsi="Times New Roman" w:cs="Times New Roman"/>
                <w:b/>
                <w:color w:val="222222"/>
                <w:sz w:val="24"/>
                <w:szCs w:val="24"/>
                <w:lang w:eastAsia="ru-RU"/>
              </w:rPr>
            </w:pPr>
          </w:p>
        </w:tc>
      </w:tr>
    </w:tbl>
    <w:p w14:paraId="49175214" w14:textId="1EB4A4C1" w:rsidR="00D04440" w:rsidRDefault="00D04440" w:rsidP="001F2CBB">
      <w:pPr>
        <w:spacing w:after="0"/>
        <w:rPr>
          <w:rFonts w:ascii="Times New Roman" w:hAnsi="Times New Roman" w:cs="Times New Roman"/>
          <w:sz w:val="24"/>
          <w:szCs w:val="24"/>
        </w:rPr>
      </w:pPr>
    </w:p>
    <w:p w14:paraId="24CE1E43" w14:textId="126BAED5" w:rsidR="00D04440" w:rsidRDefault="00D04440" w:rsidP="001F2CBB">
      <w:pPr>
        <w:spacing w:after="0"/>
        <w:rPr>
          <w:rFonts w:ascii="Times New Roman" w:hAnsi="Times New Roman" w:cs="Times New Roman"/>
          <w:sz w:val="24"/>
          <w:szCs w:val="24"/>
        </w:rPr>
      </w:pPr>
    </w:p>
    <w:p w14:paraId="57E4BA92" w14:textId="77777777" w:rsidR="008B7FCA" w:rsidRPr="008B7FCA" w:rsidRDefault="008B7FCA" w:rsidP="008B7FCA">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CD6611B" w14:textId="465739C3"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sidR="00D04440">
        <w:rPr>
          <w:rFonts w:ascii="Times New Roman" w:hAnsi="Times New Roman" w:cs="Times New Roman"/>
          <w:b/>
          <w:sz w:val="24"/>
          <w:szCs w:val="24"/>
        </w:rPr>
        <w:t xml:space="preserve"> </w:t>
      </w:r>
    </w:p>
    <w:p w14:paraId="1FFBB504" w14:textId="39D0DD52" w:rsidR="008B7FCA" w:rsidRPr="009266A8" w:rsidRDefault="000D036A" w:rsidP="008B7FCA">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 xml:space="preserve">Поставка </w:t>
      </w:r>
      <w:r w:rsidR="00B75980">
        <w:rPr>
          <w:rFonts w:ascii="Times New Roman" w:eastAsia="Tahoma" w:hAnsi="Times New Roman" w:cs="Times New Roman"/>
          <w:color w:val="000000" w:themeColor="text1"/>
          <w:sz w:val="24"/>
          <w:szCs w:val="24"/>
        </w:rPr>
        <w:t xml:space="preserve">стол </w:t>
      </w:r>
      <w:proofErr w:type="spellStart"/>
      <w:r w:rsidR="00B75980">
        <w:rPr>
          <w:rFonts w:ascii="Times New Roman" w:eastAsia="Tahoma" w:hAnsi="Times New Roman" w:cs="Times New Roman"/>
          <w:color w:val="000000" w:themeColor="text1"/>
          <w:sz w:val="24"/>
          <w:szCs w:val="24"/>
        </w:rPr>
        <w:t>сваро</w:t>
      </w:r>
      <w:proofErr w:type="spellEnd"/>
      <w:r w:rsidR="00B75980">
        <w:rPr>
          <w:rFonts w:ascii="Times New Roman" w:eastAsia="Tahoma" w:hAnsi="Times New Roman" w:cs="Times New Roman"/>
          <w:color w:val="000000" w:themeColor="text1"/>
          <w:sz w:val="24"/>
          <w:szCs w:val="24"/>
        </w:rPr>
        <w:t>-сборочный</w:t>
      </w:r>
      <w:r w:rsidR="00D04440" w:rsidRPr="00726B33">
        <w:rPr>
          <w:rFonts w:ascii="Times New Roman" w:eastAsia="Tahoma" w:hAnsi="Times New Roman" w:cs="Times New Roman"/>
          <w:color w:val="000000" w:themeColor="text1"/>
          <w:sz w:val="24"/>
          <w:szCs w:val="24"/>
        </w:rPr>
        <w:t xml:space="preserve"> </w:t>
      </w:r>
      <w:r w:rsidR="00D04440">
        <w:rPr>
          <w:rFonts w:ascii="Times New Roman" w:eastAsia="Tahoma" w:hAnsi="Times New Roman" w:cs="Times New Roman"/>
          <w:color w:val="000000" w:themeColor="text1"/>
          <w:sz w:val="24"/>
          <w:szCs w:val="24"/>
        </w:rPr>
        <w:t xml:space="preserve">для оснащения </w:t>
      </w:r>
      <w:r w:rsidR="00D04440" w:rsidRPr="00726B33">
        <w:rPr>
          <w:rFonts w:ascii="Times New Roman" w:eastAsia="Tahoma" w:hAnsi="Times New Roman" w:cs="Times New Roman"/>
          <w:color w:val="000000" w:themeColor="text1"/>
          <w:sz w:val="24"/>
          <w:szCs w:val="24"/>
        </w:rPr>
        <w:t>мастерских в историческом здании</w:t>
      </w:r>
      <w:r w:rsidR="00D04440">
        <w:rPr>
          <w:rFonts w:ascii="Times New Roman" w:eastAsia="Tahoma" w:hAnsi="Times New Roman" w:cs="Times New Roman"/>
          <w:color w:val="000000" w:themeColor="text1"/>
          <w:sz w:val="24"/>
          <w:szCs w:val="24"/>
        </w:rPr>
        <w:t xml:space="preserve"> Политехнического музея</w:t>
      </w:r>
      <w:r w:rsidR="00D04440" w:rsidRPr="00EC071C">
        <w:rPr>
          <w:rFonts w:ascii="Times New Roman" w:eastAsia="Tahoma" w:hAnsi="Times New Roman" w:cs="Times New Roman"/>
          <w:sz w:val="24"/>
          <w:szCs w:val="24"/>
        </w:rPr>
        <w:t xml:space="preserve"> </w:t>
      </w:r>
    </w:p>
    <w:p w14:paraId="165C1ABF" w14:textId="77777777"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667ABF04" w14:textId="77777777" w:rsidR="008B7FCA" w:rsidRPr="008B7FCA" w:rsidRDefault="008B7FCA" w:rsidP="008B7FCA">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0DFEEE0C"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7FF03ED" w14:textId="77777777" w:rsidR="008B7FCA" w:rsidRPr="008B7FCA" w:rsidRDefault="008B7FCA" w:rsidP="008B7FCA">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5D464C19" w14:textId="77777777" w:rsidR="008B7FCA" w:rsidRPr="008B7FCA" w:rsidRDefault="008B7FCA" w:rsidP="008B7FCA">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6CE25357" w14:textId="77777777" w:rsidR="008B7FCA" w:rsidRPr="008B7FCA" w:rsidRDefault="008B7FCA" w:rsidP="008B7FCA">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1A41EE6" w14:textId="77777777" w:rsidR="008B7FCA" w:rsidRPr="008B7FCA" w:rsidRDefault="008B7FCA" w:rsidP="008B7FCA">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504245C7" w14:textId="77777777" w:rsidR="008B7FCA" w:rsidRPr="008B7FCA" w:rsidRDefault="008B7FCA" w:rsidP="008B7FCA">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197BD689" w14:textId="3DC2B859" w:rsidR="008B7FCA" w:rsidRDefault="008B7FCA" w:rsidP="008B7FCA">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sidR="0016053C">
        <w:rPr>
          <w:rFonts w:ascii="Times New Roman" w:hAnsi="Times New Roman" w:cs="Times New Roman"/>
          <w:sz w:val="24"/>
          <w:szCs w:val="24"/>
        </w:rPr>
        <w:t>12</w:t>
      </w:r>
      <w:r w:rsidRPr="008B7FCA">
        <w:rPr>
          <w:rFonts w:ascii="Times New Roman" w:hAnsi="Times New Roman" w:cs="Times New Roman"/>
          <w:sz w:val="24"/>
          <w:szCs w:val="24"/>
        </w:rPr>
        <w:t xml:space="preserve"> (</w:t>
      </w:r>
      <w:r w:rsidR="0016053C">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7226F3CA" w14:textId="030F22B4" w:rsidR="00700BB1" w:rsidRPr="00700BB1" w:rsidRDefault="00700BB1" w:rsidP="008B7FCA">
      <w:pPr>
        <w:ind w:firstLine="709"/>
        <w:jc w:val="both"/>
        <w:rPr>
          <w:rFonts w:ascii="Times New Roman" w:hAnsi="Times New Roman" w:cs="Times New Roman"/>
          <w:sz w:val="24"/>
          <w:szCs w:val="24"/>
        </w:rPr>
      </w:pPr>
      <w:r>
        <w:rPr>
          <w:rFonts w:ascii="Times New Roman" w:hAnsi="Times New Roman" w:cs="Times New Roman"/>
          <w:sz w:val="24"/>
          <w:szCs w:val="24"/>
        </w:rPr>
        <w:t>Поставщик гарантирует</w:t>
      </w:r>
      <w:r w:rsidRPr="00700BB1">
        <w:rPr>
          <w:rFonts w:ascii="Times New Roman" w:hAnsi="Times New Roman" w:cs="Times New Roman"/>
          <w:sz w:val="24"/>
          <w:szCs w:val="24"/>
        </w:rPr>
        <w:t xml:space="preserve">, </w:t>
      </w:r>
      <w:r>
        <w:rPr>
          <w:rFonts w:ascii="Times New Roman" w:hAnsi="Times New Roman" w:cs="Times New Roman"/>
          <w:sz w:val="24"/>
          <w:szCs w:val="24"/>
        </w:rPr>
        <w:t xml:space="preserve">что установленное программное обеспечение (ПО) </w:t>
      </w:r>
      <w:r w:rsidR="007C3F5F">
        <w:rPr>
          <w:rFonts w:ascii="Times New Roman" w:hAnsi="Times New Roman" w:cs="Times New Roman"/>
          <w:sz w:val="24"/>
          <w:szCs w:val="24"/>
        </w:rPr>
        <w:t>является лицензионным</w:t>
      </w:r>
      <w:r w:rsidR="007C3F5F" w:rsidRPr="007C3F5F">
        <w:rPr>
          <w:rFonts w:ascii="Times New Roman" w:hAnsi="Times New Roman" w:cs="Times New Roman"/>
          <w:sz w:val="24"/>
          <w:szCs w:val="24"/>
        </w:rPr>
        <w:t>.</w:t>
      </w:r>
      <w:r>
        <w:rPr>
          <w:rFonts w:ascii="Times New Roman" w:hAnsi="Times New Roman" w:cs="Times New Roman"/>
          <w:sz w:val="24"/>
          <w:szCs w:val="24"/>
        </w:rPr>
        <w:t xml:space="preserve"> </w:t>
      </w:r>
    </w:p>
    <w:p w14:paraId="3EE2072F" w14:textId="77777777" w:rsidR="008B7FCA" w:rsidRPr="008B7FCA" w:rsidRDefault="008B7FCA" w:rsidP="008B7FCA">
      <w:pPr>
        <w:ind w:firstLine="709"/>
        <w:jc w:val="both"/>
        <w:rPr>
          <w:rFonts w:ascii="Times New Roman" w:hAnsi="Times New Roman" w:cs="Times New Roman"/>
          <w:sz w:val="24"/>
          <w:szCs w:val="24"/>
        </w:rPr>
      </w:pPr>
    </w:p>
    <w:p w14:paraId="003A5F82" w14:textId="77777777" w:rsidR="008B7FCA" w:rsidRPr="008B7FCA" w:rsidRDefault="008B7FCA" w:rsidP="008B7FCA">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bookmarkStart w:id="3" w:name="_Hlk231557714"/>
      <w:r w:rsidRPr="008B7FCA">
        <w:rPr>
          <w:rFonts w:ascii="Times New Roman" w:hAnsi="Times New Roman" w:cs="Times New Roman"/>
          <w:b/>
          <w:sz w:val="24"/>
          <w:szCs w:val="24"/>
        </w:rPr>
        <w:t>Требования к упаковке.</w:t>
      </w:r>
    </w:p>
    <w:p w14:paraId="5A6EB200" w14:textId="77777777" w:rsidR="008B7FCA" w:rsidRPr="00700BB1" w:rsidRDefault="008B7FCA" w:rsidP="008B7FCA">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w:t>
      </w:r>
      <w:r w:rsidRPr="008B7FCA">
        <w:rPr>
          <w:rFonts w:ascii="Times New Roman" w:hAnsi="Times New Roman" w:cs="Times New Roman"/>
          <w:sz w:val="24"/>
          <w:szCs w:val="24"/>
        </w:rPr>
        <w:lastRenderedPageBreak/>
        <w:t xml:space="preserve">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63AF978B" w14:textId="0BFF2386" w:rsidR="008B7FCA" w:rsidRPr="007C3F5F" w:rsidRDefault="007C3F5F" w:rsidP="008B7FCA">
      <w:pPr>
        <w:pStyle w:val="ConsPlusNormal0"/>
        <w:tabs>
          <w:tab w:val="left" w:pos="915"/>
        </w:tabs>
        <w:ind w:firstLine="709"/>
        <w:jc w:val="both"/>
        <w:rPr>
          <w:rFonts w:ascii="Times New Roman" w:hAnsi="Times New Roman" w:cs="Times New Roman"/>
          <w:sz w:val="24"/>
          <w:szCs w:val="24"/>
        </w:rPr>
      </w:pPr>
      <w:r>
        <w:rPr>
          <w:rFonts w:ascii="Times New Roman" w:hAnsi="Times New Roman" w:cs="Times New Roman"/>
          <w:sz w:val="24"/>
          <w:szCs w:val="24"/>
        </w:rPr>
        <w:t>Товар поставляется в упаковке завода-изготовителя</w:t>
      </w:r>
      <w:r w:rsidRPr="007C3F5F">
        <w:rPr>
          <w:rFonts w:ascii="Times New Roman" w:hAnsi="Times New Roman" w:cs="Times New Roman"/>
          <w:sz w:val="24"/>
          <w:szCs w:val="24"/>
        </w:rPr>
        <w:t xml:space="preserve">, </w:t>
      </w:r>
      <w:r>
        <w:rPr>
          <w:rFonts w:ascii="Times New Roman" w:hAnsi="Times New Roman" w:cs="Times New Roman"/>
          <w:sz w:val="24"/>
          <w:szCs w:val="24"/>
        </w:rPr>
        <w:t>позволяющий транспортировать его любым видом транспорта на любое расстояние</w:t>
      </w:r>
      <w:r w:rsidRPr="007C3F5F">
        <w:rPr>
          <w:rFonts w:ascii="Times New Roman" w:hAnsi="Times New Roman" w:cs="Times New Roman"/>
          <w:sz w:val="24"/>
          <w:szCs w:val="24"/>
        </w:rPr>
        <w:t xml:space="preserve">, </w:t>
      </w:r>
      <w:r>
        <w:rPr>
          <w:rFonts w:ascii="Times New Roman" w:hAnsi="Times New Roman" w:cs="Times New Roman"/>
          <w:sz w:val="24"/>
          <w:szCs w:val="24"/>
        </w:rPr>
        <w:t>предохранять от повреждений</w:t>
      </w:r>
      <w:r w:rsidRPr="007C3F5F">
        <w:rPr>
          <w:rFonts w:ascii="Times New Roman" w:hAnsi="Times New Roman" w:cs="Times New Roman"/>
          <w:sz w:val="24"/>
          <w:szCs w:val="24"/>
        </w:rPr>
        <w:t xml:space="preserve">, </w:t>
      </w:r>
      <w:r>
        <w:rPr>
          <w:rFonts w:ascii="Times New Roman" w:hAnsi="Times New Roman" w:cs="Times New Roman"/>
          <w:sz w:val="24"/>
          <w:szCs w:val="24"/>
        </w:rPr>
        <w:t>загрязнений</w:t>
      </w:r>
      <w:r w:rsidRPr="007C3F5F">
        <w:rPr>
          <w:rFonts w:ascii="Times New Roman" w:hAnsi="Times New Roman" w:cs="Times New Roman"/>
          <w:sz w:val="24"/>
          <w:szCs w:val="24"/>
        </w:rPr>
        <w:t xml:space="preserve">, </w:t>
      </w:r>
      <w:r>
        <w:rPr>
          <w:rFonts w:ascii="Times New Roman" w:hAnsi="Times New Roman" w:cs="Times New Roman"/>
          <w:sz w:val="24"/>
          <w:szCs w:val="24"/>
        </w:rPr>
        <w:t>утраты товарного вида и порчи при его перевозки с учетом возможных перегрузок в пути и длительного хранения</w:t>
      </w:r>
      <w:r w:rsidRPr="007C3F5F">
        <w:rPr>
          <w:rFonts w:ascii="Times New Roman" w:hAnsi="Times New Roman" w:cs="Times New Roman"/>
          <w:sz w:val="24"/>
          <w:szCs w:val="24"/>
        </w:rPr>
        <w:t>.</w:t>
      </w:r>
    </w:p>
    <w:bookmarkEnd w:id="3"/>
    <w:p w14:paraId="6255AD26" w14:textId="77777777" w:rsidR="008B7FCA" w:rsidRPr="008B7FCA" w:rsidRDefault="008B7FCA" w:rsidP="008B7FCA">
      <w:pPr>
        <w:pStyle w:val="ConsPlusNormal0"/>
        <w:tabs>
          <w:tab w:val="left" w:pos="915"/>
        </w:tabs>
        <w:ind w:firstLine="709"/>
        <w:jc w:val="both"/>
        <w:rPr>
          <w:rFonts w:ascii="Times New Roman" w:hAnsi="Times New Roman" w:cs="Times New Roman"/>
          <w:sz w:val="24"/>
          <w:szCs w:val="24"/>
        </w:rPr>
      </w:pPr>
    </w:p>
    <w:p w14:paraId="0BE07C1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3E059722" w14:textId="77777777" w:rsidR="008B7FCA" w:rsidRPr="008B7FCA" w:rsidRDefault="008B7FCA" w:rsidP="008B7FCA">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7783DB33" w14:textId="77777777"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течение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187D2A4B" w14:textId="77777777"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14CC2EFA" w14:textId="64A5F728" w:rsidR="008B7FCA" w:rsidRPr="008B7FCA" w:rsidRDefault="008B7FCA" w:rsidP="008B7FCA">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000D036A" w:rsidRPr="009266A8">
        <w:rPr>
          <w:rFonts w:ascii="Times New Roman" w:hAnsi="Times New Roman" w:cs="Times New Roman"/>
          <w:color w:val="000000" w:themeColor="text1"/>
          <w:sz w:val="24"/>
          <w:szCs w:val="24"/>
        </w:rPr>
        <w:t>в течени</w:t>
      </w:r>
      <w:r w:rsidR="007251DC">
        <w:rPr>
          <w:rFonts w:ascii="Times New Roman" w:hAnsi="Times New Roman" w:cs="Times New Roman"/>
          <w:color w:val="000000" w:themeColor="text1"/>
          <w:sz w:val="24"/>
          <w:szCs w:val="24"/>
        </w:rPr>
        <w:t>е</w:t>
      </w:r>
      <w:r w:rsidR="000D036A" w:rsidRPr="009266A8">
        <w:rPr>
          <w:rFonts w:ascii="Times New Roman" w:hAnsi="Times New Roman" w:cs="Times New Roman"/>
          <w:color w:val="000000" w:themeColor="text1"/>
          <w:sz w:val="24"/>
          <w:szCs w:val="24"/>
        </w:rPr>
        <w:t xml:space="preserve"> </w:t>
      </w:r>
      <w:r w:rsidR="007C3F5F">
        <w:rPr>
          <w:rFonts w:ascii="Times New Roman" w:hAnsi="Times New Roman" w:cs="Times New Roman"/>
          <w:color w:val="000000" w:themeColor="text1"/>
          <w:sz w:val="24"/>
          <w:szCs w:val="24"/>
        </w:rPr>
        <w:t>45</w:t>
      </w:r>
      <w:r w:rsidR="000D036A" w:rsidRPr="009266A8">
        <w:rPr>
          <w:rFonts w:ascii="Times New Roman" w:hAnsi="Times New Roman" w:cs="Times New Roman"/>
          <w:color w:val="000000" w:themeColor="text1"/>
          <w:sz w:val="24"/>
          <w:szCs w:val="24"/>
        </w:rPr>
        <w:t xml:space="preserve"> рабочих дней</w:t>
      </w:r>
      <w:r w:rsidRPr="008B7FCA">
        <w:rPr>
          <w:rFonts w:ascii="Times New Roman" w:hAnsi="Times New Roman" w:cs="Times New Roman"/>
          <w:sz w:val="24"/>
          <w:szCs w:val="24"/>
        </w:rPr>
        <w:t xml:space="preserve">. Доставка Товара, его погрузка-разгрузка производится по согласованию с Заказчиком по адресу:  </w:t>
      </w:r>
      <w:r w:rsidRPr="008B7FCA">
        <w:rPr>
          <w:rFonts w:ascii="Times New Roman" w:hAnsi="Times New Roman" w:cs="Times New Roman"/>
          <w:sz w:val="24"/>
          <w:szCs w:val="24"/>
        </w:rPr>
        <w:br/>
        <w:t xml:space="preserve">г. Москва, Волгоградский проспект, д.42, корп.5,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00132F1E" w:rsidRPr="009266A8">
        <w:rPr>
          <w:color w:val="002060"/>
          <w:u w:val="single"/>
        </w:rPr>
        <w:t>aashepelev@polytech.one</w:t>
      </w:r>
      <w:r w:rsidR="00132F1E"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7832FB58" w14:textId="77777777" w:rsidR="008B7FCA" w:rsidRPr="008B7FCA" w:rsidRDefault="008B7FCA" w:rsidP="008B7FCA">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6E14698" w14:textId="77777777" w:rsidR="008B7FCA" w:rsidRPr="008B7FCA" w:rsidRDefault="008B7FCA" w:rsidP="008B7FCA">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1B5E1727"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03AAF628"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p>
    <w:p w14:paraId="50B21ED8"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C5614C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6D687ECB"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5CD523C9"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lastRenderedPageBreak/>
        <w:t xml:space="preserve">- Счет. </w:t>
      </w:r>
    </w:p>
    <w:p w14:paraId="77CAC18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386FBE13" w14:textId="77777777" w:rsidR="008B7FCA" w:rsidRPr="008B7FCA" w:rsidRDefault="008B7FCA" w:rsidP="008B7FCA">
      <w:pPr>
        <w:suppressAutoHyphens/>
        <w:ind w:firstLine="709"/>
        <w:jc w:val="both"/>
        <w:rPr>
          <w:rFonts w:ascii="Times New Roman" w:hAnsi="Times New Roman" w:cs="Times New Roman"/>
          <w:sz w:val="24"/>
          <w:szCs w:val="24"/>
          <w:lang w:eastAsia="ar-SA"/>
        </w:rPr>
      </w:pPr>
    </w:p>
    <w:p w14:paraId="31DBAAF5"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 xml:space="preserve">Требования к транспортировке. </w:t>
      </w:r>
    </w:p>
    <w:p w14:paraId="533A3A7E"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7BE2C42B"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p>
    <w:p w14:paraId="458CA201"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3F2FC7EC"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27156E1F"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p>
    <w:p w14:paraId="7C2E5660"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18B4AD25"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6663191D"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02C761F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360671A3"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30424E70"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78AC4CAD" w14:textId="77777777" w:rsidR="001D3896" w:rsidRDefault="001D3896" w:rsidP="001D3896">
      <w:pPr>
        <w:spacing w:after="0" w:line="276" w:lineRule="auto"/>
        <w:rPr>
          <w:rFonts w:ascii="Times New Roman" w:hAnsi="Times New Roman" w:cs="Times New Roman"/>
          <w:sz w:val="24"/>
          <w:szCs w:val="24"/>
          <w:lang w:eastAsia="zh-CN"/>
        </w:rPr>
      </w:pPr>
    </w:p>
    <w:p w14:paraId="5807D1EB" w14:textId="77777777" w:rsidR="00CC4F20" w:rsidRDefault="001D3896" w:rsidP="00CC4F20">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bookmarkEnd w:id="0"/>
      <w:bookmarkEnd w:id="1"/>
    </w:p>
    <w:p w14:paraId="3F0D04E1" w14:textId="0D722BEB" w:rsidR="00CC4F20" w:rsidRDefault="00CC4F20" w:rsidP="00CC4F20">
      <w:pPr>
        <w:spacing w:after="0" w:line="276" w:lineRule="auto"/>
        <w:jc w:val="right"/>
        <w:rPr>
          <w:rFonts w:ascii="Times New Roman" w:hAnsi="Times New Roman" w:cs="Times New Roman"/>
          <w:sz w:val="24"/>
          <w:szCs w:val="24"/>
          <w:lang w:eastAsia="zh-CN"/>
        </w:rPr>
      </w:pPr>
    </w:p>
    <w:p w14:paraId="700B80DA" w14:textId="045B2B07" w:rsidR="00FF64F2" w:rsidRDefault="00FF64F2" w:rsidP="00CC4F20">
      <w:pPr>
        <w:spacing w:after="0" w:line="276" w:lineRule="auto"/>
        <w:jc w:val="right"/>
        <w:rPr>
          <w:rFonts w:ascii="Times New Roman" w:hAnsi="Times New Roman" w:cs="Times New Roman"/>
          <w:sz w:val="24"/>
          <w:szCs w:val="24"/>
          <w:lang w:eastAsia="zh-CN"/>
        </w:rPr>
      </w:pPr>
    </w:p>
    <w:p w14:paraId="388E5A86" w14:textId="48339C3F" w:rsidR="00FF64F2" w:rsidRDefault="00FF64F2" w:rsidP="00CC4F20">
      <w:pPr>
        <w:spacing w:after="0" w:line="276" w:lineRule="auto"/>
        <w:jc w:val="right"/>
        <w:rPr>
          <w:rFonts w:ascii="Times New Roman" w:hAnsi="Times New Roman" w:cs="Times New Roman"/>
          <w:sz w:val="24"/>
          <w:szCs w:val="24"/>
          <w:lang w:eastAsia="zh-CN"/>
        </w:rPr>
      </w:pPr>
    </w:p>
    <w:p w14:paraId="7EFE075B" w14:textId="726D3287" w:rsidR="00FF64F2" w:rsidRDefault="00FF64F2" w:rsidP="00CC4F20">
      <w:pPr>
        <w:spacing w:after="0" w:line="276" w:lineRule="auto"/>
        <w:jc w:val="right"/>
        <w:rPr>
          <w:rFonts w:ascii="Times New Roman" w:hAnsi="Times New Roman" w:cs="Times New Roman"/>
          <w:sz w:val="24"/>
          <w:szCs w:val="24"/>
          <w:lang w:eastAsia="zh-CN"/>
        </w:rPr>
      </w:pPr>
    </w:p>
    <w:p w14:paraId="62386AA3" w14:textId="295FEA53" w:rsidR="00FF64F2" w:rsidRDefault="00FF64F2" w:rsidP="00CC4F20">
      <w:pPr>
        <w:spacing w:after="0" w:line="276" w:lineRule="auto"/>
        <w:jc w:val="right"/>
        <w:rPr>
          <w:rFonts w:ascii="Times New Roman" w:hAnsi="Times New Roman" w:cs="Times New Roman"/>
          <w:sz w:val="24"/>
          <w:szCs w:val="24"/>
          <w:lang w:eastAsia="zh-CN"/>
        </w:rPr>
      </w:pPr>
    </w:p>
    <w:p w14:paraId="1F5F5B7C" w14:textId="284578B8" w:rsidR="00FF64F2" w:rsidRDefault="00FF64F2" w:rsidP="00591B82">
      <w:pPr>
        <w:spacing w:after="0" w:line="276" w:lineRule="auto"/>
        <w:rPr>
          <w:rFonts w:ascii="Times New Roman" w:hAnsi="Times New Roman" w:cs="Times New Roman"/>
          <w:sz w:val="24"/>
          <w:szCs w:val="24"/>
          <w:lang w:eastAsia="zh-CN"/>
        </w:rPr>
      </w:pPr>
    </w:p>
    <w:p w14:paraId="0C34E810" w14:textId="64B770A6" w:rsidR="00FF64F2" w:rsidRDefault="00FF64F2" w:rsidP="00CC4F20">
      <w:pPr>
        <w:spacing w:after="0" w:line="276" w:lineRule="auto"/>
        <w:jc w:val="right"/>
        <w:rPr>
          <w:rFonts w:ascii="Times New Roman" w:hAnsi="Times New Roman" w:cs="Times New Roman"/>
          <w:sz w:val="24"/>
          <w:szCs w:val="24"/>
          <w:lang w:eastAsia="zh-CN"/>
        </w:rPr>
      </w:pPr>
    </w:p>
    <w:p w14:paraId="18E10301" w14:textId="77777777" w:rsidR="00B04919" w:rsidRDefault="00B04919" w:rsidP="00591B82">
      <w:pPr>
        <w:spacing w:after="0" w:line="276" w:lineRule="auto"/>
        <w:rPr>
          <w:rFonts w:ascii="Times New Roman" w:hAnsi="Times New Roman" w:cs="Times New Roman"/>
          <w:sz w:val="24"/>
          <w:szCs w:val="24"/>
          <w:lang w:eastAsia="zh-CN"/>
        </w:rPr>
      </w:pPr>
    </w:p>
    <w:sectPr w:rsidR="00B04919" w:rsidSect="006B37A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016E6" w14:textId="77777777" w:rsidR="006C6C6C" w:rsidRDefault="006C6C6C" w:rsidP="00A62813">
      <w:pPr>
        <w:spacing w:after="0" w:line="240" w:lineRule="auto"/>
      </w:pPr>
      <w:r>
        <w:separator/>
      </w:r>
    </w:p>
  </w:endnote>
  <w:endnote w:type="continuationSeparator" w:id="0">
    <w:p w14:paraId="33BA1B77" w14:textId="77777777" w:rsidR="006C6C6C" w:rsidRDefault="006C6C6C"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EC030" w14:textId="77777777" w:rsidR="006C6C6C" w:rsidRDefault="006C6C6C" w:rsidP="00A62813">
      <w:pPr>
        <w:spacing w:after="0" w:line="240" w:lineRule="auto"/>
      </w:pPr>
      <w:r>
        <w:separator/>
      </w:r>
    </w:p>
  </w:footnote>
  <w:footnote w:type="continuationSeparator" w:id="0">
    <w:p w14:paraId="628B41EA" w14:textId="77777777" w:rsidR="006C6C6C" w:rsidRDefault="006C6C6C"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14E0"/>
    <w:rsid w:val="000229BD"/>
    <w:rsid w:val="00023441"/>
    <w:rsid w:val="000306C5"/>
    <w:rsid w:val="00034D9C"/>
    <w:rsid w:val="00042FD5"/>
    <w:rsid w:val="000442F6"/>
    <w:rsid w:val="000446AD"/>
    <w:rsid w:val="00060244"/>
    <w:rsid w:val="00074FE5"/>
    <w:rsid w:val="00077231"/>
    <w:rsid w:val="00082F9B"/>
    <w:rsid w:val="00091748"/>
    <w:rsid w:val="00096EF1"/>
    <w:rsid w:val="000B0829"/>
    <w:rsid w:val="000B52F7"/>
    <w:rsid w:val="000B5544"/>
    <w:rsid w:val="000B646B"/>
    <w:rsid w:val="000B64B3"/>
    <w:rsid w:val="000C5C91"/>
    <w:rsid w:val="000D036A"/>
    <w:rsid w:val="000D6CDD"/>
    <w:rsid w:val="000F0B86"/>
    <w:rsid w:val="00102EC8"/>
    <w:rsid w:val="00103775"/>
    <w:rsid w:val="001053F7"/>
    <w:rsid w:val="00107DBB"/>
    <w:rsid w:val="00132A2B"/>
    <w:rsid w:val="00132F1E"/>
    <w:rsid w:val="001352E2"/>
    <w:rsid w:val="00137557"/>
    <w:rsid w:val="001419EE"/>
    <w:rsid w:val="00143A7E"/>
    <w:rsid w:val="00154F2F"/>
    <w:rsid w:val="0016014F"/>
    <w:rsid w:val="0016053C"/>
    <w:rsid w:val="001632A2"/>
    <w:rsid w:val="00164E46"/>
    <w:rsid w:val="00165122"/>
    <w:rsid w:val="00166AD8"/>
    <w:rsid w:val="0016719B"/>
    <w:rsid w:val="00170D18"/>
    <w:rsid w:val="00173FA5"/>
    <w:rsid w:val="00184323"/>
    <w:rsid w:val="00186C45"/>
    <w:rsid w:val="001874F0"/>
    <w:rsid w:val="00192AB0"/>
    <w:rsid w:val="001A1777"/>
    <w:rsid w:val="001B1E20"/>
    <w:rsid w:val="001B47E7"/>
    <w:rsid w:val="001C4F0D"/>
    <w:rsid w:val="001D3896"/>
    <w:rsid w:val="001D4760"/>
    <w:rsid w:val="001D4A77"/>
    <w:rsid w:val="001D7C15"/>
    <w:rsid w:val="001E6C10"/>
    <w:rsid w:val="001F2CBB"/>
    <w:rsid w:val="00203ED0"/>
    <w:rsid w:val="00206C88"/>
    <w:rsid w:val="00212370"/>
    <w:rsid w:val="002219D2"/>
    <w:rsid w:val="002265F8"/>
    <w:rsid w:val="002475EA"/>
    <w:rsid w:val="00251905"/>
    <w:rsid w:val="00252B39"/>
    <w:rsid w:val="0025314F"/>
    <w:rsid w:val="00254133"/>
    <w:rsid w:val="00255A17"/>
    <w:rsid w:val="00270172"/>
    <w:rsid w:val="00272D82"/>
    <w:rsid w:val="00280756"/>
    <w:rsid w:val="00283BC0"/>
    <w:rsid w:val="00287CD6"/>
    <w:rsid w:val="002922BF"/>
    <w:rsid w:val="002A1CDD"/>
    <w:rsid w:val="002A5176"/>
    <w:rsid w:val="002A519A"/>
    <w:rsid w:val="002B088E"/>
    <w:rsid w:val="002C05B5"/>
    <w:rsid w:val="002C3A5D"/>
    <w:rsid w:val="002C7C7B"/>
    <w:rsid w:val="002D7900"/>
    <w:rsid w:val="002E227C"/>
    <w:rsid w:val="002F4C42"/>
    <w:rsid w:val="0030311B"/>
    <w:rsid w:val="0030612C"/>
    <w:rsid w:val="00311395"/>
    <w:rsid w:val="0031206E"/>
    <w:rsid w:val="003227E2"/>
    <w:rsid w:val="003236B5"/>
    <w:rsid w:val="00323B9A"/>
    <w:rsid w:val="003241AB"/>
    <w:rsid w:val="003369BB"/>
    <w:rsid w:val="003464D5"/>
    <w:rsid w:val="00353F34"/>
    <w:rsid w:val="003638A0"/>
    <w:rsid w:val="00365E0F"/>
    <w:rsid w:val="00377C69"/>
    <w:rsid w:val="00383145"/>
    <w:rsid w:val="00384ED5"/>
    <w:rsid w:val="00397BC8"/>
    <w:rsid w:val="003A533E"/>
    <w:rsid w:val="003B30F2"/>
    <w:rsid w:val="003B50B4"/>
    <w:rsid w:val="003B67D2"/>
    <w:rsid w:val="003D69A0"/>
    <w:rsid w:val="003E72C1"/>
    <w:rsid w:val="003E73CB"/>
    <w:rsid w:val="003F0379"/>
    <w:rsid w:val="00401441"/>
    <w:rsid w:val="00403FC8"/>
    <w:rsid w:val="0041750D"/>
    <w:rsid w:val="0042703D"/>
    <w:rsid w:val="004474D6"/>
    <w:rsid w:val="00456F30"/>
    <w:rsid w:val="004671EA"/>
    <w:rsid w:val="00481871"/>
    <w:rsid w:val="00483D8D"/>
    <w:rsid w:val="00484103"/>
    <w:rsid w:val="0048530E"/>
    <w:rsid w:val="00492C02"/>
    <w:rsid w:val="00494A1D"/>
    <w:rsid w:val="004A0291"/>
    <w:rsid w:val="004A58E2"/>
    <w:rsid w:val="004B69C4"/>
    <w:rsid w:val="004B73F2"/>
    <w:rsid w:val="004C3C0C"/>
    <w:rsid w:val="004C5E2E"/>
    <w:rsid w:val="004D1038"/>
    <w:rsid w:val="00507C34"/>
    <w:rsid w:val="00517447"/>
    <w:rsid w:val="00525B10"/>
    <w:rsid w:val="00527DFC"/>
    <w:rsid w:val="00532013"/>
    <w:rsid w:val="005376D1"/>
    <w:rsid w:val="00537FD2"/>
    <w:rsid w:val="005405B8"/>
    <w:rsid w:val="00545BC6"/>
    <w:rsid w:val="005608D2"/>
    <w:rsid w:val="00571BC2"/>
    <w:rsid w:val="00583F68"/>
    <w:rsid w:val="00591B82"/>
    <w:rsid w:val="005B3A9D"/>
    <w:rsid w:val="005D1B48"/>
    <w:rsid w:val="005D3F0F"/>
    <w:rsid w:val="005E28C7"/>
    <w:rsid w:val="005F79F9"/>
    <w:rsid w:val="006016F4"/>
    <w:rsid w:val="00606D37"/>
    <w:rsid w:val="006137A1"/>
    <w:rsid w:val="0061523C"/>
    <w:rsid w:val="00615B41"/>
    <w:rsid w:val="006163A5"/>
    <w:rsid w:val="006177D8"/>
    <w:rsid w:val="0064617A"/>
    <w:rsid w:val="006475A4"/>
    <w:rsid w:val="00647DB8"/>
    <w:rsid w:val="0065135F"/>
    <w:rsid w:val="006549C9"/>
    <w:rsid w:val="00655126"/>
    <w:rsid w:val="00664374"/>
    <w:rsid w:val="00667526"/>
    <w:rsid w:val="00675D30"/>
    <w:rsid w:val="00681AFD"/>
    <w:rsid w:val="006859D5"/>
    <w:rsid w:val="006877D8"/>
    <w:rsid w:val="00691066"/>
    <w:rsid w:val="00695140"/>
    <w:rsid w:val="006A1559"/>
    <w:rsid w:val="006B37AA"/>
    <w:rsid w:val="006B686D"/>
    <w:rsid w:val="006B7DE3"/>
    <w:rsid w:val="006C33B2"/>
    <w:rsid w:val="006C68EA"/>
    <w:rsid w:val="006C6C6C"/>
    <w:rsid w:val="006C7807"/>
    <w:rsid w:val="006D5E7B"/>
    <w:rsid w:val="006D6E8C"/>
    <w:rsid w:val="006E1180"/>
    <w:rsid w:val="006E1953"/>
    <w:rsid w:val="006E60F2"/>
    <w:rsid w:val="006F0273"/>
    <w:rsid w:val="006F1D36"/>
    <w:rsid w:val="00700A1C"/>
    <w:rsid w:val="00700BB1"/>
    <w:rsid w:val="00706540"/>
    <w:rsid w:val="0071541F"/>
    <w:rsid w:val="00720B91"/>
    <w:rsid w:val="00722259"/>
    <w:rsid w:val="007243F8"/>
    <w:rsid w:val="00724B44"/>
    <w:rsid w:val="007251DC"/>
    <w:rsid w:val="00726772"/>
    <w:rsid w:val="00726B33"/>
    <w:rsid w:val="00737B2D"/>
    <w:rsid w:val="00750056"/>
    <w:rsid w:val="0075013A"/>
    <w:rsid w:val="007567D6"/>
    <w:rsid w:val="00760C2B"/>
    <w:rsid w:val="00761123"/>
    <w:rsid w:val="00764472"/>
    <w:rsid w:val="00772F64"/>
    <w:rsid w:val="00774FE8"/>
    <w:rsid w:val="0078322D"/>
    <w:rsid w:val="00794E21"/>
    <w:rsid w:val="007A23C9"/>
    <w:rsid w:val="007B11A4"/>
    <w:rsid w:val="007B358B"/>
    <w:rsid w:val="007B423D"/>
    <w:rsid w:val="007C3F5F"/>
    <w:rsid w:val="007C742A"/>
    <w:rsid w:val="007D448B"/>
    <w:rsid w:val="007E15AA"/>
    <w:rsid w:val="007E79A5"/>
    <w:rsid w:val="007F39C0"/>
    <w:rsid w:val="007F53D5"/>
    <w:rsid w:val="007F74D7"/>
    <w:rsid w:val="00810B91"/>
    <w:rsid w:val="00817610"/>
    <w:rsid w:val="00836A6C"/>
    <w:rsid w:val="00837587"/>
    <w:rsid w:val="00845B59"/>
    <w:rsid w:val="008533E1"/>
    <w:rsid w:val="00863582"/>
    <w:rsid w:val="00881898"/>
    <w:rsid w:val="00881967"/>
    <w:rsid w:val="00890D56"/>
    <w:rsid w:val="008960F1"/>
    <w:rsid w:val="008A0EE2"/>
    <w:rsid w:val="008A651F"/>
    <w:rsid w:val="008B03F7"/>
    <w:rsid w:val="008B1509"/>
    <w:rsid w:val="008B4E7B"/>
    <w:rsid w:val="008B7FCA"/>
    <w:rsid w:val="008D608C"/>
    <w:rsid w:val="008E154D"/>
    <w:rsid w:val="008E6840"/>
    <w:rsid w:val="008F3F23"/>
    <w:rsid w:val="00903580"/>
    <w:rsid w:val="009179EF"/>
    <w:rsid w:val="00923073"/>
    <w:rsid w:val="009266A8"/>
    <w:rsid w:val="009334F0"/>
    <w:rsid w:val="00933E51"/>
    <w:rsid w:val="00935A15"/>
    <w:rsid w:val="00936B92"/>
    <w:rsid w:val="00942750"/>
    <w:rsid w:val="00952547"/>
    <w:rsid w:val="00962B86"/>
    <w:rsid w:val="00965019"/>
    <w:rsid w:val="00965EE2"/>
    <w:rsid w:val="009661A5"/>
    <w:rsid w:val="00967118"/>
    <w:rsid w:val="009839AF"/>
    <w:rsid w:val="009902A7"/>
    <w:rsid w:val="009B45E5"/>
    <w:rsid w:val="009B5B2C"/>
    <w:rsid w:val="009B6C7B"/>
    <w:rsid w:val="009C1FAF"/>
    <w:rsid w:val="009C3983"/>
    <w:rsid w:val="009D56BB"/>
    <w:rsid w:val="009E526A"/>
    <w:rsid w:val="009E614F"/>
    <w:rsid w:val="009F5601"/>
    <w:rsid w:val="009F73AE"/>
    <w:rsid w:val="00A04FB5"/>
    <w:rsid w:val="00A16530"/>
    <w:rsid w:val="00A21A22"/>
    <w:rsid w:val="00A25ACC"/>
    <w:rsid w:val="00A33755"/>
    <w:rsid w:val="00A35A1E"/>
    <w:rsid w:val="00A62813"/>
    <w:rsid w:val="00A64D72"/>
    <w:rsid w:val="00A67650"/>
    <w:rsid w:val="00A751C2"/>
    <w:rsid w:val="00A85B18"/>
    <w:rsid w:val="00A91EB5"/>
    <w:rsid w:val="00AA383E"/>
    <w:rsid w:val="00AB0C15"/>
    <w:rsid w:val="00AB7BCA"/>
    <w:rsid w:val="00AC01BE"/>
    <w:rsid w:val="00AC0A3E"/>
    <w:rsid w:val="00AE0C9B"/>
    <w:rsid w:val="00AE63AD"/>
    <w:rsid w:val="00B02871"/>
    <w:rsid w:val="00B04184"/>
    <w:rsid w:val="00B04919"/>
    <w:rsid w:val="00B124C7"/>
    <w:rsid w:val="00B26FB9"/>
    <w:rsid w:val="00B335E1"/>
    <w:rsid w:val="00B33973"/>
    <w:rsid w:val="00B3793C"/>
    <w:rsid w:val="00B41CDE"/>
    <w:rsid w:val="00B4254C"/>
    <w:rsid w:val="00B5553D"/>
    <w:rsid w:val="00B631E1"/>
    <w:rsid w:val="00B650A5"/>
    <w:rsid w:val="00B66C1F"/>
    <w:rsid w:val="00B67C02"/>
    <w:rsid w:val="00B7186E"/>
    <w:rsid w:val="00B75980"/>
    <w:rsid w:val="00B8032A"/>
    <w:rsid w:val="00B82A44"/>
    <w:rsid w:val="00B83A7C"/>
    <w:rsid w:val="00B84F99"/>
    <w:rsid w:val="00B944EF"/>
    <w:rsid w:val="00B95C0F"/>
    <w:rsid w:val="00BA3D02"/>
    <w:rsid w:val="00BA3F77"/>
    <w:rsid w:val="00BB439C"/>
    <w:rsid w:val="00BB6FF4"/>
    <w:rsid w:val="00BD1031"/>
    <w:rsid w:val="00BD3AB6"/>
    <w:rsid w:val="00BD702A"/>
    <w:rsid w:val="00BD7A17"/>
    <w:rsid w:val="00BF32AE"/>
    <w:rsid w:val="00C000E0"/>
    <w:rsid w:val="00C13F45"/>
    <w:rsid w:val="00C17275"/>
    <w:rsid w:val="00C26AF3"/>
    <w:rsid w:val="00C340E5"/>
    <w:rsid w:val="00C41BD3"/>
    <w:rsid w:val="00C42263"/>
    <w:rsid w:val="00C63ED5"/>
    <w:rsid w:val="00C6793E"/>
    <w:rsid w:val="00C714A8"/>
    <w:rsid w:val="00C73B80"/>
    <w:rsid w:val="00C75F81"/>
    <w:rsid w:val="00C83AC7"/>
    <w:rsid w:val="00C8483F"/>
    <w:rsid w:val="00C85802"/>
    <w:rsid w:val="00C8647F"/>
    <w:rsid w:val="00C86971"/>
    <w:rsid w:val="00CA2B6A"/>
    <w:rsid w:val="00CB603D"/>
    <w:rsid w:val="00CC2085"/>
    <w:rsid w:val="00CC4F20"/>
    <w:rsid w:val="00CD043F"/>
    <w:rsid w:val="00CD3A6D"/>
    <w:rsid w:val="00CE0A66"/>
    <w:rsid w:val="00CE1C91"/>
    <w:rsid w:val="00CE6FD3"/>
    <w:rsid w:val="00CE7D28"/>
    <w:rsid w:val="00D04440"/>
    <w:rsid w:val="00D05145"/>
    <w:rsid w:val="00D06E5F"/>
    <w:rsid w:val="00D12051"/>
    <w:rsid w:val="00D3290A"/>
    <w:rsid w:val="00D36469"/>
    <w:rsid w:val="00D36A61"/>
    <w:rsid w:val="00D429D1"/>
    <w:rsid w:val="00D42E74"/>
    <w:rsid w:val="00D444A4"/>
    <w:rsid w:val="00D44ADD"/>
    <w:rsid w:val="00D47B9C"/>
    <w:rsid w:val="00D83D6B"/>
    <w:rsid w:val="00D87CAD"/>
    <w:rsid w:val="00D9350E"/>
    <w:rsid w:val="00D9775B"/>
    <w:rsid w:val="00DA7009"/>
    <w:rsid w:val="00DB0ECB"/>
    <w:rsid w:val="00DC1B70"/>
    <w:rsid w:val="00DC2F59"/>
    <w:rsid w:val="00DC34C8"/>
    <w:rsid w:val="00DC3C33"/>
    <w:rsid w:val="00DC4F45"/>
    <w:rsid w:val="00DD0D8C"/>
    <w:rsid w:val="00DF5562"/>
    <w:rsid w:val="00E2682B"/>
    <w:rsid w:val="00E27CF5"/>
    <w:rsid w:val="00E34A0D"/>
    <w:rsid w:val="00E4786E"/>
    <w:rsid w:val="00E479F2"/>
    <w:rsid w:val="00E54950"/>
    <w:rsid w:val="00E64355"/>
    <w:rsid w:val="00E768E3"/>
    <w:rsid w:val="00E81A9B"/>
    <w:rsid w:val="00E81E5C"/>
    <w:rsid w:val="00E91441"/>
    <w:rsid w:val="00EA1F6C"/>
    <w:rsid w:val="00EA5409"/>
    <w:rsid w:val="00EB05F5"/>
    <w:rsid w:val="00EB4381"/>
    <w:rsid w:val="00EB5494"/>
    <w:rsid w:val="00EC071C"/>
    <w:rsid w:val="00EC091C"/>
    <w:rsid w:val="00EC16AA"/>
    <w:rsid w:val="00EC1724"/>
    <w:rsid w:val="00EC21B6"/>
    <w:rsid w:val="00EC5724"/>
    <w:rsid w:val="00ED1F8F"/>
    <w:rsid w:val="00ED7772"/>
    <w:rsid w:val="00EE3ADE"/>
    <w:rsid w:val="00EE7593"/>
    <w:rsid w:val="00EE789B"/>
    <w:rsid w:val="00EE7B44"/>
    <w:rsid w:val="00EF6D11"/>
    <w:rsid w:val="00F01019"/>
    <w:rsid w:val="00F06A75"/>
    <w:rsid w:val="00F16842"/>
    <w:rsid w:val="00F1727F"/>
    <w:rsid w:val="00F24A40"/>
    <w:rsid w:val="00F30C03"/>
    <w:rsid w:val="00F32650"/>
    <w:rsid w:val="00F3529B"/>
    <w:rsid w:val="00F35FA2"/>
    <w:rsid w:val="00F463D1"/>
    <w:rsid w:val="00F47220"/>
    <w:rsid w:val="00F52764"/>
    <w:rsid w:val="00F743A5"/>
    <w:rsid w:val="00F82FAE"/>
    <w:rsid w:val="00F91098"/>
    <w:rsid w:val="00F977D5"/>
    <w:rsid w:val="00FA3A4D"/>
    <w:rsid w:val="00FA6EAF"/>
    <w:rsid w:val="00FB0D48"/>
    <w:rsid w:val="00FB2B5E"/>
    <w:rsid w:val="00FB6422"/>
    <w:rsid w:val="00FB66D2"/>
    <w:rsid w:val="00FB7FD6"/>
    <w:rsid w:val="00FC53CA"/>
    <w:rsid w:val="00FC598A"/>
    <w:rsid w:val="00FC7A8A"/>
    <w:rsid w:val="00FD4D7D"/>
    <w:rsid w:val="00FF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3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paragraph" w:customStyle="1" w:styleId="Default">
    <w:name w:val="Default"/>
    <w:rsid w:val="00186C4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6B37A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B3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7543996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103040479">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D8B8-2CF0-4730-A32D-3885F739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3</Pages>
  <Words>932</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Ананьина Екатерина Алекесеевна (Ekaterina Ananina)</cp:lastModifiedBy>
  <cp:revision>39</cp:revision>
  <cp:lastPrinted>2025-01-13T11:35:00Z</cp:lastPrinted>
  <dcterms:created xsi:type="dcterms:W3CDTF">2026-04-23T09:11:00Z</dcterms:created>
  <dcterms:modified xsi:type="dcterms:W3CDTF">2026-06-23T10:17:00Z</dcterms:modified>
</cp:coreProperties>
</file>