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right"/>
        <w:rPr>
          <w:b/>
          <w:bCs/>
          <w:highlight w:val="none"/>
        </w:rPr>
      </w:pPr>
      <w:r>
        <w:rPr>
          <w:b/>
        </w:rPr>
        <w:t xml:space="preserve">Проект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  <w:bCs/>
          <w:highlight w:val="none"/>
        </w:rPr>
      </w:pPr>
      <w:r>
        <w:rPr>
          <w:b/>
        </w:rPr>
        <w:t xml:space="preserve">Государственный контракт</w:t>
      </w:r>
      <w:r>
        <w:rPr>
          <w:b/>
        </w:rPr>
        <w:t xml:space="preserve"> </w:t>
      </w:r>
      <w:r>
        <w:rPr>
          <w:b/>
        </w:rPr>
        <w:t xml:space="preserve">№</w:t>
      </w:r>
      <w:r>
        <w:rPr>
          <w:b/>
        </w:rPr>
        <w:t xml:space="preserve">____</w:t>
      </w:r>
      <w:r>
        <w:rPr>
          <w:b/>
        </w:rPr>
      </w:r>
      <w:r>
        <w:rPr>
          <w:b/>
          <w:bCs/>
          <w:highlight w:val="none"/>
        </w:rPr>
      </w:r>
    </w:p>
    <w:p>
      <w:pPr>
        <w:jc w:val="center"/>
        <w:rPr>
          <w:b/>
          <w:bCs/>
        </w:rPr>
      </w:pPr>
      <w:r>
        <w:rPr>
          <w:b/>
          <w:highlight w:val="none"/>
        </w:rPr>
        <w:t xml:space="preserve">на оказание услуг по дополнительному профессиональному образованию</w:t>
      </w:r>
      <w:r>
        <w:rPr>
          <w:b/>
          <w:highlight w:val="none"/>
        </w:rPr>
      </w:r>
    </w:p>
    <w:p>
      <w:pPr>
        <w:ind w:left="0" w:right="0" w:firstLine="709"/>
        <w:jc w:val="center"/>
        <w:spacing w:after="0" w:line="240" w:lineRule="auto"/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612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90112783129010100100060000000244</w:t>
      </w:r>
      <w:r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</w:r>
    </w:p>
    <w:p>
      <w:r/>
      <w:r/>
    </w:p>
    <w:p>
      <w:r>
        <w:t xml:space="preserve">г.</w:t>
      </w:r>
      <w:r>
        <w:t xml:space="preserve"> Архангельск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MERGEFIELD "R_DAT_DOG" </w:instrText>
      </w:r>
      <w:r>
        <w:fldChar w:fldCharType="separate"/>
      </w:r>
      <w:r>
        <w:t xml:space="preserve">"</w:t>
      </w:r>
      <w:r>
        <w:t xml:space="preserve">____</w:t>
      </w:r>
      <w:r>
        <w:t xml:space="preserve">"</w:t>
      </w:r>
      <w:r>
        <w:t xml:space="preserve"> __________</w:t>
      </w:r>
      <w:r>
        <w:t xml:space="preserve">  20</w:t>
      </w:r>
      <w:r>
        <w:t xml:space="preserve">26</w:t>
      </w:r>
      <w:r>
        <w:t xml:space="preserve"> г</w:t>
      </w:r>
      <w:r>
        <w:t xml:space="preserve">ода</w:t>
      </w:r>
      <w:r>
        <w:fldChar w:fldCharType="end"/>
      </w:r>
      <w:r/>
    </w:p>
    <w:p>
      <w:r/>
      <w:r/>
    </w:p>
    <w:p>
      <w:pPr>
        <w:ind w:firstLine="709"/>
        <w:jc w:val="both"/>
        <w:rPr>
          <w:vertAlign w:val="subscript"/>
        </w:rPr>
      </w:pPr>
      <w:r>
        <w:rPr>
          <w:b/>
          <w:bCs/>
        </w:rPr>
        <w:t xml:space="preserve">Северное межрегиональное управление Федеральной службы по надзору в сфере природопользования (Северное межрегиональное управление Росприроднадзора)</w:t>
      </w:r>
      <w:r>
        <w:rPr>
          <w:bCs/>
        </w:rPr>
        <w:t xml:space="preserve">, именуемое в дальнейшем «Заказчик», в лице</w:t>
      </w:r>
      <w:r>
        <w:rPr>
          <w:bCs/>
        </w:rPr>
        <w:t xml:space="preserve"> _____________________________________, действующего на основании _____________________________</w:t>
      </w:r>
      <w:r>
        <w:rPr>
          <w:bCs/>
        </w:rPr>
        <w:t xml:space="preserve">, с одной стороны</w:t>
      </w:r>
      <w:r>
        <w:t xml:space="preserve"> </w:t>
      </w:r>
      <w:r>
        <w:t xml:space="preserve">и </w:t>
      </w:r>
      <w:bookmarkStart w:id="0" w:name="_GoBack"/>
      <w:r>
        <w:rPr>
          <w:b/>
        </w:rPr>
        <w:t xml:space="preserve">_____________________ </w:t>
      </w:r>
      <w:r>
        <w:t xml:space="preserve">на основании </w:t>
      </w:r>
      <w:r>
        <w:t xml:space="preserve">лицензии </w:t>
      </w:r>
      <w:bookmarkEnd w:id="0"/>
      <w:r>
        <w:rPr>
          <w:color w:val="000000"/>
          <w:sz w:val="20"/>
          <w:szCs w:val="20"/>
        </w:rPr>
        <w:t xml:space="preserve">__________________</w:t>
      </w:r>
      <w:r>
        <w:rPr>
          <w:color w:val="000000"/>
          <w:sz w:val="20"/>
          <w:szCs w:val="20"/>
        </w:rPr>
        <w:t xml:space="preserve"> от </w:t>
      </w:r>
      <w:r>
        <w:rPr>
          <w:sz w:val="20"/>
          <w:szCs w:val="20"/>
        </w:rPr>
        <w:t xml:space="preserve">______________________</w:t>
      </w:r>
      <w:r>
        <w:t xml:space="preserve">, </w:t>
      </w:r>
      <w:r>
        <w:t xml:space="preserve">в лице</w:t>
      </w:r>
      <w:r>
        <w:t xml:space="preserve"> </w:t>
      </w:r>
      <w:r>
        <w:t xml:space="preserve">_______________________</w:t>
      </w:r>
      <w:r>
        <w:t xml:space="preserve">,</w:t>
      </w:r>
      <w:r>
        <w:t xml:space="preserve"> действующий на основании </w:t>
      </w:r>
      <w:r>
        <w:t xml:space="preserve">______________</w:t>
      </w:r>
      <w:r>
        <w:t xml:space="preserve">,</w:t>
      </w:r>
      <w:r>
        <w:t xml:space="preserve"> именуемый в дальнейшем «Исполнитель»</w:t>
      </w:r>
      <w:r>
        <w:rPr>
          <w:b/>
        </w:rPr>
        <w:t xml:space="preserve">,</w:t>
      </w:r>
      <w:r>
        <w:t xml:space="preserve"> с другой стороны, вместе именуемые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,</w:t>
      </w:r>
      <w:r>
        <w:t xml:space="preserve">заключили настоящий </w:t>
      </w:r>
      <w:r>
        <w:t xml:space="preserve">Контракт</w:t>
      </w:r>
      <w:r>
        <w:t xml:space="preserve"> о нижеследующем:</w:t>
      </w:r>
      <w:r>
        <w:rPr>
          <w:vertAlign w:val="subscript"/>
        </w:rPr>
      </w:r>
      <w:r>
        <w:rPr>
          <w:vertAlign w:val="subscript"/>
        </w:rPr>
      </w:r>
    </w:p>
    <w:p>
      <w:pPr>
        <w:ind w:left="142"/>
        <w:jc w:val="both"/>
      </w:pPr>
      <w:r/>
      <w:r/>
    </w:p>
    <w:p>
      <w:pPr>
        <w:pStyle w:val="1039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ПРЕДМЕТ </w:t>
      </w:r>
      <w:r>
        <w:rPr>
          <w:b/>
        </w:rPr>
        <w:t xml:space="preserve">КОНТРАКТ</w:t>
      </w:r>
      <w:r>
        <w:rPr>
          <w:b/>
        </w:rPr>
        <w:t xml:space="preserve">А</w:t>
      </w:r>
      <w:r>
        <w:rPr>
          <w:b/>
        </w:rPr>
      </w:r>
      <w:r>
        <w:rPr>
          <w:b/>
        </w:rPr>
      </w:r>
    </w:p>
    <w:p>
      <w:pPr>
        <w:pStyle w:val="1039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t xml:space="preserve">  Заказчик поручает, а Исполнитель принимает на себя обязательства на о</w:t>
      </w:r>
      <w:r>
        <w:t xml:space="preserve">казание услуг по </w:t>
      </w:r>
      <w:r>
        <w:rPr>
          <w:b w:val="0"/>
          <w:bCs w:val="0"/>
          <w:i w:val="0"/>
          <w:iCs w:val="0"/>
          <w:highlight w:val="none"/>
        </w:rPr>
        <w:t xml:space="preserve">дополнительному профессиональному образованию</w:t>
      </w:r>
      <w:r>
        <w:rPr>
          <w:b w:val="0"/>
          <w:bCs w:val="0"/>
          <w:i w:val="0"/>
          <w:iCs w:val="0"/>
        </w:rPr>
        <w:t xml:space="preserve"> по</w:t>
      </w:r>
      <w:r>
        <w:t xml:space="preserve"> программам «Общие вопросы охраны труда и функционирования системы управления охраной труда» (модуль А), «Безопасные методы и приемы выполнения работ при воздействии вредных и (или) опасных производственных факторов, </w:t>
      </w:r>
      <w:r>
        <w:t xml:space="preserve">источников опасности, идентифицированных в рамках специальной оценки условий труда и оценки профессиональных рисков» (модуль Б)</w:t>
      </w:r>
      <w:r>
        <w:t xml:space="preserve"> </w:t>
      </w:r>
      <w:r>
        <w:t xml:space="preserve">федерального</w:t>
      </w:r>
      <w:r>
        <w:t xml:space="preserve"> </w:t>
      </w:r>
      <w:r>
        <w:t xml:space="preserve">государственного гражданского служащего</w:t>
      </w:r>
      <w:r>
        <w:t xml:space="preserve"> </w:t>
      </w:r>
      <w:r>
        <w:t xml:space="preserve">(далее - гражданский  служащий Северного межрегионально</w:t>
      </w:r>
      <w:r>
        <w:t xml:space="preserve">го управления Росприроднадзора.</w:t>
      </w:r>
      <w:r/>
    </w:p>
    <w:tbl>
      <w:tblPr>
        <w:tblStyle w:val="1026"/>
        <w:tblW w:w="0" w:type="auto"/>
        <w:jc w:val="center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802"/>
        <w:gridCol w:w="5153"/>
      </w:tblGrid>
      <w:tr>
        <w:tblPrEx/>
        <w:trPr>
          <w:jc w:val="center"/>
        </w:trPr>
        <w:tc>
          <w:tcPr>
            <w:tcBorders>
              <w:bottom w:val="none" w:color="000000" w:sz="4" w:space="0"/>
              <w:right w:val="none" w:color="000000" w:sz="4" w:space="0"/>
            </w:tcBorders>
            <w:tcW w:w="2802" w:type="dxa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b/>
              </w:rPr>
            </w:pPr>
            <w:r>
              <w:rPr>
                <w:b/>
              </w:rPr>
              <w:t xml:space="preserve">Форма обучения –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none" w:color="000000" w:sz="4" w:space="0"/>
            </w:tcBorders>
            <w:tcW w:w="5153" w:type="dxa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b/>
              </w:rPr>
            </w:pPr>
            <w:r>
              <w:rPr>
                <w:b/>
              </w:rPr>
              <w:t xml:space="preserve">дистанционная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both"/>
        <w:tabs>
          <w:tab w:val="left" w:pos="709" w:leader="none"/>
        </w:tabs>
      </w:pPr>
      <w:r>
        <w:t xml:space="preserve">в соответ</w:t>
      </w:r>
      <w:r>
        <w:t xml:space="preserve">ствии </w:t>
      </w:r>
      <w:r>
        <w:t xml:space="preserve">с учебными планами </w:t>
      </w:r>
      <w:r>
        <w:t xml:space="preserve">программам «Общие вопросы охраны труда и функционирования системы управления охраной труда» (модуль А), «Безопасные методы и приемы выполнения работ при воздействии вредных и (или) опасных производственных факторов, </w:t>
      </w:r>
      <w:r>
        <w:t xml:space="preserve">источников опасности, идентифицированных в рамках специальной оценки условий труда и оценки профессиональных рисков» (модуль Б)</w:t>
      </w:r>
      <w:r>
        <w:t xml:space="preserve"> </w:t>
      </w:r>
      <w:r>
        <w:rPr>
          <w:b/>
        </w:rPr>
        <w:t xml:space="preserve">о</w:t>
      </w:r>
      <w:r>
        <w:rPr>
          <w:b/>
        </w:rPr>
        <w:t xml:space="preserve">бъемом</w:t>
      </w:r>
      <w:r>
        <w:rPr>
          <w:b/>
        </w:rPr>
        <w:t xml:space="preserve"> по ____ часов каждая </w:t>
      </w:r>
      <w:r>
        <w:rPr>
          <w:b/>
        </w:rPr>
        <w:t xml:space="preserve"> </w:t>
      </w:r>
      <w:r>
        <w:t xml:space="preserve">с</w:t>
      </w:r>
      <w:r>
        <w:rPr>
          <w:highlight w:val="white"/>
        </w:rPr>
        <w:t xml:space="preserve">огласно приложению </w:t>
      </w:r>
      <w:r>
        <w:rPr>
          <w:highlight w:val="white"/>
        </w:rPr>
        <w:t xml:space="preserve">№ 2</w:t>
      </w:r>
      <w:r>
        <w:rPr>
          <w:highlight w:val="white"/>
        </w:rPr>
        <w:t xml:space="preserve"> к Контракту (далее - Услуги) </w:t>
      </w:r>
      <w:r>
        <w:rPr>
          <w:highlight w:val="white"/>
        </w:rPr>
        <w:t xml:space="preserve">(далее – Образовательные программы)</w:t>
      </w:r>
      <w:r>
        <w:rPr>
          <w:highlight w:val="white"/>
        </w:rPr>
        <w:t xml:space="preserve">.</w:t>
      </w:r>
      <w:r>
        <w:rPr>
          <w:highlight w:val="white"/>
        </w:rPr>
      </w:r>
      <w:r/>
    </w:p>
    <w:p>
      <w:pPr>
        <w:pStyle w:val="1039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rPr>
          <w:highlight w:val="white"/>
        </w:rPr>
        <w:t xml:space="preserve">Количество гражданских сл</w:t>
      </w:r>
      <w:r>
        <w:rPr>
          <w:highlight w:val="white"/>
        </w:rPr>
        <w:t xml:space="preserve">ужащих, подлежащих обучению </w:t>
      </w:r>
      <w:r>
        <w:rPr>
          <w:szCs w:val="28"/>
        </w:rPr>
        <w:t xml:space="preserve">-</w:t>
      </w:r>
      <w:r>
        <w:t xml:space="preserve"> 1 (Один) человек</w:t>
      </w:r>
      <w:r>
        <w:t xml:space="preserve"> </w:t>
      </w:r>
      <w:r/>
    </w:p>
    <w:p>
      <w:pPr>
        <w:pStyle w:val="1039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t xml:space="preserve">Требования к содержанию и объему оказываемых Услуг, а также иные условия оказания Услуг определяются </w:t>
      </w:r>
      <w:r>
        <w:t xml:space="preserve">Техническим заданием</w:t>
      </w:r>
      <w:r>
        <w:t xml:space="preserve"> (Приложение № 2</w:t>
      </w:r>
      <w:r>
        <w:t xml:space="preserve"> к Контракту) </w:t>
      </w:r>
      <w:r/>
    </w:p>
    <w:p>
      <w:pPr>
        <w:pStyle w:val="1039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t xml:space="preserve">Сроки оказания Услуг:</w:t>
      </w:r>
      <w:r/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Начальный срок оказания Услуг: с ____________</w:t>
      </w:r>
      <w:r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Конечный срок оказания Услуг: ___________</w:t>
      </w:r>
      <w:r>
        <w:rPr>
          <w:sz w:val="24"/>
          <w:szCs w:val="24"/>
        </w:rPr>
        <w:t xml:space="preserve"> года.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9"/>
        <w:numPr>
          <w:ilvl w:val="1"/>
          <w:numId w:val="10"/>
        </w:numPr>
        <w:ind w:left="0" w:firstLine="709"/>
        <w:jc w:val="both"/>
        <w:tabs>
          <w:tab w:val="left" w:pos="709" w:leader="none"/>
        </w:tabs>
        <w:rPr>
          <w:color w:val="ff0000"/>
        </w:rPr>
      </w:pPr>
      <w:r>
        <w:t xml:space="preserve">Место оказания Услуг г. __________________</w:t>
      </w:r>
      <w:r>
        <w:t xml:space="preserve">.</w:t>
      </w:r>
      <w:r>
        <w:t xml:space="preserve"> </w:t>
      </w:r>
      <w:r>
        <w:rPr>
          <w:color w:val="ff0000"/>
        </w:rPr>
      </w:r>
      <w:r>
        <w:rPr>
          <w:color w:val="ff0000"/>
        </w:rPr>
      </w:r>
    </w:p>
    <w:p>
      <w:pPr>
        <w:ind w:left="720" w:firstLine="0"/>
        <w:jc w:val="both"/>
        <w:tabs>
          <w:tab w:val="left" w:pos="709" w:leader="none"/>
        </w:tabs>
        <w:rPr>
          <w:color w:val="ff0000"/>
        </w:rPr>
      </w:pPr>
      <w:r>
        <w:rPr>
          <w:highlight w:val="none"/>
        </w:rPr>
      </w:r>
      <w:r>
        <w:rPr>
          <w:color w:val="ff0000"/>
        </w:rPr>
      </w:r>
      <w:r>
        <w:rPr>
          <w:color w:val="ff0000"/>
        </w:rPr>
      </w:r>
    </w:p>
    <w:p>
      <w:pPr>
        <w:pStyle w:val="1039"/>
        <w:numPr>
          <w:ilvl w:val="0"/>
          <w:numId w:val="10"/>
        </w:numPr>
        <w:jc w:val="center"/>
        <w:tabs>
          <w:tab w:val="left" w:pos="709" w:leader="none"/>
        </w:tabs>
        <w:rPr>
          <w:b/>
        </w:rPr>
      </w:pPr>
      <w:r>
        <w:rPr>
          <w:b/>
        </w:rPr>
        <w:t xml:space="preserve">ЦЕНА КОНТРАКТА И ПОРЯДОК РАСЧЕТОВ</w:t>
      </w:r>
      <w:r>
        <w:rPr>
          <w:b/>
        </w:rPr>
      </w:r>
      <w:r>
        <w:rPr>
          <w:b/>
        </w:rPr>
      </w:r>
    </w:p>
    <w:p>
      <w:pPr>
        <w:pStyle w:val="1046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Цена Контракта устанавливается в российских рублях.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Цена Контракта в соответствии с расчетом (Приложение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к Контракту) составляет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___________________</w:t>
      </w:r>
      <w:r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 копеек и в соответствии с подпунктом 14 пункта 2 статьи 149 Налогового кодекса Российской Федерации налогом на добавленную стоимость не облагается.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Цена Контракта является твердой и не подлежит изменению в течение срока действия Контракта,</w:t>
      </w:r>
      <w:r>
        <w:rPr>
          <w:sz w:val="24"/>
          <w:szCs w:val="24"/>
        </w:rPr>
        <w:t xml:space="preserve"> за исключением случаев, предусмотренных Федеральный закон № 44-ФЗ,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</w:t>
      </w:r>
      <w:r>
        <w:rPr>
          <w:sz w:val="24"/>
          <w:szCs w:val="24"/>
        </w:rPr>
        <w:t xml:space="preserve">процентов по предложению Заказчика.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В цену Контракта входят все расходы, связанные с выполнением Исполнителем обязатель</w:t>
      </w:r>
      <w:r>
        <w:rPr>
          <w:sz w:val="24"/>
          <w:szCs w:val="24"/>
        </w:rPr>
        <w:t xml:space="preserve">ств по Контракту,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710"/>
        <w:jc w:val="both"/>
      </w:pPr>
      <w:r>
        <w:t xml:space="preserve">2.5. Оплата Услуг по </w:t>
      </w:r>
      <w:r>
        <w:t xml:space="preserve">Контракт</w:t>
      </w:r>
      <w:r>
        <w:t xml:space="preserve">у осуществляется за сче</w:t>
      </w:r>
      <w:r>
        <w:t xml:space="preserve">т средств федерального бюджета.</w:t>
      </w:r>
      <w:r/>
    </w:p>
    <w:p>
      <w:pPr>
        <w:pStyle w:val="1033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Оплата Услуг производится в форме безналичных расчетов.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Оплата оказанных Исполнителем Услуг осуществляется Заказчиком в следующем порядке: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авансовый платеж в размере 100% от цены </w:t>
      </w:r>
      <w:r>
        <w:rPr>
          <w:sz w:val="24"/>
          <w:szCs w:val="24"/>
        </w:rPr>
        <w:t xml:space="preserve">Контракт</w:t>
      </w:r>
      <w:r>
        <w:rPr>
          <w:sz w:val="24"/>
          <w:szCs w:val="24"/>
        </w:rPr>
        <w:t xml:space="preserve">а производится Заказчиком в течение 10 (десяти) рабочих дней после представления Исполнителем счета на авансовый платеж;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В случае невозможности исполнения по вине Заказчика, оплате подлежат только фактически оказанные Исполнителем по Контракту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2.9. В случае отчисления гражданского служащего по причинам, указ</w:t>
      </w:r>
      <w:r>
        <w:rPr>
          <w:sz w:val="24"/>
          <w:szCs w:val="24"/>
          <w:highlight w:val="white"/>
        </w:rPr>
        <w:t xml:space="preserve">анным в подпункте </w:t>
      </w:r>
      <w:r>
        <w:rPr>
          <w:sz w:val="24"/>
          <w:szCs w:val="24"/>
          <w:highlight w:val="white"/>
        </w:rPr>
        <w:t xml:space="preserve">"а" пункта 3.4 </w:t>
      </w:r>
      <w:r>
        <w:rPr>
          <w:sz w:val="24"/>
          <w:szCs w:val="24"/>
          <w:highlight w:val="white"/>
        </w:rPr>
        <w:t xml:space="preserve">Контракта, услуги Исполнителя оплачиваются в объеме, равном фактически оказанным Услугам.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2.10. Датой оплаты оказанных Услуг считается дата списания денежных средств со счет</w:t>
      </w:r>
      <w:r>
        <w:rPr>
          <w:sz w:val="24"/>
          <w:szCs w:val="24"/>
        </w:rPr>
        <w:t xml:space="preserve">а Заказчика (лицевого счета получателя средств федерального бюджета).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  <w:color w:val="ff0000"/>
        </w:rPr>
        <w:outlineLvl w:val="0"/>
      </w:pPr>
      <w:r>
        <w:rPr>
          <w:b/>
          <w:color w:val="ff0000"/>
        </w:rPr>
      </w:r>
      <w:r>
        <w:rPr>
          <w:b/>
          <w:color w:val="ff0000"/>
        </w:rPr>
      </w:r>
      <w:r>
        <w:rPr>
          <w:b/>
          <w:color w:val="ff0000"/>
        </w:rPr>
      </w:r>
    </w:p>
    <w:p>
      <w:pPr>
        <w:jc w:val="center"/>
        <w:rPr>
          <w:b/>
        </w:rPr>
        <w:outlineLvl w:val="0"/>
      </w:pPr>
      <w:r>
        <w:rPr>
          <w:b/>
        </w:rPr>
        <w:t xml:space="preserve">3</w:t>
      </w:r>
      <w:r>
        <w:rPr>
          <w:b/>
        </w:rPr>
        <w:t xml:space="preserve">. </w:t>
      </w:r>
      <w:r>
        <w:rPr>
          <w:b/>
        </w:rPr>
        <w:t xml:space="preserve">ВЗАИМОДЕЙСТВИЕ СТОРОН</w:t>
      </w:r>
      <w:r>
        <w:rPr>
          <w:b/>
        </w:rPr>
      </w:r>
      <w:r>
        <w:rPr>
          <w:b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Заказчик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) своевременно направлять гражданского служащего на обучение и прохождение итоговой аттестации;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</w:t>
      </w:r>
      <w:r>
        <w:rPr>
          <w:sz w:val="24"/>
          <w:szCs w:val="24"/>
        </w:rPr>
        <w:t xml:space="preserve">) обеспечить приемку Услуг, оказанных Исполнителем, в соответствии с разделом 4 Контракта и при отсутствии претензий относительно их объема, качества и соблюдения сроков их оказания подписать Акт сдачи-приемки оказанных услуг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контролировать качество образовательных услуг, оказыва</w:t>
      </w:r>
      <w:r>
        <w:rPr>
          <w:sz w:val="24"/>
          <w:szCs w:val="24"/>
        </w:rPr>
        <w:t xml:space="preserve">емых Исполнителем в соответстви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с Заказом на оказание услуг;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направлять Исполнителю запросы о ходе исполнения настоящего Контракта с целью контроля оказываемых 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Исполнитель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организовать учебный процесс в соответствии с Заказом на оказание услуг и обеспечивать необходимые условия для </w:t>
      </w:r>
      <w:r>
        <w:rPr>
          <w:sz w:val="24"/>
          <w:szCs w:val="24"/>
        </w:rPr>
        <w:t xml:space="preserve">освоения гражданскими служащими Программы;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обеспечить принимаемого на обучение гражданского служащего учебно-методическими материалами, необходимыми для учебного процесса;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в) провести по итогам обучения итоговую аттестацию гражданского служащего, прошедшего обучение.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Гражданскому</w:t>
      </w:r>
      <w:r>
        <w:rPr>
          <w:sz w:val="24"/>
          <w:szCs w:val="24"/>
        </w:rPr>
        <w:t xml:space="preserve"> служащему, прошедшему итоговую</w:t>
      </w:r>
      <w:r>
        <w:rPr>
          <w:sz w:val="24"/>
          <w:szCs w:val="24"/>
        </w:rPr>
        <w:t xml:space="preserve"> аттестацию, </w:t>
      </w:r>
      <w:r>
        <w:rPr>
          <w:sz w:val="24"/>
          <w:szCs w:val="24"/>
        </w:rPr>
        <w:t xml:space="preserve">выдать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протокол с регистрационным номером записи о прохождении проверки знания требованиям охраны труда в реестре обученных лиц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удостоверение о повышении квалификации.</w:t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</w:r>
    </w:p>
    <w:p>
      <w:pPr>
        <w:pStyle w:val="1046"/>
        <w:ind w:left="142" w:firstLine="540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д) 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Исполнитель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/>
      <w:bookmarkStart w:id="1" w:name="P167"/>
      <w:r/>
      <w:bookmarkEnd w:id="1"/>
      <w:r>
        <w:rPr>
          <w:sz w:val="24"/>
          <w:szCs w:val="24"/>
        </w:rPr>
        <w:t xml:space="preserve">а) отчислять гражданских служащих, проходящих обучение, по основаниям, предусмотренным в уставе образовательной организации, в том числе в случае грубых и</w:t>
      </w:r>
      <w:r>
        <w:rPr>
          <w:sz w:val="24"/>
          <w:szCs w:val="24"/>
        </w:rPr>
        <w:t xml:space="preserve">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Заказом на оказание услуг, о чем Заказчик информируется в трехдневный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046"/>
        <w:ind w:left="142"/>
        <w:jc w:val="center"/>
        <w:rPr>
          <w:b/>
          <w:bCs/>
          <w:sz w:val="24"/>
          <w:szCs w:val="24"/>
          <w:highlight w:val="none"/>
        </w:rPr>
        <w:outlineLvl w:val="1"/>
      </w:pPr>
      <w:r>
        <w:rPr>
          <w:b/>
          <w:sz w:val="24"/>
          <w:szCs w:val="24"/>
        </w:rPr>
        <w:t xml:space="preserve">4. ПОРЯДОК СДАЧИ И ПРИЕМКИ ОКАЗАННЫХ УСЛУГ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1046"/>
        <w:ind w:left="142"/>
        <w:jc w:val="center"/>
        <w:rPr>
          <w:b/>
          <w:bCs/>
          <w:sz w:val="24"/>
          <w:szCs w:val="24"/>
        </w:rPr>
        <w:outlineLvl w:val="1"/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Исполнитель в соответствии с условиями Контракта обязан своевременн</w:t>
      </w:r>
      <w:r>
        <w:rPr>
          <w:sz w:val="24"/>
          <w:szCs w:val="24"/>
        </w:rPr>
        <w:t xml:space="preserve">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предусмотренных </w:t>
      </w:r>
      <w:r>
        <w:rPr>
          <w:sz w:val="24"/>
          <w:szCs w:val="24"/>
        </w:rPr>
        <w:t xml:space="preserve">Контрактом, при этом Заказчик обязан обеспечить приемку оказанных Услуг в соответствии с Федеральным законом № 44-ФЗ.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Для проверки предоставленных Исполнителем результатов обучения,</w:t>
      </w:r>
      <w:r>
        <w:rPr>
          <w:sz w:val="24"/>
          <w:szCs w:val="24"/>
        </w:rPr>
        <w:t xml:space="preserve">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Для проведения экспертизы результатов, предусмотренных Контрактом, эксперты, экспертные организации имеют право запрашивать у Заказчика и Исполнителя дополнительные материалы, о</w:t>
      </w:r>
      <w:r>
        <w:rPr>
          <w:sz w:val="24"/>
          <w:szCs w:val="24"/>
        </w:rPr>
        <w:t xml:space="preserve">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</w:t>
      </w:r>
      <w:r>
        <w:rPr>
          <w:sz w:val="24"/>
          <w:szCs w:val="24"/>
        </w:rPr>
        <w:t xml:space="preserve">там такой экспертизы установлены нарушения требований Контракта, не препятствующие приемке услуг, оказанных в соответствии с Контрактом,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По решению Заказчика для приемки услуг, оказанных в соответствии с Контрактом, может создаваться приемочная комиссия.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>
        <w:rPr>
          <w:sz w:val="24"/>
          <w:szCs w:val="24"/>
        </w:rPr>
        <w:t xml:space="preserve">По окончании оказания Услуг в течение 5 (пяти) рабочих дней Исполнитель </w:t>
      </w:r>
      <w:r>
        <w:rPr>
          <w:sz w:val="24"/>
          <w:szCs w:val="24"/>
        </w:rPr>
        <w:t xml:space="preserve">направляет в адрес Заказчика Акт сдачи-приемки оказанных 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результатов оказанных в соответствии с Контрактом услуг осуществляется Заказчиком в течение </w:t>
      </w: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десяти</w:t>
      </w:r>
      <w:r>
        <w:rPr>
          <w:sz w:val="24"/>
          <w:szCs w:val="24"/>
        </w:rPr>
        <w:t xml:space="preserve">) рабочих дней со дня получения Акта сдачи-приемки оказанных </w:t>
      </w:r>
      <w:r>
        <w:rPr>
          <w:sz w:val="24"/>
          <w:szCs w:val="24"/>
        </w:rPr>
        <w:t xml:space="preserve">услуг</w:t>
      </w:r>
      <w:r>
        <w:rPr>
          <w:sz w:val="24"/>
          <w:szCs w:val="24"/>
        </w:rPr>
        <w:t xml:space="preserve">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</w:t>
      </w: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Десяти</w:t>
      </w:r>
      <w:r>
        <w:rPr>
          <w:sz w:val="24"/>
          <w:szCs w:val="24"/>
        </w:rPr>
        <w:t xml:space="preserve">) рабочих дней Заказчик</w:t>
      </w:r>
      <w:r>
        <w:rPr>
          <w:sz w:val="24"/>
          <w:szCs w:val="24"/>
        </w:rPr>
        <w:t xml:space="preserve">ом направляется в письменной форме мотивированный отказ от подписания Акта сдачи-приемки оказанных услуг.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</w:t>
      </w:r>
      <w:r>
        <w:rPr>
          <w:sz w:val="24"/>
          <w:szCs w:val="24"/>
        </w:rPr>
        <w:t xml:space="preserve">риемке результатов услуг, предусмотренных государственным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Заказчик в</w:t>
      </w:r>
      <w:r>
        <w:rPr>
          <w:sz w:val="24"/>
          <w:szCs w:val="24"/>
        </w:rPr>
        <w:t xml:space="preserve">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Услуги, предусмотренные </w:t>
      </w:r>
      <w:r>
        <w:rPr>
          <w:sz w:val="24"/>
          <w:szCs w:val="24"/>
        </w:rPr>
        <w:t xml:space="preserve">Контрактом, считаются оказанными с момента подписания Сторонами Акта сдачи-приемки оказанных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046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5. 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5.2. В случае просрочки исполнения Исполнителем обязательств, предусмотренных Контрактом, Заказчик направляет Исполнителю требование об уплате пени.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t xml:space="preserve">Пеня начисляется за каждый день просрочки исполнения Исполнителем обязате</w:t>
      </w:r>
      <w:r>
        <w:t xml:space="preserve">льства, предусмотренного Контрактом, начиная со дня, следующего за днем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</w:t>
      </w:r>
      <w:r>
        <w:t xml:space="preserve">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5.3. В </w:t>
      </w:r>
      <w:r>
        <w:rPr>
          <w:lang w:eastAsia="en-US"/>
        </w:rPr>
        <w:t xml:space="preserve">случае неисполнения или ненадлежащего исполнения Исполнителем обязательств, предусмотренных Контрактом (за исключением просрочки исполнения Исполнителем обязательств, предусмотренных Контрактом), Заказчик направляет Исполнителю требование об уплате штрафа.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/>
      <w:bookmarkStart w:id="2" w:name="Par1145"/>
      <w:r/>
      <w:bookmarkEnd w:id="2"/>
      <w:r>
        <w:t xml:space="preserve">5</w:t>
      </w:r>
      <w:r>
        <w:rPr>
          <w:lang w:eastAsia="en-US"/>
        </w:rPr>
        <w:t xml:space="preserve">.4. За </w:t>
      </w:r>
      <w:r>
        <w:rPr>
          <w:lang w:eastAsia="en-US"/>
        </w:rPr>
        <w:t xml:space="preserve">каждый факт неисполнения или ненадлежащего исполнения Исполнителем обязательств, предусмотренных Контрактом, (за исключением просрочки исполнения Исполнителем обязательств, предусмотренных Контрактом), размер штрафа определяется в соответствии с Правилами </w:t>
      </w:r>
      <w:r>
        <w:rPr>
          <w:rFonts w:eastAsia="Calibri"/>
        </w:rPr>
        <w:t xml:space="preserve"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</w:t>
      </w:r>
      <w:r>
        <w:rPr>
          <w:rFonts w:eastAsia="Calibri"/>
        </w:rPr>
        <w:t xml:space="preserve">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№ 1042 (далее – Правила)</w:t>
      </w:r>
      <w:r>
        <w:rPr>
          <w:lang w:eastAsia="en-US"/>
        </w:rPr>
        <w:t xml:space="preserve">, что составляет </w:t>
      </w:r>
      <w:r>
        <w:rPr>
          <w:lang w:eastAsia="en-US"/>
        </w:rPr>
        <w:t xml:space="preserve">10% от цены Контракта</w:t>
      </w:r>
      <w:r>
        <w:rPr>
          <w:lang w:eastAsia="en-US"/>
        </w:rPr>
        <w:t xml:space="preserve">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5.5.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</w:t>
      </w:r>
      <w:r>
        <w:rPr>
          <w:lang w:eastAsia="en-US"/>
        </w:rPr>
        <w:t xml:space="preserve">ствующей на дату уплаты пени ключевой ставки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Контрактом, начиная со дня, следующего за дне</w:t>
      </w:r>
      <w:r>
        <w:rPr>
          <w:lang w:eastAsia="en-US"/>
        </w:rPr>
        <w:t xml:space="preserve">м истечения установленного Контрактом срока исполнения обязательства по оплате оказанных Услуг. В случае нарушения Исполнителем сроков оказания Услуг, предусмотренных Контрактом, Заказчик не несет ответственность, установленную настоящим пунктом Контракта.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5.6. В случае неисполнения Заказчиком обязательств, предусмотренных Контрактом (за исключением просрочки исполнения Заказчиком обязательства по оплате оказанных Услуг), Исполнитель вправе потребов</w:t>
      </w:r>
      <w:r>
        <w:rPr>
          <w:lang w:eastAsia="en-US"/>
        </w:rPr>
        <w:t xml:space="preserve">ать уплаты штрафа. За каждый факт неисполнения Заказчиком обязательств, предусмотренных Контрактом (за исключением просрочки исполнения Заказчиком обязательства по оплате оказанных Услуг) размер штрафа устанавливается в соответствии с Правилами, в размере </w:t>
      </w:r>
      <w:r>
        <w:rPr>
          <w:lang w:eastAsia="en-US"/>
        </w:rPr>
        <w:t xml:space="preserve">1 000 (Одна тысяча) рублей</w:t>
      </w:r>
      <w:r>
        <w:rPr>
          <w:lang w:eastAsia="en-US"/>
        </w:rPr>
        <w:t xml:space="preserve">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</w:pPr>
      <w:r>
        <w:rPr>
          <w:lang w:eastAsia="en-US"/>
        </w:rPr>
        <w:t xml:space="preserve">5.10.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соответствии с Правилами, в размере </w:t>
      </w:r>
      <w:r>
        <w:rPr>
          <w:lang w:eastAsia="en-US"/>
        </w:rPr>
        <w:t xml:space="preserve">1 000 (Одна тысяча) рублей</w:t>
      </w:r>
      <w:r>
        <w:rPr>
          <w:lang w:eastAsia="en-US"/>
        </w:rPr>
        <w:t xml:space="preserve">.</w:t>
      </w:r>
      <w:bookmarkStart w:id="3" w:name="Par1174"/>
      <w:r/>
      <w:bookmarkEnd w:id="3"/>
      <w:r/>
      <w:r/>
    </w:p>
    <w:p>
      <w:pPr>
        <w:pStyle w:val="1046"/>
        <w:ind w:left="142"/>
        <w:jc w:val="both"/>
      </w:pPr>
      <w:r/>
      <w:r/>
    </w:p>
    <w:p>
      <w:pPr>
        <w:pStyle w:val="1046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6</w:t>
      </w:r>
      <w:r>
        <w:rPr>
          <w:b/>
          <w:sz w:val="24"/>
          <w:szCs w:val="24"/>
        </w:rPr>
        <w:t xml:space="preserve">. ОБСТОЯТЕЛЬСТВА НЕПРЕОДОЛИМОЙ СИЛЫ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.1. Ст</w:t>
      </w:r>
      <w:r>
        <w:rPr>
          <w:sz w:val="24"/>
          <w:szCs w:val="24"/>
        </w:rPr>
        <w:t xml:space="preserve">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</w:t>
      </w:r>
      <w:r>
        <w:rPr>
          <w:sz w:val="24"/>
          <w:szCs w:val="24"/>
        </w:rPr>
        <w:t xml:space="preserve">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</w:t>
      </w:r>
      <w:r>
        <w:rPr>
          <w:sz w:val="24"/>
          <w:szCs w:val="24"/>
        </w:rPr>
        <w:t xml:space="preserve">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.2. В</w:t>
      </w:r>
      <w:r>
        <w:rPr>
          <w:sz w:val="24"/>
          <w:szCs w:val="24"/>
        </w:rPr>
        <w:t xml:space="preserve">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.3. Неизвещени</w:t>
      </w:r>
      <w:r>
        <w:rPr>
          <w:sz w:val="24"/>
          <w:szCs w:val="24"/>
        </w:rPr>
        <w:t xml:space="preserve">е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7</w:t>
      </w:r>
      <w:r>
        <w:rPr>
          <w:b/>
          <w:lang w:eastAsia="en-US"/>
        </w:rPr>
        <w:t xml:space="preserve">. КОНФИДЕНЦИАЛЬНОСТЬ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.1. Передача, распространение и обеспечение защиты информации,</w:t>
      </w:r>
      <w:r>
        <w:rPr>
          <w:lang w:eastAsia="en-US"/>
        </w:rPr>
        <w:t xml:space="preserve"> связанной с </w:t>
      </w:r>
      <w:r>
        <w:rPr>
          <w:bCs/>
          <w:lang w:eastAsia="en-US"/>
        </w:rPr>
        <w:t xml:space="preserve">исполнением обязательств по Контракту,</w:t>
      </w:r>
      <w:r>
        <w:rPr>
          <w:lang w:eastAsia="en-US"/>
        </w:rPr>
        <w:t xml:space="preserve"> осуществляется Сторонами с соблюдением требований </w:t>
      </w:r>
      <w:r>
        <w:rPr>
          <w:bCs/>
          <w:lang w:eastAsia="en-US"/>
        </w:rPr>
        <w:t xml:space="preserve">Федерального закона от 27 июля 2006 г. № 149-ФЗ «</w:t>
      </w:r>
      <w:r>
        <w:rPr>
          <w:lang w:eastAsia="en-US"/>
        </w:rPr>
        <w:t xml:space="preserve">Об информации, информационных технологиях и о защите информации».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.2. Принятые Сторонами обязательства по соблюде</w:t>
      </w:r>
      <w:r>
        <w:rPr>
          <w:bCs/>
          <w:lang w:eastAsia="en-US"/>
        </w:rPr>
        <w:t xml:space="preserve">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.3.</w:t>
      </w:r>
      <w:r>
        <w:rPr>
          <w:bCs/>
          <w:lang w:eastAsia="en-US"/>
        </w:rPr>
        <w:t xml:space="preserve">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.4.</w:t>
      </w:r>
      <w:r>
        <w:rPr>
          <w:bCs/>
          <w:lang w:eastAsia="en-US"/>
        </w:rPr>
        <w:t xml:space="preserve"> Исполнитель имеет право снимать копии с документации</w:t>
      </w:r>
      <w:r>
        <w:rPr>
          <w:bCs/>
          <w:lang w:eastAsia="en-US"/>
        </w:rPr>
        <w:t xml:space="preserve">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pStyle w:val="1046"/>
        <w:ind w:left="142" w:firstLine="540"/>
        <w:jc w:val="both"/>
        <w:rPr>
          <w:sz w:val="24"/>
          <w:szCs w:val="24"/>
          <w:highlight w:val="red"/>
        </w:rPr>
      </w:pPr>
      <w:r>
        <w:rPr>
          <w:sz w:val="24"/>
          <w:szCs w:val="24"/>
          <w:highlight w:val="red"/>
        </w:rPr>
      </w:r>
      <w:r>
        <w:rPr>
          <w:sz w:val="24"/>
          <w:szCs w:val="24"/>
          <w:highlight w:val="red"/>
        </w:rPr>
      </w:r>
      <w:r>
        <w:rPr>
          <w:sz w:val="24"/>
          <w:szCs w:val="24"/>
          <w:highlight w:val="red"/>
        </w:rPr>
      </w:r>
    </w:p>
    <w:p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8</w:t>
      </w:r>
      <w:r>
        <w:rPr>
          <w:b/>
          <w:lang w:eastAsia="en-US"/>
        </w:rPr>
        <w:t xml:space="preserve">. АНТИКОРРУПЦИОННАЯ ОГОВОРКА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.1. При исполнении обязательств по Контракту Стороны, их аффилированные лица не выплачивают, н</w:t>
      </w:r>
      <w:r>
        <w:rPr>
          <w:lang w:eastAsia="en-US"/>
        </w:rPr>
        <w:t xml:space="preserve">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.2. При исполнении обязательств по Контракту Стороны, их аффилированные лица не осуществляют действия, квалифицируемые применимы</w:t>
      </w:r>
      <w:r>
        <w:rPr>
          <w:lang w:eastAsia="en-US"/>
        </w:rPr>
        <w:t xml:space="preserve">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раздела </w:t>
      </w:r>
      <w:r>
        <w:rPr>
          <w:lang w:eastAsia="en-US"/>
        </w:rPr>
        <w:t xml:space="preserve">8</w:t>
      </w:r>
      <w:r>
        <w:rPr>
          <w:lang w:eastAsia="en-US"/>
        </w:rPr>
        <w:t xml:space="preserve"> Контракта, соответствующая Сторона обязуется уведомить об этом другую Сторону в письменной форме. Пос</w:t>
      </w:r>
      <w:r>
        <w:rPr>
          <w:lang w:eastAsia="en-US"/>
        </w:rPr>
        <w:t xml:space="preserve">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с даты получения письменного уведомления о нарушении.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В письменном уведомлении другая Сторона обязана сослаться на обоснованные факты или предоставить материалы,</w:t>
      </w:r>
      <w:r>
        <w:rPr>
          <w:lang w:eastAsia="en-US"/>
        </w:rPr>
        <w:t xml:space="preserve"> достоверно подтверждающие или </w:t>
      </w:r>
      <w:r>
        <w:rPr>
          <w:lang w:eastAsia="en-US"/>
        </w:rPr>
        <w:t xml:space="preserve">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</w:t>
      </w:r>
      <w:r>
        <w:rPr>
          <w:lang w:eastAsia="en-US"/>
        </w:rPr>
        <w:t xml:space="preserve">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.4. В случае нарушения одной Стороной обязательств воздержив</w:t>
      </w:r>
      <w:r>
        <w:rPr>
          <w:lang w:eastAsia="en-US"/>
        </w:rPr>
        <w:t xml:space="preserve">аться от запрещенных в разделе </w:t>
      </w:r>
      <w:r>
        <w:rPr>
          <w:lang w:eastAsia="en-US"/>
        </w:rPr>
        <w:t xml:space="preserve">8</w:t>
      </w:r>
      <w:r>
        <w:rPr>
          <w:lang w:eastAsia="en-US"/>
        </w:rPr>
        <w:t xml:space="preserve">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</w:t>
      </w:r>
      <w:r>
        <w:rPr>
          <w:lang w:eastAsia="en-US"/>
        </w:rPr>
        <w:t xml:space="preserve">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1046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9</w:t>
      </w:r>
      <w:r>
        <w:rPr>
          <w:b/>
          <w:sz w:val="24"/>
          <w:szCs w:val="24"/>
        </w:rPr>
        <w:t xml:space="preserve">. СРОК ДЕЙСТВИЯ КОНТРАКТА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</w:pPr>
      <w:r>
        <w:t xml:space="preserve">9</w:t>
      </w:r>
      <w:r>
        <w:t xml:space="preserve">.1.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Настоящий Контра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кт вст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упает в силу с момента его заключения и действует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  <w:t xml:space="preserve">до полного исполнения Сторонами принятых на себя обязательств по настоящему Контракту либо до его расторжения. </w:t>
      </w:r>
      <w:r>
        <w:t xml:space="preserve">.</w:t>
      </w:r>
      <w:r/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.2.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1</w:t>
      </w:r>
      <w:r>
        <w:rPr>
          <w:b/>
          <w:sz w:val="24"/>
          <w:szCs w:val="24"/>
        </w:rPr>
        <w:t xml:space="preserve">0</w:t>
      </w:r>
      <w:r>
        <w:rPr>
          <w:b/>
          <w:sz w:val="24"/>
          <w:szCs w:val="24"/>
        </w:rPr>
        <w:t xml:space="preserve">. ПРОЧИЕ УСЛОВИЯ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.1. Контракт составлен в 2-х экземплярах, идентичных по содержанию и имеющих равную юридическую силу, по одному для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.2. Вопросы, связанные с изменением персонального состава гражданских служащих, направляемых на обучение, могут быть разрешены Сторонами при условии информирования Исполнителя о необходимости таких изменений за 1 неделю до начала занятий.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.3. Во всем, что не предусмотрено Контрактом, Стороны руководствуются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.4.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.5. Все сп</w:t>
      </w:r>
      <w:r>
        <w:rPr>
          <w:sz w:val="24"/>
          <w:szCs w:val="24"/>
        </w:rPr>
        <w:t xml:space="preserve">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.6. Все перечисленные ниже Приложения являются неотъемлемой частью Контракта: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</w:t>
      </w:r>
      <w:r>
        <w:rPr>
          <w:sz w:val="24"/>
          <w:szCs w:val="24"/>
        </w:rPr>
        <w:t xml:space="preserve"> 1 </w:t>
      </w:r>
      <w:r>
        <w:rPr>
          <w:sz w:val="24"/>
          <w:szCs w:val="24"/>
        </w:rPr>
        <w:t xml:space="preserve">– Список обучающихся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6"/>
        <w:ind w:left="142" w:firstLine="540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Техническое задание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на оказание услу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г по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  <w:highlight w:val="none"/>
        </w:rPr>
        <w:t xml:space="preserve">д</w:t>
      </w:r>
      <w:r>
        <w:rPr>
          <w:b w:val="0"/>
          <w:bCs w:val="0"/>
          <w:sz w:val="24"/>
          <w:szCs w:val="24"/>
          <w:highlight w:val="none"/>
        </w:rPr>
        <w:t xml:space="preserve">о</w:t>
      </w:r>
      <w:r>
        <w:rPr>
          <w:b w:val="0"/>
          <w:bCs w:val="0"/>
          <w:sz w:val="24"/>
          <w:szCs w:val="24"/>
          <w:highlight w:val="none"/>
        </w:rPr>
        <w:t xml:space="preserve">полнительному профессиональному образованию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1046"/>
        <w:ind w:left="142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Приложение </w:t>
      </w:r>
      <w:r>
        <w:rPr>
          <w:b w:val="0"/>
          <w:bCs w:val="0"/>
          <w:sz w:val="24"/>
          <w:szCs w:val="24"/>
        </w:rPr>
        <w:t xml:space="preserve">№</w:t>
      </w:r>
      <w:r>
        <w:rPr>
          <w:b w:val="0"/>
          <w:bCs w:val="0"/>
          <w:sz w:val="24"/>
          <w:szCs w:val="24"/>
        </w:rPr>
        <w:t xml:space="preserve"> 3</w:t>
      </w:r>
      <w:r>
        <w:rPr>
          <w:b w:val="0"/>
          <w:bCs w:val="0"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Расчет стоимости услуг;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jc w:val="both"/>
        <w:rPr>
          <w:b w:val="0"/>
          <w:bCs w:val="0"/>
        </w:rPr>
        <w:outlineLvl w:val="0"/>
      </w:pP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center"/>
        <w:rPr>
          <w:b/>
        </w:rPr>
      </w:pPr>
      <w:r>
        <w:rPr>
          <w:b/>
        </w:rPr>
        <w:t xml:space="preserve">1</w:t>
      </w:r>
      <w:r>
        <w:rPr>
          <w:b/>
        </w:rPr>
        <w:t xml:space="preserve">1</w:t>
      </w:r>
      <w:r>
        <w:rPr>
          <w:b/>
        </w:rPr>
        <w:t xml:space="preserve">. АДРЕСА И РЕКВИЗИТЫ </w:t>
      </w:r>
      <w:r>
        <w:rPr>
          <w:b/>
        </w:rPr>
        <w:t xml:space="preserve">СТОРОН</w:t>
      </w:r>
      <w:r>
        <w:rPr>
          <w:b/>
        </w:rPr>
      </w:r>
      <w:r>
        <w:rPr>
          <w:b/>
        </w:rPr>
      </w:r>
    </w:p>
    <w:tbl>
      <w:tblPr>
        <w:tblW w:w="105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103"/>
      </w:tblGrid>
      <w:tr>
        <w:tblPrEx/>
        <w:trPr>
          <w:trHeight w:val="20"/>
        </w:trPr>
        <w:tc>
          <w:tcPr>
            <w:tcW w:w="549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right"/>
        <w:tabs>
          <w:tab w:val="left" w:pos="709" w:leader="none"/>
        </w:tabs>
      </w:pPr>
      <w:r/>
      <w:r/>
    </w:p>
    <w:p>
      <w:r>
        <w:br w:type="page" w:clear="all"/>
      </w:r>
      <w:r/>
    </w:p>
    <w:p>
      <w:pPr>
        <w:jc w:val="right"/>
        <w:tabs>
          <w:tab w:val="left" w:pos="709" w:leader="none"/>
        </w:tabs>
      </w:pPr>
      <w:r>
        <w:t xml:space="preserve">Приложение № 1 к </w:t>
      </w:r>
      <w:r>
        <w:t xml:space="preserve">контракт</w:t>
      </w:r>
      <w:r>
        <w:t xml:space="preserve">у </w:t>
      </w:r>
      <w:r/>
    </w:p>
    <w:p>
      <w:pPr>
        <w:ind w:firstLine="709"/>
        <w:jc w:val="right"/>
        <w:tabs>
          <w:tab w:val="left" w:pos="709" w:leader="none"/>
        </w:tabs>
      </w:pPr>
      <w:r>
        <w:t xml:space="preserve">№ _____ от «___» ________ 2026</w:t>
      </w:r>
      <w:r>
        <w:t xml:space="preserve"> года</w:t>
      </w:r>
      <w:r/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  <w:lang w:eastAsia="en-US"/>
        </w:rPr>
      </w:pPr>
      <w:r>
        <w:rPr>
          <w:b/>
          <w:bCs/>
          <w:lang w:eastAsia="en-US"/>
        </w:rPr>
      </w:r>
      <w:r>
        <w:rPr>
          <w:b/>
          <w:bCs/>
          <w:lang w:eastAsia="en-US"/>
        </w:rPr>
      </w:r>
      <w:r>
        <w:rPr>
          <w:b/>
          <w:bCs/>
          <w:lang w:eastAsia="en-US"/>
        </w:rPr>
      </w:r>
    </w:p>
    <w:p>
      <w:pPr>
        <w:jc w:val="center"/>
        <w:widowControl w:val="off"/>
        <w:rPr>
          <w:b/>
          <w:lang w:eastAsia="en-US"/>
        </w:rPr>
      </w:pPr>
      <w:r>
        <w:rPr>
          <w:b/>
          <w:lang w:eastAsia="en-US"/>
        </w:rPr>
        <w:t xml:space="preserve">Список обучающихся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jc w:val="center"/>
        <w:widowControl w:val="off"/>
        <w:rPr>
          <w:b/>
          <w:lang w:eastAsia="en-US"/>
        </w:rPr>
      </w:pP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1238"/>
        <w:gridCol w:w="4896"/>
        <w:gridCol w:w="2312"/>
        <w:gridCol w:w="225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jc w:val="center"/>
            </w:pPr>
            <w:r>
              <w:t xml:space="preserve">№п/п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>
              <w:t xml:space="preserve">Фамилия, имя, отчество (при наличии)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>
              <w:t xml:space="preserve">Дата рождения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>
              <w:t xml:space="preserve">Образование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tabs>
                <w:tab w:val="center" w:pos="511" w:leader="none"/>
              </w:tabs>
            </w:pPr>
            <w:r>
              <w:tab/>
            </w: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tabs>
                <w:tab w:val="center" w:pos="511" w:leader="none"/>
              </w:tabs>
            </w:pPr>
            <w:r>
              <w:tab/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tabs>
                <w:tab w:val="center" w:pos="511" w:leader="none"/>
              </w:tabs>
            </w:pPr>
            <w:r>
              <w:tab/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</w:tbl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539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both"/>
            </w:pPr>
            <w:r>
              <w:t xml:space="preserve">________________/ </w:t>
            </w:r>
            <w:r>
              <w:rPr>
                <w:b/>
              </w:rPr>
              <w:t xml:space="preserve">______________</w:t>
            </w:r>
            <w:r/>
          </w:p>
          <w:p>
            <w:pPr>
              <w:jc w:val="center"/>
              <w:widowControl w:val="off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____________________/</w:t>
            </w:r>
            <w:r>
              <w:rPr>
                <w:b/>
              </w:rPr>
              <w:t xml:space="preserve"> 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  <w:br w:type="page" w:clear="all"/>
      </w:r>
      <w:r>
        <w:rPr>
          <w:b/>
        </w:rPr>
      </w:r>
      <w:r>
        <w:rPr>
          <w:b/>
        </w:rPr>
      </w:r>
    </w:p>
    <w:p>
      <w:pPr>
        <w:jc w:val="right"/>
        <w:tabs>
          <w:tab w:val="left" w:pos="709" w:leader="none"/>
        </w:tabs>
      </w:pPr>
      <w:r>
        <w:t xml:space="preserve">Приложение № 2 к </w:t>
      </w:r>
      <w:r>
        <w:t xml:space="preserve">контракт</w:t>
      </w:r>
      <w:r>
        <w:t xml:space="preserve">у </w:t>
      </w:r>
      <w:r/>
    </w:p>
    <w:p>
      <w:pPr>
        <w:ind w:firstLine="709"/>
        <w:jc w:val="right"/>
        <w:tabs>
          <w:tab w:val="left" w:pos="709" w:leader="none"/>
        </w:tabs>
      </w:pPr>
      <w:r>
        <w:t xml:space="preserve">№ _____ от «___» ________ 2026</w:t>
      </w:r>
      <w:r>
        <w:t xml:space="preserve"> года</w:t>
      </w:r>
      <w:r/>
    </w:p>
    <w:p>
      <w:pPr>
        <w:rPr>
          <w:b/>
          <w:bCs/>
          <w:lang w:eastAsia="en-US"/>
        </w:rPr>
      </w:pPr>
      <w:r>
        <w:rPr>
          <w:b/>
          <w:bCs/>
          <w:lang w:eastAsia="en-US"/>
        </w:rPr>
      </w:r>
      <w:r>
        <w:rPr>
          <w:b/>
          <w:bCs/>
          <w:lang w:eastAsia="en-US"/>
        </w:rPr>
      </w:r>
      <w:r>
        <w:rPr>
          <w:b/>
          <w:bCs/>
          <w:lang w:eastAsia="en-US"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на оказание ус</w:t>
      </w:r>
      <w:r>
        <w:rPr>
          <w:rFonts w:ascii="Times New Roman" w:hAnsi="Times New Roman" w:eastAsia="Times New Roman" w:cs="Times New Roman"/>
          <w:b/>
          <w:bCs/>
        </w:rPr>
        <w:t xml:space="preserve">лу</w:t>
      </w:r>
      <w:r>
        <w:rPr>
          <w:rFonts w:ascii="Times New Roman" w:hAnsi="Times New Roman" w:eastAsia="Times New Roman" w:cs="Times New Roman"/>
          <w:b/>
          <w:bCs/>
        </w:rPr>
        <w:t xml:space="preserve">г по</w:t>
      </w:r>
      <w:r>
        <w:rPr>
          <w:rFonts w:ascii="Times New Roman" w:hAnsi="Times New Roman" w:eastAsia="Times New Roman" w:cs="Times New Roman"/>
          <w:b/>
          <w:bCs/>
        </w:rPr>
        <w:t xml:space="preserve"> </w:t>
      </w:r>
      <w:r>
        <w:rPr>
          <w:b/>
          <w:bCs/>
        </w:rPr>
      </w:r>
      <w:r>
        <w:rPr>
          <w:b/>
          <w:highlight w:val="none"/>
        </w:rPr>
        <w:t xml:space="preserve">дополнительному профессиональному образованию</w:t>
      </w:r>
      <w:r/>
      <w:r>
        <w:rPr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  <w:t xml:space="preserve">: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W w:w="10555" w:type="dxa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2410"/>
        <w:gridCol w:w="7371"/>
      </w:tblGrid>
      <w:tr>
        <w:tblPrEx/>
        <w:trPr/>
        <w:tc>
          <w:tcPr>
            <w:shd w:val="clear" w:color="auto" w:fill="b8cce4" w:themeFill="accent1" w:themeFillTint="66"/>
            <w:tcW w:w="77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b8cce4" w:themeFill="accent1" w:themeFillTint="66"/>
            <w:tcW w:w="24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Параметры требований к услугам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b8cce4" w:themeFill="accent1" w:themeFillTint="66"/>
            <w:tcW w:w="73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Конкретные требования к услугам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ind w:left="0" w:firstLine="0"/>
              <w:spacing w:after="200" w:line="276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казание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слу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г </w:t>
            </w:r>
            <w:r>
              <w:rPr>
                <w:b w:val="0"/>
                <w:bCs w:val="0"/>
              </w:rPr>
              <w:t xml:space="preserve">по </w:t>
            </w:r>
            <w:r>
              <w:rPr>
                <w:b w:val="0"/>
                <w:bCs w:val="0"/>
                <w:highlight w:val="none"/>
              </w:rPr>
              <w:t xml:space="preserve">дополнительному профессиональному образованию </w:t>
            </w:r>
            <w:r>
              <w:rPr>
                <w:b w:val="0"/>
                <w:bCs w:val="0"/>
              </w:rPr>
              <w:t xml:space="preserve">по пр</w:t>
            </w:r>
            <w:r>
              <w:rPr>
                <w:b w:val="0"/>
                <w:bCs w:val="0"/>
              </w:rPr>
              <w:t xml:space="preserve">ограммам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«</w:t>
            </w:r>
            <w:r>
              <w:rPr>
                <w:b w:val="0"/>
                <w:bCs w:val="0"/>
              </w:rPr>
              <w:t xml:space="preserve">Общие вопросы охраны труда и функционирования системы </w:t>
            </w:r>
            <w:r>
              <w:t xml:space="preserve">управления охраной труда» (модуль А), </w:t>
            </w:r>
            <w:r>
              <w:t xml:space="preserve">«Безопасные методы и приемы выполнения работ при воздействии вредных и (или) опасных производственных факторов, </w:t>
            </w:r>
            <w:r>
              <w:t xml:space="preserve">источников опасности, идентифицированных в рамках специальной оценки условий труда и оценки профессиональных рисков» (модуль Б)</w:t>
            </w:r>
            <w:r/>
            <w:r/>
          </w:p>
        </w:tc>
      </w:tr>
      <w:tr>
        <w:tblPrEx/>
        <w:trPr>
          <w:trHeight w:val="2302"/>
        </w:trPr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Объем 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t xml:space="preserve">Общие вопросы охраны труда и функционирования системы управления охраной труда» (модуль А) __________ часов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t xml:space="preserve">«Безопасные методы и приемы выполнения работ при воздействии вредных и (или) опасных производственных факторов, </w:t>
            </w:r>
            <w:r>
              <w:t xml:space="preserve">источников опасности, идентифицированных в рамках специальной оценки условий труда и оценки профессиональных рисков» (модуль Б)____________часов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 получения обучения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Дистанционная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Срок оказания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9"/>
        </w:trPr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Требования к итоговой аттестации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результатам обучения должна быть проведена итоговая аттестация в виде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       экзамена в форме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51"/>
        </w:trPr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Документы об образовании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результатам успешного прохождения слушателем итоговой аттестации выдается протокол с регистрационным номер записи о прохождении проверки знания требований охраны труда в реестре обученных лиц, удостоверение о повышении квалификации.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Иные требования к услугам и условиям их оказания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 должен иметь уведомление об аккредитации в реестре организаций оказывающих услуги в области  охраны труда,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лицензию на осуществление образовательной деятельности в соответствии с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Федеральным законом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04 мая 2011 года N 99-ФЗ «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О лицензировании отдельных видов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</w:tbl>
    <w:p>
      <w:pPr>
        <w:jc w:val="both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539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both"/>
            </w:pPr>
            <w:r>
              <w:t xml:space="preserve">________________/ </w:t>
            </w:r>
            <w:r>
              <w:rPr>
                <w:b/>
              </w:rPr>
              <w:t xml:space="preserve">______________</w:t>
            </w:r>
            <w:r/>
          </w:p>
          <w:p>
            <w:pPr>
              <w:jc w:val="center"/>
              <w:widowControl w:val="off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____________________/</w:t>
            </w:r>
            <w:r>
              <w:rPr>
                <w:b/>
              </w:rPr>
              <w:t xml:space="preserve"> 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  <w:br w:type="page" w:clear="all"/>
      </w:r>
      <w:r>
        <w:rPr>
          <w:b/>
        </w:rPr>
      </w:r>
      <w:r>
        <w:rPr>
          <w:b/>
        </w:rPr>
      </w:r>
    </w:p>
    <w:p>
      <w:pPr>
        <w:jc w:val="right"/>
        <w:tabs>
          <w:tab w:val="left" w:pos="709" w:leader="none"/>
        </w:tabs>
      </w:pPr>
      <w:r>
        <w:t xml:space="preserve">Приложение № </w:t>
      </w:r>
      <w:r>
        <w:t xml:space="preserve">3</w:t>
      </w:r>
      <w:r>
        <w:t xml:space="preserve"> к </w:t>
      </w:r>
      <w:r>
        <w:t xml:space="preserve">контракт</w:t>
      </w:r>
      <w:r>
        <w:t xml:space="preserve">у </w:t>
      </w:r>
      <w:r/>
    </w:p>
    <w:p>
      <w:pPr>
        <w:ind w:firstLine="709"/>
        <w:jc w:val="right"/>
        <w:tabs>
          <w:tab w:val="left" w:pos="709" w:leader="none"/>
        </w:tabs>
      </w:pPr>
      <w:r>
        <w:t xml:space="preserve">№ _____ от «___» ________ 2026</w:t>
      </w:r>
      <w:r>
        <w:t xml:space="preserve"> года</w:t>
      </w:r>
      <w:r/>
    </w:p>
    <w:p>
      <w:pPr>
        <w:rPr>
          <w:b/>
          <w:bCs/>
          <w:lang w:eastAsia="en-US"/>
        </w:rPr>
      </w:pPr>
      <w:r>
        <w:rPr>
          <w:b/>
          <w:bCs/>
          <w:lang w:eastAsia="en-US"/>
        </w:rPr>
      </w:r>
      <w:r>
        <w:rPr>
          <w:b/>
          <w:bCs/>
          <w:lang w:eastAsia="en-US"/>
        </w:rPr>
      </w:r>
      <w:r>
        <w:rPr>
          <w:b/>
          <w:bCs/>
          <w:lang w:eastAsia="en-US"/>
        </w:rPr>
      </w:r>
    </w:p>
    <w:p>
      <w:pPr>
        <w:jc w:val="center"/>
        <w:rPr>
          <w:b/>
          <w:szCs w:val="22"/>
        </w:rPr>
      </w:pPr>
      <w:r>
        <w:rPr>
          <w:b/>
          <w:szCs w:val="22"/>
        </w:rPr>
        <w:t xml:space="preserve">Расчет стоимости услуг </w:t>
      </w:r>
      <w:r>
        <w:rPr>
          <w:b/>
          <w:szCs w:val="22"/>
        </w:rPr>
      </w:r>
      <w:r>
        <w:rPr>
          <w:b/>
          <w:szCs w:val="22"/>
        </w:rPr>
      </w:r>
    </w:p>
    <w:p>
      <w:pPr>
        <w:rPr>
          <w:szCs w:val="22"/>
        </w:rPr>
      </w:pPr>
      <w:r>
        <w:rPr>
          <w:szCs w:val="22"/>
        </w:rPr>
      </w:r>
      <w:r>
        <w:rPr>
          <w:szCs w:val="22"/>
        </w:rPr>
      </w:r>
      <w:r>
        <w:rPr>
          <w:szCs w:val="22"/>
        </w:rPr>
      </w:r>
    </w:p>
    <w:p>
      <w:pPr>
        <w:rPr>
          <w:szCs w:val="22"/>
        </w:rPr>
      </w:pPr>
      <w:r>
        <w:rPr>
          <w:szCs w:val="22"/>
        </w:rPr>
      </w:r>
      <w:r>
        <w:rPr>
          <w:szCs w:val="22"/>
        </w:rPr>
      </w:r>
      <w:r>
        <w:rPr>
          <w:szCs w:val="22"/>
        </w:rPr>
      </w:r>
    </w:p>
    <w:tbl>
      <w:tblPr>
        <w:tblW w:w="4918" w:type="pct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A0" w:firstRow="1" w:lastRow="0" w:firstColumn="1" w:lastColumn="0" w:noHBand="0" w:noVBand="0"/>
      </w:tblPr>
      <w:tblGrid>
        <w:gridCol w:w="3065"/>
        <w:gridCol w:w="1843"/>
        <w:gridCol w:w="1685"/>
        <w:gridCol w:w="2058"/>
        <w:gridCol w:w="1789"/>
      </w:tblGrid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5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программы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программы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5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федеральных государственных гражданских служащих, подлежащих обучению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8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</w:t>
            </w:r>
            <w:r>
              <w:rPr>
                <w:sz w:val="20"/>
                <w:szCs w:val="20"/>
              </w:rPr>
              <w:t xml:space="preserve">обучения </w:t>
            </w:r>
            <w:r>
              <w:rPr>
                <w:sz w:val="20"/>
                <w:szCs w:val="20"/>
              </w:rPr>
              <w:t xml:space="preserve"> 1 человек</w:t>
            </w:r>
            <w:r>
              <w:rPr>
                <w:sz w:val="20"/>
                <w:szCs w:val="20"/>
              </w:rPr>
              <w:t xml:space="preserve">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стоимость обучения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(часов)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(человек)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(рублей)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(рублей)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>
          <w:trHeight w:val="17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5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 w:val="0"/>
                <w:bCs w:val="0"/>
              </w:rPr>
              <w:t xml:space="preserve">«</w:t>
            </w:r>
            <w:r>
              <w:t xml:space="preserve">Общие вопросы охраны труда и функционирования системы управления охраной труда» (модуль А)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5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«Безопасные методы и приемы выполнения работ при воздействии вредных и (или) опасных производственных факторов, </w:t>
            </w:r>
            <w:r>
              <w:t xml:space="preserve">источников опасности, идентифицированных в рамках специальной оценки условий труда и оценки профессиональных рисков» (модуль Б)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>
          <w:trHeight w:val="20"/>
        </w:trPr>
        <w:tc>
          <w:tcPr>
            <w:gridSpan w:val="4"/>
            <w:tcBorders>
              <w:bottom w:val="single" w:color="auto" w:sz="4" w:space="0"/>
            </w:tcBorders>
            <w:tcW w:w="86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539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both"/>
            </w:pPr>
            <w:r>
              <w:t xml:space="preserve">________________/ </w:t>
            </w:r>
            <w:r>
              <w:rPr>
                <w:b/>
              </w:rPr>
              <w:t xml:space="preserve">______________</w:t>
            </w:r>
            <w:r/>
          </w:p>
          <w:p>
            <w:pPr>
              <w:jc w:val="center"/>
              <w:widowControl w:val="off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____________________/</w:t>
            </w:r>
            <w:r>
              <w:rPr>
                <w:b/>
              </w:rPr>
              <w:t xml:space="preserve">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rPr>
          <w:sz w:val="18"/>
          <w:szCs w:val="18"/>
        </w:rPr>
      </w:pPr>
      <w:r>
        <w:rPr>
          <w:sz w:val="18"/>
          <w:szCs w:val="22"/>
        </w:rPr>
      </w:r>
      <w:r>
        <w:rPr>
          <w:sz w:val="18"/>
          <w:szCs w:val="1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7" w:h="16840" w:orient="portrait"/>
      <w:pgMar w:top="851" w:right="567" w:bottom="709" w:left="851" w:header="284" w:footer="397" w:gutter="0"/>
      <w:pgNumType w:start="1"/>
      <w:cols w:num="1" w:sep="0" w:space="454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 Narrow">
    <w:panose1 w:val="020B0604020202020204"/>
  </w:font>
  <w:font w:name="PT Serif">
    <w:panose1 w:val="020A0603040505020204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16"/>
        <w:szCs w:val="16"/>
      </w:rPr>
    </w:pPr>
    <w:r>
      <w:rPr>
        <w:sz w:val="16"/>
        <w:szCs w:val="16"/>
      </w:rPr>
      <w:t xml:space="preserve">Дата договора</w:t>
    </w:r>
    <w:r>
      <w:rPr>
        <w:sz w:val="16"/>
        <w:szCs w:val="16"/>
      </w:rPr>
      <w:t xml:space="preserve">: </w:t>
    </w:r>
    <w:r>
      <w:rPr>
        <w:sz w:val="16"/>
        <w:szCs w:val="16"/>
      </w:rPr>
      <w:t xml:space="preserve">18</w:t>
    </w:r>
    <w:r>
      <w:rPr>
        <w:sz w:val="16"/>
        <w:szCs w:val="16"/>
      </w:rPr>
      <w:t xml:space="preserve">.0</w:t>
    </w:r>
    <w:r>
      <w:rPr>
        <w:sz w:val="16"/>
        <w:szCs w:val="16"/>
      </w:rPr>
      <w:t xml:space="preserve">1</w:t>
    </w:r>
    <w:r>
      <w:rPr>
        <w:sz w:val="16"/>
        <w:szCs w:val="16"/>
      </w:rPr>
      <w:t xml:space="preserve">.202</w:t>
    </w:r>
    <w:r>
      <w:rPr>
        <w:sz w:val="16"/>
        <w:szCs w:val="16"/>
      </w:rPr>
      <w:t xml:space="preserve">3</w:t>
    </w:r>
    <w:r>
      <w:rPr>
        <w:sz w:val="16"/>
        <w:szCs w:val="16"/>
      </w:rPr>
      <w:t xml:space="preserve"> Контрагент: </w:t>
    </w:r>
    <w:r>
      <w:rPr>
        <w:sz w:val="16"/>
        <w:szCs w:val="16"/>
      </w:rPr>
      <w:t xml:space="preserve">ГКУ Архангельской области «Дорожное агентство «Архангельскавтодор»</w:t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51338619"/>
      <w:rPr/>
    </w:sdtPr>
    <w:sdtContent>
      <w:p>
        <w:pPr>
          <w:pStyle w:val="1024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PAGE   \* MERGEFORMAT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 xml:space="preserve">1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</w:r>
        <w:r>
          <w:rPr>
            <w:sz w:val="16"/>
            <w:szCs w:val="16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4"/>
      <w:rPr>
        <w:rStyle w:val="1025"/>
      </w:rPr>
      <w:framePr w:wrap="around" w:vAnchor="text" w:hAnchor="margin" w:xAlign="right" w:y="1"/>
    </w:pPr>
    <w:r>
      <w:rPr>
        <w:rStyle w:val="1025"/>
      </w:rPr>
      <w:fldChar w:fldCharType="begin"/>
    </w:r>
    <w:r>
      <w:rPr>
        <w:rStyle w:val="1025"/>
      </w:rPr>
      <w:instrText xml:space="preserve">PAGE  </w:instrText>
    </w:r>
    <w:r>
      <w:rPr>
        <w:rStyle w:val="1025"/>
      </w:rPr>
      <w:fldChar w:fldCharType="end"/>
    </w:r>
    <w:r>
      <w:rPr>
        <w:rStyle w:val="1025"/>
      </w:rPr>
    </w:r>
    <w:r>
      <w:rPr>
        <w:rStyle w:val="1025"/>
      </w:rPr>
    </w:r>
  </w:p>
  <w:p>
    <w:pPr>
      <w:pStyle w:val="1024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4"/>
      <w:jc w:val="right"/>
      <w:rPr>
        <w:sz w:val="16"/>
        <w:szCs w:val="16"/>
      </w:rPr>
    </w:pPr>
    <w:r>
      <w:rPr>
        <w:sz w:val="16"/>
        <w:szCs w:val="16"/>
      </w:rPr>
      <w:t xml:space="preserve">1</w:t>
    </w:r>
    <w:r>
      <w:rPr>
        <w:sz w:val="16"/>
        <w:szCs w:val="16"/>
      </w:rPr>
    </w:r>
    <w:r>
      <w:rPr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203" w:hanging="39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6533" w:hanging="72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689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893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61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613" w:hanging="1800"/>
      </w:pPr>
      <w:rPr>
        <w:rFonts w:hint="default"/>
      </w:r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"/>
      <w:lvlJc w:val="left"/>
      <w:pPr>
        <w:ind w:left="720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2.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  <w:i w:val="0"/>
        <w:sz w:val="18"/>
        <w:szCs w:val="1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4.2.1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5.1. 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.2.1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5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1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65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729" w:hanging="10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3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36"/>
  </w:num>
  <w:num w:numId="5">
    <w:abstractNumId w:val="22"/>
  </w:num>
  <w:num w:numId="6">
    <w:abstractNumId w:val="42"/>
  </w:num>
  <w:num w:numId="7">
    <w:abstractNumId w:val="11"/>
  </w:num>
  <w:num w:numId="8">
    <w:abstractNumId w:val="40"/>
  </w:num>
  <w:num w:numId="9">
    <w:abstractNumId w:val="9"/>
  </w:num>
  <w:num w:numId="10">
    <w:abstractNumId w:val="20"/>
  </w:num>
  <w:num w:numId="11">
    <w:abstractNumId w:val="7"/>
  </w:num>
  <w:num w:numId="12">
    <w:abstractNumId w:val="10"/>
  </w:num>
  <w:num w:numId="13">
    <w:abstractNumId w:val="21"/>
  </w:num>
  <w:num w:numId="14">
    <w:abstractNumId w:val="0"/>
  </w:num>
  <w:num w:numId="15">
    <w:abstractNumId w:val="3"/>
  </w:num>
  <w:num w:numId="16">
    <w:abstractNumId w:val="13"/>
  </w:num>
  <w:num w:numId="17">
    <w:abstractNumId w:val="15"/>
  </w:num>
  <w:num w:numId="18">
    <w:abstractNumId w:val="16"/>
  </w:num>
  <w:num w:numId="19">
    <w:abstractNumId w:val="8"/>
  </w:num>
  <w:num w:numId="20">
    <w:abstractNumId w:val="17"/>
  </w:num>
  <w:num w:numId="21">
    <w:abstractNumId w:val="23"/>
  </w:num>
  <w:num w:numId="22">
    <w:abstractNumId w:val="34"/>
  </w:num>
  <w:num w:numId="23">
    <w:abstractNumId w:val="43"/>
  </w:num>
  <w:num w:numId="24">
    <w:abstractNumId w:val="27"/>
  </w:num>
  <w:num w:numId="25">
    <w:abstractNumId w:val="24"/>
  </w:num>
  <w:num w:numId="26">
    <w:abstractNumId w:val="12"/>
  </w:num>
  <w:num w:numId="27">
    <w:abstractNumId w:val="5"/>
  </w:num>
  <w:num w:numId="28">
    <w:abstractNumId w:val="37"/>
  </w:num>
  <w:num w:numId="29">
    <w:abstractNumId w:val="35"/>
  </w:num>
  <w:num w:numId="30">
    <w:abstractNumId w:val="2"/>
  </w:num>
  <w:num w:numId="31">
    <w:abstractNumId w:val="41"/>
  </w:num>
  <w:num w:numId="32">
    <w:abstractNumId w:val="25"/>
  </w:num>
  <w:num w:numId="33">
    <w:abstractNumId w:val="30"/>
  </w:num>
  <w:num w:numId="34">
    <w:abstractNumId w:val="4"/>
  </w:num>
  <w:num w:numId="35">
    <w:abstractNumId w:val="26"/>
  </w:num>
  <w:num w:numId="36">
    <w:abstractNumId w:val="38"/>
  </w:num>
  <w:num w:numId="37">
    <w:abstractNumId w:val="19"/>
  </w:num>
  <w:num w:numId="38">
    <w:abstractNumId w:val="6"/>
  </w:num>
  <w:num w:numId="39">
    <w:abstractNumId w:val="29"/>
  </w:num>
  <w:num w:numId="40">
    <w:abstractNumId w:val="39"/>
  </w:num>
  <w:num w:numId="41">
    <w:abstractNumId w:val="31"/>
  </w:num>
  <w:num w:numId="42">
    <w:abstractNumId w:val="28"/>
  </w:num>
  <w:num w:numId="43">
    <w:abstractNumId w:val="33"/>
  </w:num>
  <w:num w:numId="44">
    <w:abstractNumId w:val="32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22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43">
    <w:name w:val="Heading 1"/>
    <w:basedOn w:val="1013"/>
    <w:next w:val="1013"/>
    <w:link w:val="84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844">
    <w:name w:val="Heading 1 Char"/>
    <w:basedOn w:val="1014"/>
    <w:link w:val="84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845">
    <w:name w:val="Heading 2"/>
    <w:basedOn w:val="1013"/>
    <w:next w:val="1013"/>
    <w:link w:val="84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846">
    <w:name w:val="Heading 2 Char"/>
    <w:basedOn w:val="1014"/>
    <w:link w:val="845"/>
    <w:uiPriority w:val="9"/>
    <w:rPr>
      <w:rFonts w:ascii="Liberation Sans" w:hAnsi="Liberation Sans" w:eastAsia="Liberation Sans" w:cs="Liberation Sans"/>
      <w:sz w:val="34"/>
    </w:rPr>
  </w:style>
  <w:style w:type="paragraph" w:styleId="847">
    <w:name w:val="Heading 3"/>
    <w:basedOn w:val="1013"/>
    <w:next w:val="1013"/>
    <w:link w:val="84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848">
    <w:name w:val="Heading 3 Char"/>
    <w:basedOn w:val="1014"/>
    <w:link w:val="84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849">
    <w:name w:val="Heading 4"/>
    <w:basedOn w:val="1013"/>
    <w:next w:val="1013"/>
    <w:link w:val="85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50">
    <w:name w:val="Heading 4 Char"/>
    <w:basedOn w:val="1014"/>
    <w:link w:val="84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51">
    <w:name w:val="Heading 5"/>
    <w:basedOn w:val="1013"/>
    <w:next w:val="1013"/>
    <w:link w:val="85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52">
    <w:name w:val="Heading 5 Char"/>
    <w:basedOn w:val="1014"/>
    <w:link w:val="85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53">
    <w:name w:val="Heading 6"/>
    <w:basedOn w:val="1013"/>
    <w:next w:val="1013"/>
    <w:link w:val="85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54">
    <w:name w:val="Heading 6 Char"/>
    <w:basedOn w:val="1014"/>
    <w:link w:val="85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55">
    <w:name w:val="Heading 7"/>
    <w:basedOn w:val="1013"/>
    <w:next w:val="1013"/>
    <w:link w:val="85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56">
    <w:name w:val="Heading 7 Char"/>
    <w:basedOn w:val="1014"/>
    <w:link w:val="85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57">
    <w:name w:val="Heading 8"/>
    <w:basedOn w:val="1013"/>
    <w:next w:val="1013"/>
    <w:link w:val="85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58">
    <w:name w:val="Heading 8 Char"/>
    <w:basedOn w:val="1014"/>
    <w:link w:val="85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59">
    <w:name w:val="Heading 9"/>
    <w:basedOn w:val="1013"/>
    <w:next w:val="1013"/>
    <w:link w:val="86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60">
    <w:name w:val="Heading 9 Char"/>
    <w:basedOn w:val="1014"/>
    <w:link w:val="85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61">
    <w:name w:val="No Spacing"/>
    <w:uiPriority w:val="1"/>
    <w:qFormat/>
    <w:pPr>
      <w:spacing w:before="0" w:after="0" w:line="240" w:lineRule="auto"/>
    </w:pPr>
  </w:style>
  <w:style w:type="character" w:styleId="862">
    <w:name w:val="Title Char"/>
    <w:basedOn w:val="1014"/>
    <w:link w:val="1017"/>
    <w:uiPriority w:val="10"/>
    <w:rPr>
      <w:sz w:val="48"/>
      <w:szCs w:val="48"/>
    </w:rPr>
  </w:style>
  <w:style w:type="paragraph" w:styleId="863">
    <w:name w:val="Subtitle"/>
    <w:basedOn w:val="1013"/>
    <w:next w:val="1013"/>
    <w:link w:val="864"/>
    <w:uiPriority w:val="11"/>
    <w:qFormat/>
    <w:pPr>
      <w:spacing w:before="200" w:after="200"/>
    </w:pPr>
    <w:rPr>
      <w:sz w:val="24"/>
      <w:szCs w:val="24"/>
    </w:rPr>
  </w:style>
  <w:style w:type="character" w:styleId="864">
    <w:name w:val="Subtitle Char"/>
    <w:basedOn w:val="1014"/>
    <w:link w:val="863"/>
    <w:uiPriority w:val="11"/>
    <w:rPr>
      <w:sz w:val="24"/>
      <w:szCs w:val="24"/>
    </w:rPr>
  </w:style>
  <w:style w:type="paragraph" w:styleId="865">
    <w:name w:val="Quote"/>
    <w:basedOn w:val="1013"/>
    <w:next w:val="1013"/>
    <w:link w:val="866"/>
    <w:uiPriority w:val="29"/>
    <w:qFormat/>
    <w:pPr>
      <w:ind w:left="720" w:right="720"/>
    </w:pPr>
    <w:rPr>
      <w:i/>
    </w:rPr>
  </w:style>
  <w:style w:type="character" w:styleId="866">
    <w:name w:val="Quote Char"/>
    <w:link w:val="865"/>
    <w:uiPriority w:val="29"/>
    <w:rPr>
      <w:i/>
    </w:rPr>
  </w:style>
  <w:style w:type="paragraph" w:styleId="867">
    <w:name w:val="Intense Quote"/>
    <w:basedOn w:val="1013"/>
    <w:next w:val="1013"/>
    <w:link w:val="86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8">
    <w:name w:val="Intense Quote Char"/>
    <w:link w:val="867"/>
    <w:uiPriority w:val="30"/>
    <w:rPr>
      <w:i/>
    </w:rPr>
  </w:style>
  <w:style w:type="character" w:styleId="869">
    <w:name w:val="Header Char"/>
    <w:basedOn w:val="1014"/>
    <w:link w:val="1024"/>
    <w:uiPriority w:val="99"/>
  </w:style>
  <w:style w:type="character" w:styleId="870">
    <w:name w:val="Footer Char"/>
    <w:basedOn w:val="1014"/>
    <w:link w:val="1036"/>
    <w:uiPriority w:val="99"/>
  </w:style>
  <w:style w:type="paragraph" w:styleId="871">
    <w:name w:val="Caption"/>
    <w:basedOn w:val="1013"/>
    <w:next w:val="1013"/>
    <w:link w:val="8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72">
    <w:name w:val="Caption Char"/>
    <w:basedOn w:val="1014"/>
    <w:link w:val="871"/>
    <w:uiPriority w:val="35"/>
    <w:rPr>
      <w:b/>
      <w:bCs/>
      <w:color w:val="4f81bd" w:themeColor="accent1"/>
      <w:sz w:val="18"/>
      <w:szCs w:val="18"/>
    </w:rPr>
  </w:style>
  <w:style w:type="table" w:styleId="873">
    <w:name w:val="Table Grid Light"/>
    <w:basedOn w:val="10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4">
    <w:name w:val="Plain Table 1"/>
    <w:basedOn w:val="10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75">
    <w:name w:val="Plain Table 2"/>
    <w:basedOn w:val="10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76">
    <w:name w:val="Plain Table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7">
    <w:name w:val="Plain Table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Plain Table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9">
    <w:name w:val="Grid Table 1 Light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Grid Table 1 Light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Grid Table 1 Light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Grid Table 1 Light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Grid Table 1 Light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Grid Table 1 Light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Grid Table 1 Light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Grid Table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2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2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2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2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2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2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3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3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3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3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3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3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4"/>
    <w:basedOn w:val="10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1">
    <w:name w:val="Grid Table 4 - Accent 1"/>
    <w:basedOn w:val="10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02">
    <w:name w:val="Grid Table 4 - Accent 2"/>
    <w:basedOn w:val="10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03">
    <w:name w:val="Grid Table 4 - Accent 3"/>
    <w:basedOn w:val="10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04">
    <w:name w:val="Grid Table 4 - Accent 4"/>
    <w:basedOn w:val="10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05">
    <w:name w:val="Grid Table 4 - Accent 5"/>
    <w:basedOn w:val="10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06">
    <w:name w:val="Grid Table 4 - Accent 6"/>
    <w:basedOn w:val="10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07">
    <w:name w:val="Grid Table 5 Dark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8">
    <w:name w:val="Grid Table 5 Dark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09">
    <w:name w:val="Grid Table 5 Dark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10">
    <w:name w:val="Grid Table 5 Dark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11">
    <w:name w:val="Grid Table 5 Dark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12">
    <w:name w:val="Grid Table 5 Dark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13">
    <w:name w:val="Grid Table 5 Dark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4">
    <w:name w:val="Grid Table 6 Colorful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15">
    <w:name w:val="Grid Table 6 Colorful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16">
    <w:name w:val="Grid Table 6 Colorful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17">
    <w:name w:val="Grid Table 6 Colorful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18">
    <w:name w:val="Grid Table 6 Colorful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19">
    <w:name w:val="Grid Table 6 Colorful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20">
    <w:name w:val="Grid Table 6 Colorful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21">
    <w:name w:val="Grid Table 7 Colorful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7 Colorful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7 Colorful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7 Colorful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7 Colorful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7 Colorful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7 Colorful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1 Light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List Table 1 Light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List Table 1 Light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List Table 1 Light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List Table 1 Light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List Table 1 Light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List Table 1 Light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List Table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36">
    <w:name w:val="List Table 2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37">
    <w:name w:val="List Table 2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38">
    <w:name w:val="List Table 2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39">
    <w:name w:val="List Table 2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40">
    <w:name w:val="List Table 2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41">
    <w:name w:val="List Table 2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42">
    <w:name w:val="List Table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3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3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3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3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>
    <w:name w:val="List Table 3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List Table 3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>
    <w:name w:val="List Table 4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List Table 4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List Table 4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>
    <w:name w:val="List Table 4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List Table 4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>
    <w:name w:val="List Table 4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>
    <w:name w:val="List Table 5 Dark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7">
    <w:name w:val="List Table 5 Dark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8">
    <w:name w:val="List Table 5 Dark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9">
    <w:name w:val="List Table 5 Dark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0">
    <w:name w:val="List Table 5 Dark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1">
    <w:name w:val="List Table 5 Dark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2">
    <w:name w:val="List Table 5 Dark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3">
    <w:name w:val="List Table 6 Colorful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64">
    <w:name w:val="List Table 6 Colorful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65">
    <w:name w:val="List Table 6 Colorful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66">
    <w:name w:val="List Table 6 Colorful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67">
    <w:name w:val="List Table 6 Colorful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68">
    <w:name w:val="List Table 6 Colorful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69">
    <w:name w:val="List Table 6 Colorful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70">
    <w:name w:val="List Table 7 Colorful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71">
    <w:name w:val="List Table 7 Colorful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72">
    <w:name w:val="List Table 7 Colorful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73">
    <w:name w:val="List Table 7 Colorful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74">
    <w:name w:val="List Table 7 Colorful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75">
    <w:name w:val="List Table 7 Colorful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76">
    <w:name w:val="List Table 7 Colorful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77">
    <w:name w:val="Lined - Accent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8">
    <w:name w:val="Lined - Accent 1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9">
    <w:name w:val="Lined - Accent 2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80">
    <w:name w:val="Lined - Accent 3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81">
    <w:name w:val="Lined - Accent 4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82">
    <w:name w:val="Lined - Accent 5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83">
    <w:name w:val="Lined - Accent 6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84">
    <w:name w:val="Bordered &amp; Lined - Accent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85">
    <w:name w:val="Bordered &amp; Lined - Accent 1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86">
    <w:name w:val="Bordered &amp; Lined - Accent 2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87">
    <w:name w:val="Bordered &amp; Lined - Accent 3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88">
    <w:name w:val="Bordered &amp; Lined - Accent 4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89">
    <w:name w:val="Bordered &amp; Lined - Accent 5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90">
    <w:name w:val="Bordered &amp; Lined - Accent 6"/>
    <w:basedOn w:val="10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91">
    <w:name w:val="Bordered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92">
    <w:name w:val="Bordered - Accent 1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93">
    <w:name w:val="Bordered - Accent 2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94">
    <w:name w:val="Bordered - Accent 3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95">
    <w:name w:val="Bordered - Accent 4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96">
    <w:name w:val="Bordered - Accent 5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97">
    <w:name w:val="Bordered - Accent 6"/>
    <w:basedOn w:val="10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98">
    <w:name w:val="Footnote Text Char"/>
    <w:link w:val="1034"/>
    <w:uiPriority w:val="99"/>
    <w:rPr>
      <w:sz w:val="18"/>
    </w:rPr>
  </w:style>
  <w:style w:type="paragraph" w:styleId="999">
    <w:name w:val="endnote text"/>
    <w:basedOn w:val="1013"/>
    <w:link w:val="1000"/>
    <w:uiPriority w:val="99"/>
    <w:semiHidden/>
    <w:unhideWhenUsed/>
    <w:pPr>
      <w:spacing w:after="0" w:line="240" w:lineRule="auto"/>
    </w:pPr>
    <w:rPr>
      <w:sz w:val="20"/>
    </w:rPr>
  </w:style>
  <w:style w:type="character" w:styleId="1000">
    <w:name w:val="Endnote Text Char"/>
    <w:link w:val="999"/>
    <w:uiPriority w:val="99"/>
    <w:rPr>
      <w:sz w:val="20"/>
    </w:rPr>
  </w:style>
  <w:style w:type="character" w:styleId="1001">
    <w:name w:val="endnote reference"/>
    <w:basedOn w:val="1014"/>
    <w:uiPriority w:val="99"/>
    <w:semiHidden/>
    <w:unhideWhenUsed/>
    <w:rPr>
      <w:vertAlign w:val="superscript"/>
    </w:rPr>
  </w:style>
  <w:style w:type="paragraph" w:styleId="1002">
    <w:name w:val="toc 1"/>
    <w:basedOn w:val="1013"/>
    <w:next w:val="1013"/>
    <w:uiPriority w:val="39"/>
    <w:unhideWhenUsed/>
    <w:pPr>
      <w:ind w:left="0" w:right="0" w:firstLine="0"/>
      <w:spacing w:after="57"/>
    </w:pPr>
  </w:style>
  <w:style w:type="paragraph" w:styleId="1003">
    <w:name w:val="toc 2"/>
    <w:basedOn w:val="1013"/>
    <w:next w:val="1013"/>
    <w:uiPriority w:val="39"/>
    <w:unhideWhenUsed/>
    <w:pPr>
      <w:ind w:left="283" w:right="0" w:firstLine="0"/>
      <w:spacing w:after="57"/>
    </w:pPr>
  </w:style>
  <w:style w:type="paragraph" w:styleId="1004">
    <w:name w:val="toc 3"/>
    <w:basedOn w:val="1013"/>
    <w:next w:val="1013"/>
    <w:uiPriority w:val="39"/>
    <w:unhideWhenUsed/>
    <w:pPr>
      <w:ind w:left="567" w:right="0" w:firstLine="0"/>
      <w:spacing w:after="57"/>
    </w:pPr>
  </w:style>
  <w:style w:type="paragraph" w:styleId="1005">
    <w:name w:val="toc 4"/>
    <w:basedOn w:val="1013"/>
    <w:next w:val="1013"/>
    <w:uiPriority w:val="39"/>
    <w:unhideWhenUsed/>
    <w:pPr>
      <w:ind w:left="850" w:right="0" w:firstLine="0"/>
      <w:spacing w:after="57"/>
    </w:pPr>
  </w:style>
  <w:style w:type="paragraph" w:styleId="1006">
    <w:name w:val="toc 5"/>
    <w:basedOn w:val="1013"/>
    <w:next w:val="1013"/>
    <w:uiPriority w:val="39"/>
    <w:unhideWhenUsed/>
    <w:pPr>
      <w:ind w:left="1134" w:right="0" w:firstLine="0"/>
      <w:spacing w:after="57"/>
    </w:pPr>
  </w:style>
  <w:style w:type="paragraph" w:styleId="1007">
    <w:name w:val="toc 6"/>
    <w:basedOn w:val="1013"/>
    <w:next w:val="1013"/>
    <w:uiPriority w:val="39"/>
    <w:unhideWhenUsed/>
    <w:pPr>
      <w:ind w:left="1417" w:right="0" w:firstLine="0"/>
      <w:spacing w:after="57"/>
    </w:pPr>
  </w:style>
  <w:style w:type="paragraph" w:styleId="1008">
    <w:name w:val="toc 7"/>
    <w:basedOn w:val="1013"/>
    <w:next w:val="1013"/>
    <w:uiPriority w:val="39"/>
    <w:unhideWhenUsed/>
    <w:pPr>
      <w:ind w:left="1701" w:right="0" w:firstLine="0"/>
      <w:spacing w:after="57"/>
    </w:pPr>
  </w:style>
  <w:style w:type="paragraph" w:styleId="1009">
    <w:name w:val="toc 8"/>
    <w:basedOn w:val="1013"/>
    <w:next w:val="1013"/>
    <w:uiPriority w:val="39"/>
    <w:unhideWhenUsed/>
    <w:pPr>
      <w:ind w:left="1984" w:right="0" w:firstLine="0"/>
      <w:spacing w:after="57"/>
    </w:pPr>
  </w:style>
  <w:style w:type="paragraph" w:styleId="1010">
    <w:name w:val="toc 9"/>
    <w:basedOn w:val="1013"/>
    <w:next w:val="1013"/>
    <w:uiPriority w:val="39"/>
    <w:unhideWhenUsed/>
    <w:pPr>
      <w:ind w:left="2268" w:right="0" w:firstLine="0"/>
      <w:spacing w:after="57"/>
    </w:pPr>
  </w:style>
  <w:style w:type="paragraph" w:styleId="1011">
    <w:name w:val="TOC Heading"/>
    <w:uiPriority w:val="39"/>
    <w:unhideWhenUsed/>
  </w:style>
  <w:style w:type="paragraph" w:styleId="1012">
    <w:name w:val="table of figures"/>
    <w:basedOn w:val="1013"/>
    <w:next w:val="1013"/>
    <w:uiPriority w:val="99"/>
    <w:unhideWhenUsed/>
    <w:pPr>
      <w:spacing w:after="0" w:afterAutospacing="0"/>
    </w:pPr>
  </w:style>
  <w:style w:type="paragraph" w:styleId="1013" w:default="1">
    <w:name w:val="Normal"/>
    <w:qFormat/>
    <w:rPr>
      <w:sz w:val="24"/>
      <w:szCs w:val="24"/>
    </w:rPr>
  </w:style>
  <w:style w:type="character" w:styleId="1014" w:default="1">
    <w:name w:val="Default Paragraph Font"/>
    <w:uiPriority w:val="1"/>
    <w:semiHidden/>
    <w:unhideWhenUsed/>
  </w:style>
  <w:style w:type="table" w:styleId="101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16" w:default="1">
    <w:name w:val="No List"/>
    <w:uiPriority w:val="99"/>
    <w:semiHidden/>
    <w:unhideWhenUsed/>
  </w:style>
  <w:style w:type="paragraph" w:styleId="1017">
    <w:name w:val="Title"/>
    <w:basedOn w:val="1013"/>
    <w:qFormat/>
    <w:pPr>
      <w:jc w:val="center"/>
    </w:pPr>
    <w:rPr>
      <w:b/>
      <w:color w:val="0000ff"/>
      <w:szCs w:val="20"/>
    </w:rPr>
  </w:style>
  <w:style w:type="paragraph" w:styleId="1018">
    <w:name w:val="Body Text Indent"/>
    <w:basedOn w:val="1013"/>
    <w:pPr>
      <w:ind w:firstLine="708"/>
      <w:jc w:val="both"/>
    </w:pPr>
    <w:rPr>
      <w:color w:val="000000"/>
      <w:szCs w:val="20"/>
    </w:rPr>
  </w:style>
  <w:style w:type="paragraph" w:styleId="1019">
    <w:name w:val="Body Text"/>
    <w:basedOn w:val="1013"/>
    <w:link w:val="1044"/>
    <w:pPr>
      <w:jc w:val="both"/>
      <w:spacing w:line="320" w:lineRule="exact"/>
    </w:pPr>
    <w:rPr>
      <w:color w:val="000000"/>
      <w:szCs w:val="20"/>
    </w:rPr>
  </w:style>
  <w:style w:type="paragraph" w:styleId="1020">
    <w:name w:val="Body Text Indent 2"/>
    <w:basedOn w:val="1013"/>
    <w:pPr>
      <w:ind w:firstLine="720"/>
      <w:jc w:val="both"/>
      <w:spacing w:line="320" w:lineRule="exact"/>
    </w:pPr>
    <w:rPr>
      <w:color w:val="0000ff"/>
      <w:szCs w:val="20"/>
    </w:rPr>
  </w:style>
  <w:style w:type="paragraph" w:styleId="1021">
    <w:name w:val="Body Text 2"/>
    <w:basedOn w:val="1013"/>
    <w:pPr>
      <w:jc w:val="both"/>
      <w:spacing w:line="320" w:lineRule="exact"/>
    </w:pPr>
    <w:rPr>
      <w:color w:val="0000ff"/>
      <w:szCs w:val="20"/>
    </w:rPr>
  </w:style>
  <w:style w:type="paragraph" w:styleId="1022">
    <w:name w:val="Body Text Indent 3"/>
    <w:basedOn w:val="1013"/>
    <w:pPr>
      <w:ind w:firstLine="708"/>
      <w:jc w:val="both"/>
      <w:spacing w:line="320" w:lineRule="exact"/>
    </w:pPr>
    <w:rPr>
      <w:szCs w:val="20"/>
    </w:rPr>
  </w:style>
  <w:style w:type="paragraph" w:styleId="1023">
    <w:name w:val="Body Text 3"/>
    <w:basedOn w:val="1013"/>
    <w:pPr>
      <w:jc w:val="both"/>
      <w:spacing w:line="320" w:lineRule="exact"/>
    </w:pPr>
    <w:rPr>
      <w:szCs w:val="20"/>
    </w:rPr>
  </w:style>
  <w:style w:type="paragraph" w:styleId="1024">
    <w:name w:val="Header"/>
    <w:basedOn w:val="1013"/>
    <w:link w:val="1042"/>
    <w:uiPriority w:val="99"/>
    <w:pPr>
      <w:tabs>
        <w:tab w:val="center" w:pos="4677" w:leader="none"/>
        <w:tab w:val="right" w:pos="9355" w:leader="none"/>
      </w:tabs>
    </w:pPr>
  </w:style>
  <w:style w:type="character" w:styleId="1025">
    <w:name w:val="page number"/>
    <w:basedOn w:val="1014"/>
  </w:style>
  <w:style w:type="table" w:styleId="1026">
    <w:name w:val="Table Grid"/>
    <w:basedOn w:val="1015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27" w:customStyle="1">
    <w:name w:val="Знак"/>
    <w:basedOn w:val="1013"/>
    <w:pPr>
      <w:spacing w:after="160" w:line="240" w:lineRule="exact"/>
      <w:tabs>
        <w:tab w:val="num" w:pos="360" w:leader="none"/>
      </w:tabs>
    </w:pPr>
    <w:rPr>
      <w:lang w:val="en-US"/>
    </w:rPr>
  </w:style>
  <w:style w:type="paragraph" w:styleId="1028">
    <w:name w:val="Document Map"/>
    <w:basedOn w:val="1013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029">
    <w:name w:val="Balloon Text"/>
    <w:basedOn w:val="1013"/>
    <w:semiHidden/>
    <w:rPr>
      <w:rFonts w:ascii="Tahoma" w:hAnsi="Tahoma" w:cs="Tahoma"/>
      <w:sz w:val="16"/>
      <w:szCs w:val="16"/>
    </w:rPr>
  </w:style>
  <w:style w:type="character" w:styleId="1030">
    <w:name w:val="annotation reference"/>
    <w:basedOn w:val="1014"/>
    <w:semiHidden/>
    <w:rPr>
      <w:sz w:val="16"/>
      <w:szCs w:val="16"/>
    </w:rPr>
  </w:style>
  <w:style w:type="paragraph" w:styleId="1031">
    <w:name w:val="annotation text"/>
    <w:basedOn w:val="1013"/>
    <w:semiHidden/>
    <w:rPr>
      <w:sz w:val="20"/>
      <w:szCs w:val="20"/>
    </w:rPr>
  </w:style>
  <w:style w:type="paragraph" w:styleId="1032">
    <w:name w:val="annotation subject"/>
    <w:basedOn w:val="1031"/>
    <w:next w:val="1031"/>
    <w:semiHidden/>
    <w:rPr>
      <w:b/>
      <w:bCs/>
    </w:rPr>
  </w:style>
  <w:style w:type="paragraph" w:styleId="1033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1034">
    <w:name w:val="footnote text"/>
    <w:basedOn w:val="1013"/>
    <w:link w:val="1041"/>
    <w:semiHidden/>
    <w:rPr>
      <w:sz w:val="20"/>
      <w:szCs w:val="20"/>
    </w:rPr>
  </w:style>
  <w:style w:type="character" w:styleId="1035">
    <w:name w:val="footnote reference"/>
    <w:basedOn w:val="1014"/>
    <w:semiHidden/>
    <w:rPr>
      <w:vertAlign w:val="superscript"/>
    </w:rPr>
  </w:style>
  <w:style w:type="paragraph" w:styleId="1036">
    <w:name w:val="Footer"/>
    <w:basedOn w:val="1013"/>
    <w:link w:val="1040"/>
    <w:uiPriority w:val="99"/>
    <w:pPr>
      <w:tabs>
        <w:tab w:val="center" w:pos="4677" w:leader="none"/>
        <w:tab w:val="right" w:pos="9355" w:leader="none"/>
      </w:tabs>
    </w:pPr>
  </w:style>
  <w:style w:type="paragraph" w:styleId="1037">
    <w:name w:val="Revision"/>
    <w:hidden/>
    <w:uiPriority w:val="99"/>
    <w:semiHidden/>
    <w:rPr>
      <w:sz w:val="24"/>
      <w:szCs w:val="24"/>
    </w:rPr>
  </w:style>
  <w:style w:type="character" w:styleId="1038">
    <w:name w:val="Hyperlink"/>
    <w:basedOn w:val="1014"/>
    <w:rPr>
      <w:color w:val="0000ff"/>
      <w:u w:val="single"/>
    </w:rPr>
  </w:style>
  <w:style w:type="paragraph" w:styleId="1039">
    <w:name w:val="List Paragraph"/>
    <w:basedOn w:val="1013"/>
    <w:link w:val="1048"/>
    <w:uiPriority w:val="34"/>
    <w:qFormat/>
    <w:pPr>
      <w:contextualSpacing/>
      <w:ind w:left="720"/>
    </w:pPr>
  </w:style>
  <w:style w:type="character" w:styleId="1040" w:customStyle="1">
    <w:name w:val="Нижний колонтитул Знак"/>
    <w:basedOn w:val="1014"/>
    <w:link w:val="1036"/>
    <w:uiPriority w:val="99"/>
    <w:rPr>
      <w:sz w:val="24"/>
      <w:szCs w:val="24"/>
    </w:rPr>
  </w:style>
  <w:style w:type="character" w:styleId="1041" w:customStyle="1">
    <w:name w:val="Текст сноски Знак"/>
    <w:link w:val="1034"/>
    <w:semiHidden/>
  </w:style>
  <w:style w:type="character" w:styleId="1042" w:customStyle="1">
    <w:name w:val="Верхний колонтитул Знак"/>
    <w:basedOn w:val="1014"/>
    <w:link w:val="1024"/>
    <w:uiPriority w:val="99"/>
    <w:rPr>
      <w:sz w:val="24"/>
      <w:szCs w:val="24"/>
    </w:rPr>
  </w:style>
  <w:style w:type="paragraph" w:styleId="1043" w:customStyle="1">
    <w:name w:val="Style8"/>
    <w:basedOn w:val="1013"/>
    <w:uiPriority w:val="99"/>
    <w:pPr>
      <w:ind w:firstLine="542"/>
      <w:jc w:val="both"/>
      <w:spacing w:line="304" w:lineRule="exact"/>
      <w:widowControl w:val="off"/>
    </w:pPr>
    <w:rPr>
      <w:rFonts w:ascii="Arial Narrow" w:hAnsi="Arial Narrow" w:eastAsia="Calibri"/>
      <w:sz w:val="20"/>
      <w:szCs w:val="20"/>
    </w:rPr>
  </w:style>
  <w:style w:type="character" w:styleId="1044" w:customStyle="1">
    <w:name w:val="Основной текст Знак"/>
    <w:basedOn w:val="1014"/>
    <w:link w:val="1019"/>
    <w:rPr>
      <w:color w:val="000000"/>
      <w:sz w:val="24"/>
    </w:rPr>
  </w:style>
  <w:style w:type="character" w:styleId="1045">
    <w:name w:val="Strong"/>
    <w:qFormat/>
    <w:rPr>
      <w:b/>
      <w:bCs/>
    </w:rPr>
  </w:style>
  <w:style w:type="paragraph" w:styleId="1046" w:customStyle="1">
    <w:name w:val="ConsPlusNormal"/>
    <w:link w:val="1047"/>
    <w:qFormat/>
    <w:pPr>
      <w:widowControl w:val="off"/>
    </w:pPr>
    <w:rPr>
      <w:rFonts w:eastAsiaTheme="minorEastAsia"/>
      <w:sz w:val="18"/>
      <w:szCs w:val="22"/>
    </w:rPr>
  </w:style>
  <w:style w:type="character" w:styleId="1047" w:customStyle="1">
    <w:name w:val="ConsPlusNormal Знак"/>
    <w:link w:val="1046"/>
    <w:uiPriority w:val="99"/>
    <w:qFormat/>
    <w:rPr>
      <w:rFonts w:eastAsiaTheme="minorEastAsia"/>
      <w:sz w:val="18"/>
      <w:szCs w:val="22"/>
    </w:rPr>
  </w:style>
  <w:style w:type="character" w:styleId="1048" w:customStyle="1">
    <w:name w:val="Абзац списка Знак"/>
    <w:link w:val="1039"/>
    <w:uiPriority w:val="34"/>
    <w:rPr>
      <w:sz w:val="24"/>
      <w:szCs w:val="24"/>
    </w:rPr>
  </w:style>
  <w:style w:type="character" w:styleId="1049">
    <w:name w:val="Placeholder Text"/>
    <w:basedOn w:val="1014"/>
    <w:uiPriority w:val="99"/>
    <w:semiHidden/>
    <w:rPr>
      <w:color w:val="808080"/>
    </w:rPr>
  </w:style>
  <w:style w:type="paragraph" w:styleId="1050" w:customStyle="1">
    <w:name w:val="s_1"/>
    <w:basedOn w:val="1013"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8ED14EB3-0C8F-4C31-925E-8B6A268839D0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HSE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062-2007-КЭ</dc:title>
  <dc:creator>shevchenko</dc:creator>
  <cp:lastModifiedBy>valkova.uv</cp:lastModifiedBy>
  <cp:revision>34</cp:revision>
  <dcterms:created xsi:type="dcterms:W3CDTF">2025-09-04T11:28:00Z</dcterms:created>
  <dcterms:modified xsi:type="dcterms:W3CDTF">2026-08-17T15:44:48Z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Кострикина О.Ю.</vt:lpwstr>
  </property>
  <property fmtid="{D5CDD505-2E9C-101B-9397-08002B2CF9AE}" pid="3" name="signerIof">
    <vt:lpwstr>Я. И. Кузьминов</vt:lpwstr>
  </property>
  <property fmtid="{D5CDD505-2E9C-101B-9397-08002B2CF9AE}" pid="4" name="creatorDepartment">
    <vt:lpwstr>Договорно-правовой отдел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2018/4/26-43</vt:lpwstr>
  </property>
  <property fmtid="{D5CDD505-2E9C-101B-9397-08002B2CF9AE}" pid="9" name="stateValue">
    <vt:lpwstr>На доработке</vt:lpwstr>
  </property>
  <property fmtid="{D5CDD505-2E9C-101B-9397-08002B2CF9AE}" pid="10" name="docTitle">
    <vt:lpwstr>Приказ</vt:lpwstr>
  </property>
  <property fmtid="{D5CDD505-2E9C-101B-9397-08002B2CF9AE}" pid="11" name="signerLabel">
    <vt:lpwstr> Ректор Кузьминов Я.И.</vt:lpwstr>
  </property>
  <property fmtid="{D5CDD505-2E9C-101B-9397-08002B2CF9AE}" pid="12" name="documentContent">
    <vt:lpwstr>Об утверждении типовых форм договоров об оказании платных образовательных услуг в Национальном исследовательском университете «Высшая школа экономики»</vt:lpwstr>
  </property>
  <property fmtid="{D5CDD505-2E9C-101B-9397-08002B2CF9AE}" pid="13" name="creatorPost">
    <vt:lpwstr>Начальник отдела</vt:lpwstr>
  </property>
  <property fmtid="{D5CDD505-2E9C-101B-9397-08002B2CF9AE}" pid="14" name="signerName">
    <vt:lpwstr>Кузьминов Я.И.</vt:lpwstr>
  </property>
  <property fmtid="{D5CDD505-2E9C-101B-9397-08002B2CF9AE}" pid="15" name="signerNameAndPostName">
    <vt:lpwstr>Кузьминов Я.И., Ректор</vt:lpwstr>
  </property>
  <property fmtid="{D5CDD505-2E9C-101B-9397-08002B2CF9AE}" pid="16" name="signerPost">
    <vt:lpwstr>Ректор</vt:lpwstr>
  </property>
  <property fmtid="{D5CDD505-2E9C-101B-9397-08002B2CF9AE}" pid="17" name="documentSubtype">
    <vt:lpwstr>По основной деятельности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 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Кузьминов Я.И.</vt:lpwstr>
  </property>
</Properties>
</file>