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ind/>
        <w:jc w:val="center"/>
        <w:rPr>
          <w:b w:val="1"/>
          <w:sz w:val="25"/>
        </w:rPr>
      </w:pPr>
      <w:r>
        <w:rPr>
          <w:b w:val="1"/>
          <w:sz w:val="25"/>
        </w:rPr>
        <w:t>КОНТРАКТ №</w:t>
      </w:r>
      <w:r>
        <w:rPr>
          <w:b w:val="1"/>
          <w:sz w:val="25"/>
        </w:rPr>
        <w:t xml:space="preserve"> РГМ</w:t>
      </w:r>
      <w:r>
        <w:rPr>
          <w:b w:val="1"/>
          <w:sz w:val="25"/>
        </w:rPr>
        <w:t>У32362</w:t>
      </w:r>
    </w:p>
    <w:p w14:paraId="06000000">
      <w:pPr>
        <w:ind/>
        <w:jc w:val="center"/>
        <w:rPr>
          <w:b w:val="1"/>
          <w:sz w:val="25"/>
        </w:rPr>
      </w:pPr>
      <w:r>
        <w:rPr>
          <w:b w:val="1"/>
          <w:sz w:val="25"/>
        </w:rPr>
        <w:t>на поставку расходных материалов</w:t>
      </w:r>
    </w:p>
    <w:p w14:paraId="07000000">
      <w:pPr>
        <w:ind/>
        <w:jc w:val="center"/>
        <w:rPr>
          <w:b w:val="1"/>
          <w:sz w:val="25"/>
        </w:rPr>
      </w:pPr>
      <w:r>
        <w:rPr>
          <w:b w:val="1"/>
          <w:sz w:val="25"/>
        </w:rPr>
        <w:t>ИКЗ:</w:t>
      </w:r>
      <w:r>
        <w:rPr>
          <w:b w:val="1"/>
        </w:rPr>
        <w:t>261616303285061630100100130000000244</w:t>
      </w:r>
    </w:p>
    <w:p w14:paraId="08000000">
      <w:pPr>
        <w:ind/>
        <w:jc w:val="center"/>
        <w:rPr>
          <w:b w:val="1"/>
          <w:sz w:val="25"/>
        </w:rPr>
      </w:pPr>
    </w:p>
    <w:p w14:paraId="09000000">
      <w:pPr>
        <w:rPr>
          <w:b w:val="1"/>
        </w:rPr>
      </w:pPr>
      <w:r>
        <w:rPr>
          <w:b w:val="1"/>
        </w:rPr>
        <w:t>«___</w:t>
      </w:r>
      <w:r>
        <w:rPr>
          <w:b w:val="1"/>
        </w:rPr>
        <w:t>_»_</w:t>
      </w:r>
      <w:r>
        <w:rPr>
          <w:b w:val="1"/>
        </w:rPr>
        <w:t>________</w:t>
      </w:r>
      <w:r>
        <w:rPr>
          <w:b w:val="1"/>
        </w:rPr>
        <w:t>2026</w:t>
      </w:r>
      <w:r>
        <w:rPr>
          <w:b w:val="1"/>
        </w:rPr>
        <w:t xml:space="preserve"> г.                                                                                          г. Ростов-на-Дону</w:t>
      </w:r>
    </w:p>
    <w:p w14:paraId="0A000000">
      <w:pPr>
        <w:rPr>
          <w:sz w:val="22"/>
        </w:rPr>
      </w:pPr>
    </w:p>
    <w:p w14:paraId="0B000000">
      <w:pPr>
        <w:spacing w:after="0"/>
        <w:ind w:firstLine="708" w:left="0"/>
      </w:pPr>
      <w:r>
        <w:rPr>
          <w:b w:val="1"/>
          <w:sz w:val="25"/>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w:t>
      </w:r>
      <w:r>
        <w:rPr>
          <w:sz w:val="25"/>
        </w:rPr>
        <w:t xml:space="preserve">, именуемое в дальнейшем «Заказчик», в лице              </w:t>
      </w:r>
      <w:r>
        <w:t>и</w:t>
      </w:r>
      <w:r>
        <w:rPr>
          <w:color w:themeColor="text1" w:val="000000"/>
        </w:rPr>
        <w:t>____________________________________________</w:t>
      </w:r>
      <w:r>
        <w:rPr>
          <w:color w:themeColor="text1" w:val="000000"/>
        </w:rPr>
        <w:t xml:space="preserve">, именуемый в дальнейшем "Поставщик", в лице </w:t>
      </w:r>
      <w:r>
        <w:rPr>
          <w:color w:themeColor="text1" w:val="000000"/>
        </w:rPr>
        <w:t>_________________________</w:t>
      </w:r>
      <w:r>
        <w:rPr>
          <w:color w:themeColor="text1" w:val="000000"/>
        </w:rPr>
        <w:t xml:space="preserve">, </w:t>
      </w:r>
      <w:r>
        <w:rPr>
          <w:color w:themeColor="text1" w:val="000000"/>
        </w:rPr>
        <w:t>действующего на основании ____________</w:t>
      </w:r>
      <w:r>
        <w:rPr>
          <w:color w:themeColor="text1" w:val="000000"/>
        </w:rPr>
        <w:t xml:space="preserve"> </w:t>
      </w:r>
      <w:r>
        <w:t xml:space="preserve">, с другой стороны, далее по тексту именуемые «Стороны», а по отдельности  </w:t>
      </w:r>
      <w:r>
        <w:t>«Сторона», в соответствии с п. 4</w:t>
      </w:r>
      <w: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0C000000">
      <w:pPr>
        <w:pStyle w:val="Style_3"/>
        <w:ind w:firstLine="840" w:left="0"/>
        <w:jc w:val="both"/>
        <w:rPr>
          <w:b w:val="1"/>
          <w:color w:themeColor="text1" w:val="000000"/>
          <w:sz w:val="25"/>
        </w:rPr>
      </w:pPr>
    </w:p>
    <w:p w14:paraId="0D000000">
      <w:pPr>
        <w:numPr>
          <w:ilvl w:val="0"/>
          <w:numId w:val="1"/>
        </w:numPr>
        <w:ind/>
        <w:jc w:val="center"/>
        <w:rPr>
          <w:b w:val="1"/>
          <w:color w:themeColor="text1" w:val="000000"/>
          <w:sz w:val="25"/>
        </w:rPr>
      </w:pPr>
      <w:r>
        <w:rPr>
          <w:b w:val="1"/>
          <w:color w:themeColor="text1" w:val="000000"/>
          <w:sz w:val="25"/>
        </w:rPr>
        <w:t>Предмет контракта</w:t>
      </w:r>
    </w:p>
    <w:p w14:paraId="0E000000">
      <w:pPr>
        <w:rPr>
          <w:color w:themeColor="text1" w:val="000000"/>
          <w:sz w:val="25"/>
        </w:rPr>
      </w:pPr>
      <w:r>
        <w:rPr>
          <w:color w:themeColor="text1" w:val="000000"/>
          <w:sz w:val="25"/>
        </w:rPr>
        <w:t xml:space="preserve">1.1. В соответствии с контрактом Поставщик обязуется в порядке и в сроки, предусмотренные Контрактом, осуществить поставку </w:t>
      </w:r>
      <w:r>
        <w:rPr>
          <w:b w:val="1"/>
          <w:sz w:val="25"/>
        </w:rPr>
        <w:t>рас</w:t>
      </w:r>
      <w:r>
        <w:rPr>
          <w:b w:val="1"/>
          <w:sz w:val="25"/>
        </w:rPr>
        <w:t xml:space="preserve">ходных материалов медицинского </w:t>
      </w:r>
      <w:r>
        <w:rPr>
          <w:b w:val="1"/>
          <w:sz w:val="25"/>
        </w:rPr>
        <w:t xml:space="preserve">назначения </w:t>
      </w:r>
      <w:r>
        <w:rPr>
          <w:color w:themeColor="text1" w:val="000000"/>
          <w:sz w:val="25"/>
        </w:rPr>
        <w:t xml:space="preserve">(далее - Товар) для нужд </w:t>
      </w:r>
      <w:r>
        <w:rPr>
          <w:color w:themeColor="text1" w:val="000000"/>
          <w:sz w:val="25"/>
        </w:rPr>
        <w:t>клинико-диагностической лаборатории</w:t>
      </w:r>
      <w:r>
        <w:rPr>
          <w:color w:themeColor="text1" w:val="000000"/>
          <w:sz w:val="25"/>
        </w:rPr>
        <w:t xml:space="preserve"> в соответствии со Спецификацией (</w:t>
      </w:r>
      <w:r>
        <w:rPr>
          <w:rStyle w:val="Style_4_ch"/>
          <w:color w:themeColor="text1" w:val="000000"/>
          <w:sz w:val="25"/>
        </w:rPr>
        <w:fldChar w:fldCharType="begin"/>
      </w:r>
      <w:r>
        <w:rPr>
          <w:rStyle w:val="Style_4_ch"/>
          <w:color w:themeColor="text1" w:val="000000"/>
          <w:sz w:val="25"/>
        </w:rPr>
        <w:instrText>HYPERLINK \l "sub_10000"</w:instrText>
      </w:r>
      <w:r>
        <w:rPr>
          <w:rStyle w:val="Style_4_ch"/>
          <w:color w:themeColor="text1" w:val="000000"/>
          <w:sz w:val="25"/>
        </w:rPr>
        <w:fldChar w:fldCharType="separate"/>
      </w:r>
      <w:r>
        <w:rPr>
          <w:rStyle w:val="Style_4_ch"/>
          <w:color w:themeColor="text1" w:val="000000"/>
          <w:sz w:val="25"/>
        </w:rPr>
        <w:t>приложение №1</w:t>
      </w:r>
      <w:r>
        <w:rPr>
          <w:rStyle w:val="Style_4_ch"/>
          <w:color w:themeColor="text1" w:val="000000"/>
          <w:sz w:val="25"/>
        </w:rPr>
        <w:fldChar w:fldCharType="end"/>
      </w:r>
      <w:r>
        <w:rPr>
          <w:color w:themeColor="text1" w:val="000000"/>
          <w:sz w:val="25"/>
        </w:rPr>
        <w:t xml:space="preserve"> к Контракту), а Заказчик обязуется в порядке и в сроки, предусмотренные Контрактом, принять и оплатить поставленный Товар.</w:t>
      </w:r>
    </w:p>
    <w:p w14:paraId="0F000000">
      <w:pPr>
        <w:rPr>
          <w:color w:themeColor="text1" w:val="000000"/>
          <w:sz w:val="25"/>
        </w:rPr>
      </w:pPr>
      <w:bookmarkStart w:id="1" w:name="sub_1102"/>
      <w:r>
        <w:rPr>
          <w:color w:themeColor="text1" w:val="000000"/>
          <w:sz w:val="25"/>
        </w:rPr>
        <w:t>1.2. Номенклатура Товара, технические характеристики и его количество определяются Спецификацией (</w:t>
      </w:r>
      <w:r>
        <w:rPr>
          <w:rStyle w:val="Style_4_ch"/>
          <w:color w:themeColor="text1" w:val="000000"/>
          <w:sz w:val="25"/>
        </w:rPr>
        <w:fldChar w:fldCharType="begin"/>
      </w:r>
      <w:r>
        <w:rPr>
          <w:rStyle w:val="Style_4_ch"/>
          <w:color w:themeColor="text1" w:val="000000"/>
          <w:sz w:val="25"/>
        </w:rPr>
        <w:instrText>HYPERLINK \l "sub_10000"</w:instrText>
      </w:r>
      <w:r>
        <w:rPr>
          <w:rStyle w:val="Style_4_ch"/>
          <w:color w:themeColor="text1" w:val="000000"/>
          <w:sz w:val="25"/>
        </w:rPr>
        <w:fldChar w:fldCharType="separate"/>
      </w:r>
      <w:r>
        <w:rPr>
          <w:rStyle w:val="Style_4_ch"/>
          <w:color w:themeColor="text1" w:val="000000"/>
          <w:sz w:val="25"/>
        </w:rPr>
        <w:t>приложение N 1</w:t>
      </w:r>
      <w:r>
        <w:rPr>
          <w:rStyle w:val="Style_4_ch"/>
          <w:color w:themeColor="text1" w:val="000000"/>
          <w:sz w:val="25"/>
        </w:rPr>
        <w:fldChar w:fldCharType="end"/>
      </w:r>
      <w:r>
        <w:rPr>
          <w:color w:themeColor="text1" w:val="000000"/>
          <w:sz w:val="25"/>
        </w:rPr>
        <w:t xml:space="preserve"> к контракту).</w:t>
      </w:r>
    </w:p>
    <w:p w14:paraId="10000000">
      <w:pPr>
        <w:rPr>
          <w:color w:themeColor="text1" w:val="000000"/>
          <w:sz w:val="25"/>
        </w:rPr>
      </w:pPr>
      <w:bookmarkStart w:id="2" w:name="sub_1103"/>
      <w:bookmarkEnd w:id="1"/>
      <w:r>
        <w:rPr>
          <w:color w:themeColor="text1" w:val="000000"/>
          <w:sz w:val="25"/>
        </w:rPr>
        <w:t xml:space="preserve">1.3. </w:t>
      </w:r>
      <w:bookmarkEnd w:id="2"/>
      <w:r>
        <w:rPr>
          <w:color w:themeColor="text1" w:val="000000"/>
          <w:sz w:val="25"/>
        </w:rPr>
        <w:t>Поставка Товара осуществл</w:t>
      </w:r>
      <w:r>
        <w:rPr>
          <w:color w:themeColor="text1" w:val="000000"/>
          <w:sz w:val="25"/>
        </w:rPr>
        <w:t>яется Поставщиком с разгрузкой</w:t>
      </w:r>
      <w:r>
        <w:rPr>
          <w:color w:themeColor="text1" w:val="000000"/>
          <w:sz w:val="25"/>
        </w:rPr>
        <w:t xml:space="preserve"> транспортного средства по адресу: </w:t>
      </w:r>
      <w:r>
        <w:rPr>
          <w:color w:themeColor="text1" w:val="000000"/>
          <w:sz w:val="25"/>
        </w:rPr>
        <w:t>г. Ростов-на-Дону, ул. Мечникова, здание 43</w:t>
      </w:r>
      <w:r>
        <w:rPr>
          <w:color w:themeColor="text1" w:val="000000"/>
          <w:sz w:val="25"/>
        </w:rPr>
        <w:t>,</w:t>
      </w:r>
      <w:r>
        <w:rPr>
          <w:color w:themeColor="text1" w:val="000000"/>
          <w:sz w:val="25"/>
        </w:rPr>
        <w:t xml:space="preserve"> строение 1 (помещение аптеки №2</w:t>
      </w:r>
      <w:r>
        <w:rPr>
          <w:color w:themeColor="text1" w:val="000000"/>
          <w:sz w:val="25"/>
        </w:rPr>
        <w:t xml:space="preserve">) (далее - Место доставки) по рабочим дням с 8.00 до 12.00. </w:t>
      </w:r>
    </w:p>
    <w:p w14:paraId="11000000">
      <w:pPr>
        <w:rPr>
          <w:color w:themeColor="text1" w:val="000000"/>
          <w:sz w:val="25"/>
        </w:rPr>
      </w:pPr>
      <w:r>
        <w:rPr>
          <w:sz w:val="25"/>
        </w:rPr>
        <w:t>1.</w:t>
      </w:r>
      <w:r>
        <w:rPr>
          <w:sz w:val="25"/>
        </w:rPr>
        <w:t>4.ИКЗ:</w:t>
      </w:r>
      <w:r>
        <w:t>261616303285061630100100130000000244</w:t>
      </w:r>
      <w:r>
        <w:rPr>
          <w:sz w:val="25"/>
        </w:rPr>
        <w:t>.</w:t>
      </w:r>
    </w:p>
    <w:p w14:paraId="12000000">
      <w:pPr>
        <w:ind w:firstLine="0" w:left="68"/>
        <w:jc w:val="center"/>
        <w:rPr>
          <w:sz w:val="25"/>
        </w:rPr>
      </w:pPr>
      <w:bookmarkStart w:id="3" w:name="sub_1200"/>
      <w:r>
        <w:rPr>
          <w:b w:val="1"/>
          <w:sz w:val="25"/>
        </w:rPr>
        <w:t xml:space="preserve">2. Цена </w:t>
      </w:r>
      <w:bookmarkEnd w:id="3"/>
      <w:r>
        <w:rPr>
          <w:b w:val="1"/>
          <w:sz w:val="25"/>
        </w:rPr>
        <w:t>контракта</w:t>
      </w:r>
    </w:p>
    <w:p w14:paraId="13000000">
      <w:pPr>
        <w:rPr>
          <w:sz w:val="25"/>
        </w:rPr>
      </w:pPr>
      <w:r>
        <w:rPr>
          <w:sz w:val="25"/>
        </w:rPr>
        <w:t>2.1. Цена Контракта и валюта платежа устанавливаются в российских рублях.</w:t>
      </w:r>
    </w:p>
    <w:p w14:paraId="14000000">
      <w:pPr>
        <w:rPr>
          <w:sz w:val="25"/>
        </w:rPr>
      </w:pPr>
      <w:r>
        <w:rPr>
          <w:sz w:val="25"/>
        </w:rPr>
        <w:t xml:space="preserve">2.2. Цена Контракта составляет </w:t>
      </w:r>
      <w:r>
        <w:rPr>
          <w:b w:val="1"/>
          <w:sz w:val="25"/>
        </w:rPr>
        <w:t>__________________________________________________</w:t>
      </w:r>
    </w:p>
    <w:p w14:paraId="15000000">
      <w:pPr>
        <w:rPr>
          <w:b w:val="1"/>
          <w:sz w:val="25"/>
        </w:rPr>
      </w:pPr>
      <w:r>
        <w:rPr>
          <w:sz w:val="25"/>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000000">
      <w:pPr>
        <w:rPr>
          <w:sz w:val="25"/>
        </w:rPr>
      </w:pPr>
      <w:r>
        <w:rPr>
          <w:sz w:val="25"/>
        </w:rP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7000000">
      <w:pPr>
        <w:spacing w:after="0"/>
        <w:ind/>
        <w:rPr>
          <w:i w:val="1"/>
          <w:sz w:val="25"/>
        </w:rPr>
      </w:pPr>
      <w:r>
        <w:rPr>
          <w:sz w:val="25"/>
        </w:rPr>
        <w:t>2.4. Цена Контракта является твердой и определяется на весь срок его исполнения, за исключением случаев, предусмотренных пунктами 2.5 и 2.6 контракта.</w:t>
      </w:r>
      <w:r>
        <w:rPr>
          <w:i w:val="1"/>
          <w:sz w:val="25"/>
        </w:rPr>
        <w:t xml:space="preserve"> </w:t>
      </w:r>
    </w:p>
    <w:p w14:paraId="18000000">
      <w:pPr>
        <w:spacing w:after="0"/>
        <w:ind/>
        <w:rPr>
          <w:i w:val="1"/>
          <w:sz w:val="25"/>
        </w:rPr>
      </w:pPr>
      <w:r>
        <w:rPr>
          <w:sz w:val="25"/>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Pr>
          <w:i w:val="1"/>
          <w:sz w:val="25"/>
        </w:rPr>
        <w:t xml:space="preserve"> </w:t>
      </w:r>
    </w:p>
    <w:p w14:paraId="19000000">
      <w:pPr>
        <w:spacing w:after="0"/>
        <w:ind w:firstLine="426" w:left="0"/>
        <w:rPr>
          <w:sz w:val="25"/>
        </w:rPr>
      </w:pPr>
      <w:r>
        <w:rPr>
          <w:sz w:val="25"/>
        </w:rPr>
        <w:t xml:space="preserve">При этом по соглашению Сторон допускается изменение с учетом положений </w:t>
      </w:r>
      <w:r>
        <w:rPr>
          <w:sz w:val="25"/>
        </w:rPr>
        <w:fldChar w:fldCharType="begin"/>
      </w:r>
      <w:r>
        <w:rPr>
          <w:sz w:val="25"/>
        </w:rPr>
        <w:instrText>HYPERLINK "garantF1://12012604.4"</w:instrText>
      </w:r>
      <w:r>
        <w:rPr>
          <w:sz w:val="25"/>
        </w:rPr>
        <w:fldChar w:fldCharType="separate"/>
      </w:r>
      <w:r>
        <w:rPr>
          <w:sz w:val="25"/>
        </w:rPr>
        <w:t>бюджетного законодательства</w:t>
      </w:r>
      <w:r>
        <w:rPr>
          <w:sz w:val="25"/>
        </w:rPr>
        <w:fldChar w:fldCharType="end"/>
      </w:r>
      <w:r>
        <w:rPr>
          <w:sz w:val="25"/>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w:t>
      </w:r>
      <w:r>
        <w:rPr>
          <w:sz w:val="25"/>
        </w:rPr>
        <w:t>есять процентов цены Контракта.</w:t>
      </w:r>
    </w:p>
    <w:p w14:paraId="1A000000">
      <w:pPr>
        <w:spacing w:after="0"/>
        <w:ind w:firstLine="426" w:left="0"/>
        <w:rPr>
          <w:sz w:val="25"/>
        </w:rPr>
      </w:pPr>
      <w:r>
        <w:rPr>
          <w:sz w:val="25"/>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Pr>
          <w:sz w:val="25"/>
        </w:rPr>
        <w:t>частное от деления первоначальной цены Контракта на предусмотренное в Контракте количество Товара.</w:t>
      </w:r>
    </w:p>
    <w:p w14:paraId="1B000000">
      <w:pPr>
        <w:spacing w:after="0"/>
        <w:ind/>
        <w:rPr>
          <w:sz w:val="25"/>
        </w:rPr>
      </w:pPr>
      <w:r>
        <w:rPr>
          <w:sz w:val="25"/>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C000000">
      <w:pPr>
        <w:ind w:firstLine="426" w:left="0"/>
        <w:rPr>
          <w:sz w:val="25"/>
        </w:rPr>
      </w:pPr>
    </w:p>
    <w:p w14:paraId="1D000000">
      <w:pPr>
        <w:keepNext w:val="1"/>
        <w:ind w:firstLine="0" w:left="431"/>
        <w:jc w:val="center"/>
        <w:outlineLvl w:val="0"/>
        <w:rPr>
          <w:b w:val="1"/>
          <w:sz w:val="25"/>
        </w:rPr>
      </w:pPr>
      <w:bookmarkStart w:id="4" w:name="sub_1300"/>
      <w:r>
        <w:rPr>
          <w:b w:val="1"/>
          <w:sz w:val="25"/>
        </w:rPr>
        <w:t>3. Взаимодействие Сторон</w:t>
      </w:r>
    </w:p>
    <w:p w14:paraId="1E000000">
      <w:pPr>
        <w:spacing w:after="0"/>
        <w:ind/>
        <w:rPr>
          <w:sz w:val="25"/>
        </w:rPr>
      </w:pPr>
      <w:bookmarkStart w:id="5" w:name="sub_1301"/>
      <w:bookmarkEnd w:id="4"/>
      <w:r>
        <w:rPr>
          <w:sz w:val="25"/>
        </w:rPr>
        <w:t>3.1. Поставщик обязан:</w:t>
      </w:r>
    </w:p>
    <w:p w14:paraId="1F000000">
      <w:pPr>
        <w:spacing w:after="0"/>
        <w:ind/>
        <w:rPr>
          <w:sz w:val="25"/>
        </w:rPr>
      </w:pPr>
      <w:bookmarkStart w:id="6" w:name="sub_1311"/>
      <w:bookmarkEnd w:id="5"/>
      <w:r>
        <w:rPr>
          <w:sz w:val="25"/>
        </w:rPr>
        <w:t>3.1.1. поставить Товар в строгом соответствии с условиями Контракта в полном объеме, надлежащего качества и в установленные сроки;</w:t>
      </w:r>
    </w:p>
    <w:p w14:paraId="20000000">
      <w:pPr>
        <w:spacing w:after="0"/>
        <w:ind/>
        <w:rPr>
          <w:sz w:val="25"/>
        </w:rPr>
      </w:pPr>
      <w:bookmarkStart w:id="7" w:name="sub_1312"/>
      <w:bookmarkEnd w:id="6"/>
      <w:r>
        <w:rPr>
          <w:sz w:val="25"/>
        </w:rPr>
        <w:t xml:space="preserve">3.1.2. </w:t>
      </w:r>
      <w:bookmarkStart w:id="8" w:name="sub_1313"/>
      <w:bookmarkEnd w:id="7"/>
      <w:r>
        <w:rPr>
          <w:sz w:val="25"/>
        </w:rPr>
        <w:t>обеспечить соответствие поставляемого Товара требованиям качества, безопасности в соответствия с законодательством Российской Федерации;</w:t>
      </w:r>
    </w:p>
    <w:p w14:paraId="21000000">
      <w:pPr>
        <w:spacing w:after="0"/>
        <w:ind/>
        <w:rPr>
          <w:sz w:val="25"/>
        </w:rPr>
      </w:pPr>
      <w:bookmarkStart w:id="9" w:name="sub_1314"/>
      <w:bookmarkEnd w:id="8"/>
      <w:r>
        <w:rPr>
          <w:sz w:val="25"/>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2000000">
      <w:pPr>
        <w:spacing w:after="0"/>
        <w:ind/>
        <w:rPr>
          <w:sz w:val="25"/>
        </w:rPr>
      </w:pPr>
      <w:bookmarkStart w:id="10" w:name="sub_1315"/>
      <w:bookmarkEnd w:id="9"/>
      <w:r>
        <w:rPr>
          <w:sz w:val="25"/>
        </w:rPr>
        <w:t xml:space="preserve">3.1.4. </w:t>
      </w:r>
      <w:bookmarkStart w:id="11" w:name="sub_1316"/>
      <w:bookmarkEnd w:id="10"/>
      <w:r>
        <w:rPr>
          <w:sz w:val="25"/>
        </w:rPr>
        <w:t>незамедлительно информировать Заказчика обо всех обстоятельствах, препятствующих исполнению Контракта;</w:t>
      </w:r>
    </w:p>
    <w:p w14:paraId="23000000">
      <w:pPr>
        <w:spacing w:after="0"/>
        <w:ind/>
        <w:rPr>
          <w:sz w:val="25"/>
        </w:rPr>
      </w:pPr>
      <w:r>
        <w:rPr>
          <w:sz w:val="25"/>
        </w:rPr>
        <w:t>3.1.5. своими силами и за свой счет устранять допущенные недостатки при поставке Товара;</w:t>
      </w:r>
    </w:p>
    <w:p w14:paraId="24000000">
      <w:pPr>
        <w:spacing w:after="0"/>
        <w:ind/>
        <w:rPr>
          <w:sz w:val="25"/>
        </w:rPr>
      </w:pPr>
      <w:bookmarkStart w:id="12" w:name="sub_1317"/>
      <w:bookmarkEnd w:id="11"/>
      <w:r>
        <w:rPr>
          <w:sz w:val="25"/>
        </w:rPr>
        <w:t>3.1.6. выполнять свои обязательства, предусмотренные положениями Контракта;</w:t>
      </w:r>
    </w:p>
    <w:p w14:paraId="25000000">
      <w:pPr>
        <w:spacing w:after="0"/>
        <w:ind/>
        <w:rPr>
          <w:sz w:val="25"/>
        </w:rPr>
      </w:pPr>
      <w:bookmarkStart w:id="13" w:name="sub_1318"/>
      <w:r>
        <w:rPr>
          <w:sz w:val="25"/>
        </w:rPr>
        <w:t xml:space="preserve">3.1.7. обеспечивать гарантии на Товар в соответствии с </w:t>
      </w:r>
      <w:r>
        <w:rPr>
          <w:sz w:val="25"/>
        </w:rPr>
        <w:fldChar w:fldCharType="begin"/>
      </w:r>
      <w:r>
        <w:rPr>
          <w:sz w:val="25"/>
        </w:rPr>
        <w:instrText>HYPERLINK \l "sub_1800"</w:instrText>
      </w:r>
      <w:r>
        <w:rPr>
          <w:sz w:val="25"/>
        </w:rPr>
        <w:fldChar w:fldCharType="separate"/>
      </w:r>
      <w:r>
        <w:rPr>
          <w:sz w:val="25"/>
        </w:rPr>
        <w:t>разделом 7</w:t>
      </w:r>
      <w:r>
        <w:rPr>
          <w:sz w:val="25"/>
        </w:rPr>
        <w:fldChar w:fldCharType="end"/>
      </w:r>
      <w:r>
        <w:rPr>
          <w:sz w:val="25"/>
        </w:rPr>
        <w:t xml:space="preserve"> контракта.</w:t>
      </w:r>
    </w:p>
    <w:p w14:paraId="26000000">
      <w:pPr>
        <w:spacing w:after="0"/>
        <w:ind/>
        <w:rPr>
          <w:sz w:val="25"/>
        </w:rPr>
      </w:pPr>
      <w:bookmarkStart w:id="14" w:name="sub_1302"/>
      <w:bookmarkEnd w:id="12"/>
      <w:bookmarkEnd w:id="13"/>
      <w:r>
        <w:rPr>
          <w:sz w:val="25"/>
        </w:rPr>
        <w:t>3.2. Поставщик вправе:</w:t>
      </w:r>
    </w:p>
    <w:p w14:paraId="27000000">
      <w:pPr>
        <w:spacing w:after="0"/>
        <w:ind/>
        <w:rPr>
          <w:sz w:val="25"/>
        </w:rPr>
      </w:pPr>
      <w:bookmarkStart w:id="15" w:name="sub_1321"/>
      <w:bookmarkEnd w:id="14"/>
      <w:r>
        <w:rPr>
          <w:sz w:val="25"/>
        </w:rPr>
        <w:t>3.2.1. требовать от Заказчика предоставления имеющейся у него информации, необходимой для исполнения обязательств по Контракту;</w:t>
      </w:r>
    </w:p>
    <w:p w14:paraId="28000000">
      <w:pPr>
        <w:spacing w:after="0"/>
        <w:ind/>
        <w:rPr>
          <w:sz w:val="25"/>
        </w:rPr>
      </w:pPr>
      <w:bookmarkStart w:id="16" w:name="sub_1322"/>
      <w:bookmarkEnd w:id="15"/>
      <w:r>
        <w:rPr>
          <w:sz w:val="25"/>
        </w:rPr>
        <w:t>3.2.2. требовать от Заказчика своевременной оплаты поставленного Товара в порядке и на условиях, предусмотренных Контрактом.</w:t>
      </w:r>
    </w:p>
    <w:p w14:paraId="29000000">
      <w:pPr>
        <w:spacing w:after="0"/>
        <w:ind/>
        <w:rPr>
          <w:sz w:val="25"/>
        </w:rPr>
      </w:pPr>
      <w:bookmarkStart w:id="17" w:name="sub_1303"/>
      <w:bookmarkEnd w:id="16"/>
      <w:r>
        <w:rPr>
          <w:sz w:val="25"/>
        </w:rPr>
        <w:t>3.3. Заказчик обязан:</w:t>
      </w:r>
    </w:p>
    <w:p w14:paraId="2A000000">
      <w:pPr>
        <w:spacing w:after="0"/>
        <w:ind/>
        <w:rPr>
          <w:sz w:val="25"/>
        </w:rPr>
      </w:pPr>
      <w:bookmarkStart w:id="18" w:name="sub_1331"/>
      <w:bookmarkEnd w:id="17"/>
      <w:r>
        <w:rPr>
          <w:sz w:val="25"/>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2B000000">
      <w:pPr>
        <w:spacing w:after="0"/>
        <w:ind/>
        <w:rPr>
          <w:sz w:val="25"/>
        </w:rPr>
      </w:pPr>
      <w:bookmarkStart w:id="19" w:name="sub_1332"/>
      <w:bookmarkEnd w:id="18"/>
      <w:r>
        <w:rPr>
          <w:sz w:val="25"/>
        </w:rPr>
        <w:t xml:space="preserve">3.3.2. </w:t>
      </w:r>
      <w:bookmarkStart w:id="20" w:name="sub_1333"/>
      <w:bookmarkEnd w:id="19"/>
      <w:r>
        <w:rPr>
          <w:sz w:val="25"/>
        </w:rPr>
        <w:t>своевременно принять и оплатить поставленный Товар;</w:t>
      </w:r>
    </w:p>
    <w:p w14:paraId="2C000000">
      <w:pPr>
        <w:spacing w:after="0"/>
        <w:ind/>
        <w:rPr>
          <w:sz w:val="25"/>
        </w:rPr>
      </w:pPr>
      <w:r>
        <w:rPr>
          <w:sz w:val="25"/>
        </w:rPr>
        <w:t>3.3.3. выполнять свои обязательства, предусмотренные иными положениями Контракта.</w:t>
      </w:r>
    </w:p>
    <w:p w14:paraId="2D000000">
      <w:pPr>
        <w:spacing w:after="0"/>
        <w:ind/>
        <w:rPr>
          <w:sz w:val="25"/>
        </w:rPr>
      </w:pPr>
      <w:bookmarkStart w:id="21" w:name="sub_1304"/>
      <w:bookmarkEnd w:id="20"/>
      <w:r>
        <w:rPr>
          <w:sz w:val="25"/>
        </w:rPr>
        <w:t>3.4. Заказчик вправе:</w:t>
      </w:r>
    </w:p>
    <w:p w14:paraId="2E000000">
      <w:pPr>
        <w:spacing w:after="0"/>
        <w:ind/>
        <w:rPr>
          <w:sz w:val="25"/>
        </w:rPr>
      </w:pPr>
      <w:bookmarkStart w:id="22" w:name="sub_1341"/>
      <w:bookmarkEnd w:id="21"/>
      <w:r>
        <w:rPr>
          <w:sz w:val="25"/>
        </w:rPr>
        <w:t>3.4.1. требовать от Поставщика надлежащего исполнения обязательств, предусмотренных Контрактом;</w:t>
      </w:r>
    </w:p>
    <w:p w14:paraId="2F000000">
      <w:pPr>
        <w:spacing w:after="0"/>
        <w:ind/>
        <w:rPr>
          <w:sz w:val="25"/>
        </w:rPr>
      </w:pPr>
      <w:bookmarkStart w:id="23" w:name="sub_1342"/>
      <w:bookmarkEnd w:id="22"/>
      <w:r>
        <w:rPr>
          <w:sz w:val="25"/>
        </w:rPr>
        <w:t>3.4.2. запрашивать у Поставщика информацию об исполнении им обязательств по Контракту;</w:t>
      </w:r>
    </w:p>
    <w:p w14:paraId="30000000">
      <w:pPr>
        <w:spacing w:after="0"/>
        <w:ind/>
        <w:rPr>
          <w:sz w:val="25"/>
        </w:rPr>
      </w:pPr>
      <w:bookmarkStart w:id="24" w:name="sub_1343"/>
      <w:bookmarkEnd w:id="23"/>
      <w:r>
        <w:rPr>
          <w:sz w:val="25"/>
        </w:rPr>
        <w:t>3.4.3. проверять в любое время ход исполнения Поставщиком обязательств по Контракту;</w:t>
      </w:r>
    </w:p>
    <w:p w14:paraId="31000000">
      <w:pPr>
        <w:spacing w:after="0"/>
        <w:ind/>
        <w:rPr>
          <w:sz w:val="25"/>
        </w:rPr>
      </w:pPr>
      <w:bookmarkStart w:id="25" w:name="sub_1344"/>
      <w:bookmarkEnd w:id="24"/>
      <w:r>
        <w:rPr>
          <w:sz w:val="25"/>
        </w:rPr>
        <w:t>3.4.4. осуществлять контроль соответствия качества поставляемого Товара, сроков поставки Товара требованиям Контракта;</w:t>
      </w:r>
    </w:p>
    <w:p w14:paraId="32000000">
      <w:pPr>
        <w:spacing w:after="0"/>
        <w:ind/>
        <w:rPr>
          <w:sz w:val="25"/>
        </w:rPr>
      </w:pPr>
      <w:bookmarkStart w:id="26" w:name="sub_1345"/>
      <w:bookmarkEnd w:id="25"/>
      <w:r>
        <w:rPr>
          <w:sz w:val="25"/>
        </w:rPr>
        <w:t>3.4.5. требовать от Поставщика устранения недостатков, допущенных при исполнении Контракта;</w:t>
      </w:r>
    </w:p>
    <w:p w14:paraId="33000000">
      <w:pPr>
        <w:spacing w:after="0"/>
        <w:ind/>
        <w:rPr>
          <w:sz w:val="25"/>
        </w:rPr>
      </w:pPr>
      <w:bookmarkStart w:id="27" w:name="sub_1346"/>
      <w:bookmarkEnd w:id="26"/>
      <w:r>
        <w:rPr>
          <w:sz w:val="25"/>
        </w:rPr>
        <w:t>3.4.6. отказаться от приемки некачественного Товара и потребовать безвозмездного устранения недостатков;</w:t>
      </w:r>
      <w:bookmarkEnd w:id="27"/>
    </w:p>
    <w:p w14:paraId="34000000">
      <w:pPr>
        <w:spacing w:after="0"/>
        <w:ind/>
        <w:rPr>
          <w:sz w:val="25"/>
        </w:rPr>
      </w:pPr>
      <w:r>
        <w:rPr>
          <w:sz w:val="25"/>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5000000">
      <w:pPr>
        <w:spacing w:after="0"/>
        <w:ind/>
        <w:rPr>
          <w:sz w:val="25"/>
        </w:rPr>
      </w:pPr>
    </w:p>
    <w:p w14:paraId="36000000">
      <w:pPr>
        <w:keepNext w:val="1"/>
        <w:ind w:firstLine="0" w:left="431"/>
        <w:jc w:val="center"/>
        <w:outlineLvl w:val="0"/>
        <w:rPr>
          <w:b w:val="1"/>
          <w:sz w:val="25"/>
        </w:rPr>
      </w:pPr>
      <w:bookmarkStart w:id="28" w:name="sub_1400"/>
      <w:r>
        <w:rPr>
          <w:b w:val="1"/>
          <w:sz w:val="25"/>
        </w:rPr>
        <w:t>4. Упаковка и маркировка</w:t>
      </w:r>
      <w:bookmarkEnd w:id="28"/>
    </w:p>
    <w:p w14:paraId="37000000">
      <w:pPr>
        <w:keepNext w:val="1"/>
        <w:ind w:firstLine="0" w:left="431"/>
        <w:jc w:val="center"/>
        <w:outlineLvl w:val="0"/>
        <w:rPr>
          <w:b w:val="1"/>
          <w:sz w:val="25"/>
        </w:rPr>
      </w:pPr>
    </w:p>
    <w:p w14:paraId="38000000">
      <w:pPr>
        <w:spacing w:after="0"/>
        <w:ind/>
        <w:rPr>
          <w:sz w:val="25"/>
        </w:rPr>
      </w:pPr>
      <w:bookmarkStart w:id="29" w:name="sub_1401"/>
      <w:r>
        <w:rPr>
          <w:sz w:val="25"/>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bookmarkEnd w:id="29"/>
    </w:p>
    <w:p w14:paraId="39000000">
      <w:pPr>
        <w:spacing w:after="0"/>
        <w:ind/>
        <w:rPr>
          <w:sz w:val="25"/>
        </w:rPr>
      </w:pPr>
      <w:r>
        <w:rPr>
          <w:sz w:val="25"/>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3A000000">
      <w:pPr>
        <w:spacing w:after="0"/>
        <w:ind/>
        <w:rPr>
          <w:sz w:val="25"/>
        </w:rPr>
      </w:pPr>
      <w:bookmarkStart w:id="30" w:name="sub_1402"/>
      <w:r>
        <w:rPr>
          <w:sz w:val="25"/>
        </w:rPr>
        <w:t>4.2. Вся упаковка должна соответствовать требованиям законодательства Российской Федерации, иметь следующую маркировку:</w:t>
      </w:r>
      <w:bookmarkEnd w:id="30"/>
    </w:p>
    <w:p w14:paraId="3B000000">
      <w:pPr>
        <w:spacing w:after="0"/>
        <w:ind/>
        <w:rPr>
          <w:sz w:val="25"/>
        </w:rPr>
      </w:pPr>
      <w:r>
        <w:rPr>
          <w:sz w:val="25"/>
        </w:rPr>
        <w:t xml:space="preserve">Наименование </w:t>
      </w:r>
      <w:r>
        <w:rPr>
          <w:sz w:val="25"/>
        </w:rPr>
        <w:t>Товара:_</w:t>
      </w:r>
      <w:r>
        <w:rPr>
          <w:sz w:val="25"/>
        </w:rPr>
        <w:t>______________________</w:t>
      </w:r>
    </w:p>
    <w:p w14:paraId="3C000000">
      <w:pPr>
        <w:spacing w:after="0"/>
        <w:ind/>
        <w:rPr>
          <w:sz w:val="25"/>
        </w:rPr>
      </w:pPr>
      <w:r>
        <w:rPr>
          <w:sz w:val="25"/>
        </w:rPr>
        <w:t>Контракт N____________________</w:t>
      </w:r>
    </w:p>
    <w:p w14:paraId="3D000000">
      <w:pPr>
        <w:spacing w:after="0"/>
        <w:ind/>
        <w:rPr>
          <w:sz w:val="25"/>
        </w:rPr>
      </w:pPr>
      <w:r>
        <w:rPr>
          <w:sz w:val="25"/>
        </w:rPr>
        <w:t>Заказчик (название</w:t>
      </w:r>
      <w:r>
        <w:rPr>
          <w:sz w:val="25"/>
        </w:rPr>
        <w:t>):_</w:t>
      </w:r>
      <w:r>
        <w:rPr>
          <w:sz w:val="25"/>
        </w:rPr>
        <w:t>________________</w:t>
      </w:r>
    </w:p>
    <w:p w14:paraId="3E000000">
      <w:pPr>
        <w:spacing w:after="0"/>
        <w:ind/>
        <w:rPr>
          <w:sz w:val="25"/>
        </w:rPr>
      </w:pPr>
      <w:r>
        <w:rPr>
          <w:sz w:val="25"/>
        </w:rPr>
        <w:t>Поставщик (название компании</w:t>
      </w:r>
      <w:r>
        <w:rPr>
          <w:sz w:val="25"/>
        </w:rPr>
        <w:t>):_</w:t>
      </w:r>
      <w:r>
        <w:rPr>
          <w:sz w:val="25"/>
        </w:rPr>
        <w:t>____________</w:t>
      </w:r>
    </w:p>
    <w:p w14:paraId="3F000000">
      <w:pPr>
        <w:spacing w:after="0"/>
        <w:ind/>
        <w:rPr>
          <w:sz w:val="25"/>
        </w:rPr>
      </w:pPr>
      <w:r>
        <w:rPr>
          <w:sz w:val="25"/>
        </w:rPr>
        <w:t>Получатель:_</w:t>
      </w:r>
      <w:r>
        <w:rPr>
          <w:sz w:val="25"/>
        </w:rPr>
        <w:t>____________</w:t>
      </w:r>
    </w:p>
    <w:p w14:paraId="40000000">
      <w:pPr>
        <w:spacing w:after="0"/>
        <w:ind/>
        <w:rPr>
          <w:sz w:val="25"/>
        </w:rPr>
      </w:pPr>
      <w:r>
        <w:rPr>
          <w:sz w:val="25"/>
        </w:rPr>
        <w:t xml:space="preserve">Пункт </w:t>
      </w:r>
      <w:r>
        <w:rPr>
          <w:sz w:val="25"/>
        </w:rPr>
        <w:t>назначения:_</w:t>
      </w:r>
      <w:r>
        <w:rPr>
          <w:sz w:val="25"/>
        </w:rPr>
        <w:t>____________</w:t>
      </w:r>
    </w:p>
    <w:p w14:paraId="41000000">
      <w:pPr>
        <w:spacing w:after="0"/>
        <w:ind/>
        <w:rPr>
          <w:sz w:val="25"/>
        </w:rPr>
      </w:pPr>
      <w:r>
        <w:rPr>
          <w:sz w:val="25"/>
        </w:rPr>
        <w:t>Грузоотправитель:_</w:t>
      </w:r>
      <w:r>
        <w:rPr>
          <w:sz w:val="25"/>
        </w:rPr>
        <w:t>___________________</w:t>
      </w:r>
    </w:p>
    <w:p w14:paraId="42000000">
      <w:pPr>
        <w:spacing w:after="0"/>
        <w:ind/>
        <w:rPr>
          <w:sz w:val="25"/>
        </w:rPr>
      </w:pPr>
      <w:r>
        <w:rPr>
          <w:sz w:val="25"/>
        </w:rPr>
        <w:t>Ящик/контейнер N_______, всего ящиков/контейнеров_________</w:t>
      </w:r>
    </w:p>
    <w:p w14:paraId="43000000">
      <w:pPr>
        <w:spacing w:after="0"/>
        <w:ind/>
        <w:rPr>
          <w:sz w:val="25"/>
        </w:rPr>
      </w:pPr>
      <w:r>
        <w:rPr>
          <w:sz w:val="25"/>
        </w:rPr>
        <w:t xml:space="preserve">Размеры (высота, длина, </w:t>
      </w:r>
      <w:r>
        <w:rPr>
          <w:sz w:val="25"/>
        </w:rPr>
        <w:t>ширина)_</w:t>
      </w:r>
      <w:r>
        <w:rPr>
          <w:sz w:val="25"/>
        </w:rPr>
        <w:t>______________</w:t>
      </w:r>
    </w:p>
    <w:p w14:paraId="44000000">
      <w:pPr>
        <w:spacing w:after="0"/>
        <w:ind/>
        <w:rPr>
          <w:sz w:val="25"/>
        </w:rPr>
      </w:pPr>
      <w:r>
        <w:rPr>
          <w:sz w:val="25"/>
        </w:rPr>
        <w:t>Вес брутто ________ кг</w:t>
      </w:r>
    </w:p>
    <w:p w14:paraId="45000000">
      <w:pPr>
        <w:spacing w:after="0"/>
        <w:ind/>
        <w:rPr>
          <w:sz w:val="25"/>
        </w:rPr>
      </w:pPr>
      <w:r>
        <w:rPr>
          <w:sz w:val="25"/>
        </w:rPr>
        <w:t>Вес нетто _________ кг</w:t>
      </w:r>
    </w:p>
    <w:p w14:paraId="46000000">
      <w:pPr>
        <w:spacing w:after="0"/>
        <w:ind/>
        <w:rPr>
          <w:sz w:val="25"/>
        </w:rPr>
      </w:pPr>
      <w:bookmarkStart w:id="31" w:name="sub_1403"/>
      <w:r>
        <w:rPr>
          <w:sz w:val="25"/>
        </w:rP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bookmarkEnd w:id="31"/>
    </w:p>
    <w:p w14:paraId="47000000">
      <w:pPr>
        <w:spacing w:after="144"/>
        <w:ind/>
        <w:contextualSpacing w:val="1"/>
        <w:rPr>
          <w:sz w:val="25"/>
        </w:rPr>
      </w:pPr>
    </w:p>
    <w:p w14:paraId="48000000">
      <w:pPr>
        <w:keepNext w:val="1"/>
        <w:spacing w:after="144"/>
        <w:ind w:firstLine="0" w:left="432"/>
        <w:jc w:val="center"/>
        <w:outlineLvl w:val="0"/>
        <w:rPr>
          <w:b w:val="1"/>
          <w:sz w:val="25"/>
        </w:rPr>
      </w:pPr>
      <w:bookmarkStart w:id="32" w:name="sub_1500"/>
      <w:r>
        <w:rPr>
          <w:b w:val="1"/>
          <w:sz w:val="25"/>
        </w:rPr>
        <w:t>5. Порядок поставки Товара и документация</w:t>
      </w:r>
    </w:p>
    <w:p w14:paraId="49000000">
      <w:pPr>
        <w:spacing w:after="0"/>
        <w:ind/>
        <w:rPr>
          <w:b w:val="1"/>
          <w:i w:val="1"/>
          <w:sz w:val="25"/>
        </w:rPr>
      </w:pPr>
      <w:bookmarkStart w:id="33" w:name="sub_1501"/>
      <w:bookmarkEnd w:id="32"/>
      <w:r>
        <w:rPr>
          <w:sz w:val="25"/>
        </w:rPr>
        <w:t xml:space="preserve">5.1. Поставка Товара осуществляется Поставщиком в Место доставки на условиях, предусмотренных </w:t>
      </w:r>
      <w:r>
        <w:rPr>
          <w:sz w:val="25"/>
        </w:rPr>
        <w:fldChar w:fldCharType="begin"/>
      </w:r>
      <w:r>
        <w:rPr>
          <w:sz w:val="25"/>
        </w:rPr>
        <w:instrText>HYPERLINK \l "sub_1103"</w:instrText>
      </w:r>
      <w:r>
        <w:rPr>
          <w:sz w:val="25"/>
        </w:rPr>
        <w:fldChar w:fldCharType="separate"/>
      </w:r>
      <w:r>
        <w:rPr>
          <w:sz w:val="25"/>
        </w:rPr>
        <w:t>пунктом 1.3</w:t>
      </w:r>
      <w:r>
        <w:rPr>
          <w:sz w:val="25"/>
        </w:rPr>
        <w:fldChar w:fldCharType="end"/>
      </w:r>
      <w:r>
        <w:rPr>
          <w:sz w:val="25"/>
        </w:rPr>
        <w:t xml:space="preserve"> контракта, в </w:t>
      </w:r>
      <w:r>
        <w:rPr>
          <w:b w:val="1"/>
          <w:i w:val="1"/>
          <w:sz w:val="25"/>
        </w:rPr>
        <w:t>течение 3-х дней с момента направления заявки Заказчиком.</w:t>
      </w:r>
      <w:bookmarkEnd w:id="33"/>
    </w:p>
    <w:p w14:paraId="4A000000">
      <w:pPr>
        <w:spacing w:after="0"/>
        <w:ind/>
        <w:rPr>
          <w:sz w:val="25"/>
        </w:rPr>
      </w:pPr>
      <w:r>
        <w:rPr>
          <w:sz w:val="25"/>
        </w:rPr>
        <w:t>Заявка может быть передана Поставщику или письменно, или по телефону, или факсимильной связью, или электронной почтой и считается принятой Поставщиком в день отправки.</w:t>
      </w:r>
    </w:p>
    <w:p w14:paraId="4B000000">
      <w:pPr>
        <w:spacing w:after="0"/>
        <w:ind/>
        <w:rPr>
          <w:sz w:val="25"/>
        </w:rPr>
      </w:pPr>
      <w:bookmarkStart w:id="34" w:name="sub_1502"/>
      <w:r>
        <w:rPr>
          <w:sz w:val="25"/>
        </w:rPr>
        <w:t>5.2. Фактической датой поставки считается дата, указанная в Акте приема –передачи Товара</w:t>
      </w:r>
      <w:bookmarkStart w:id="35" w:name="sub_1503"/>
      <w:bookmarkEnd w:id="34"/>
      <w:r>
        <w:rPr>
          <w:sz w:val="25"/>
        </w:rPr>
        <w:t>, Акте приемки ТРУ по форме ОКУД 0510452 (Приказ Минфина от 15.04.2021 №61н).</w:t>
      </w:r>
    </w:p>
    <w:p w14:paraId="4C000000">
      <w:pPr>
        <w:spacing w:after="0"/>
        <w:ind/>
        <w:rPr>
          <w:sz w:val="25"/>
        </w:rPr>
      </w:pPr>
      <w:r>
        <w:rPr>
          <w:sz w:val="25"/>
        </w:rPr>
        <w:t>5.3. При поставке Товара Поставщик представляет следующую документацию:</w:t>
      </w:r>
    </w:p>
    <w:p w14:paraId="4D000000">
      <w:pPr>
        <w:spacing w:after="0"/>
        <w:ind/>
        <w:rPr>
          <w:sz w:val="25"/>
        </w:rPr>
      </w:pPr>
      <w:bookmarkStart w:id="36" w:name="sub_1531"/>
      <w:bookmarkEnd w:id="35"/>
      <w:r>
        <w:rPr>
          <w:sz w:val="25"/>
        </w:rPr>
        <w:t xml:space="preserve">а) </w:t>
      </w:r>
      <w:bookmarkStart w:id="37" w:name="sub_1532"/>
      <w:bookmarkEnd w:id="36"/>
      <w:r>
        <w:rPr>
          <w:sz w:val="25"/>
        </w:rPr>
        <w:t xml:space="preserve">копию сертификата или декларации соответствия, выданного уполномоченными органами (организациями), по товарам, подлежащим обязательной сертификации; </w:t>
      </w:r>
    </w:p>
    <w:p w14:paraId="4E000000">
      <w:pPr>
        <w:spacing w:after="0"/>
        <w:ind/>
        <w:rPr>
          <w:sz w:val="25"/>
        </w:rPr>
      </w:pPr>
      <w:r>
        <w:rPr>
          <w:sz w:val="25"/>
        </w:rPr>
        <w:t xml:space="preserve">б) копию санитарно-эпидемиологического заключения на товар, выданного </w:t>
      </w:r>
      <w:r>
        <w:rPr>
          <w:sz w:val="25"/>
        </w:rPr>
        <w:t>Роспотребнадзором</w:t>
      </w:r>
      <w:r>
        <w:rPr>
          <w:sz w:val="25"/>
        </w:rPr>
        <w:t xml:space="preserve">  (</w:t>
      </w:r>
      <w:r>
        <w:rPr>
          <w:sz w:val="25"/>
        </w:rPr>
        <w:t>по товарам, требующим указанных заключений);</w:t>
      </w:r>
    </w:p>
    <w:p w14:paraId="4F000000">
      <w:pPr>
        <w:spacing w:after="0"/>
        <w:ind/>
        <w:rPr>
          <w:sz w:val="25"/>
        </w:rPr>
      </w:pPr>
      <w:r>
        <w:rPr>
          <w:sz w:val="25"/>
        </w:rPr>
        <w:t>в) копии Регистрационных удостоверений Министерства здравоохранения и социального развития РФ (включая приложения) заверенные в установленном порядке (по товарам, требующим регистрации);</w:t>
      </w:r>
    </w:p>
    <w:p w14:paraId="50000000">
      <w:pPr>
        <w:spacing w:after="0"/>
        <w:ind/>
        <w:rPr>
          <w:sz w:val="25"/>
        </w:rPr>
      </w:pPr>
      <w:r>
        <w:rPr>
          <w:sz w:val="25"/>
        </w:rPr>
        <w:t>г) техническую и (или) эксплуатационную документацию производителя (изготовителя) Товара на русском языке;</w:t>
      </w:r>
    </w:p>
    <w:p w14:paraId="51000000">
      <w:pPr>
        <w:spacing w:after="0"/>
        <w:ind/>
        <w:rPr>
          <w:sz w:val="25"/>
        </w:rPr>
      </w:pPr>
      <w:bookmarkStart w:id="38" w:name="sub_1533"/>
      <w:bookmarkEnd w:id="37"/>
      <w:r>
        <w:rPr>
          <w:sz w:val="25"/>
        </w:rPr>
        <w:t>д) товарную накладную, составленную по форме в соответствии с законодательством Российской Федерации, в трех экземплярах, в которой должна быть указана серия товара, срок годности, источник финансирования (указанный в п. «основание») и (или) УПД;</w:t>
      </w:r>
    </w:p>
    <w:p w14:paraId="52000000">
      <w:pPr>
        <w:spacing w:after="0"/>
        <w:ind/>
        <w:rPr>
          <w:sz w:val="25"/>
        </w:rPr>
      </w:pPr>
      <w:r>
        <w:rPr>
          <w:sz w:val="25"/>
        </w:rPr>
        <w:t>е) счет-фактуру;</w:t>
      </w:r>
    </w:p>
    <w:p w14:paraId="53000000">
      <w:pPr>
        <w:spacing w:after="0"/>
        <w:ind/>
        <w:rPr>
          <w:sz w:val="25"/>
        </w:rPr>
      </w:pPr>
      <w:r>
        <w:rPr>
          <w:sz w:val="25"/>
        </w:rPr>
        <w:t xml:space="preserve">ж) электронную товарную накладную в формате </w:t>
      </w:r>
      <w:r>
        <w:rPr>
          <w:sz w:val="25"/>
        </w:rPr>
        <w:t>Excel</w:t>
      </w:r>
      <w:r>
        <w:rPr>
          <w:sz w:val="25"/>
        </w:rPr>
        <w:t xml:space="preserve">, на электронном носителе. </w:t>
      </w:r>
    </w:p>
    <w:p w14:paraId="54000000">
      <w:pPr>
        <w:spacing w:after="0"/>
        <w:ind/>
        <w:rPr>
          <w:sz w:val="25"/>
        </w:rPr>
      </w:pPr>
      <w:bookmarkStart w:id="39" w:name="sub_1534"/>
      <w:bookmarkEnd w:id="38"/>
      <w:r>
        <w:rPr>
          <w:sz w:val="25"/>
        </w:rPr>
        <w:t>з) Акт приема-передачи Товара, Акт приемки ТРУ по форме ОКУД 0510452 (Приказ Минфина от 15.04.2021 №61н) в двух экземплярах (один экземпляр для Заказчика и один экземпляр для Поставщика);</w:t>
      </w:r>
      <w:bookmarkEnd w:id="39"/>
    </w:p>
    <w:p w14:paraId="55000000">
      <w:pPr>
        <w:spacing w:after="0"/>
        <w:ind/>
        <w:rPr>
          <w:sz w:val="25"/>
        </w:rPr>
      </w:pPr>
      <w:r>
        <w:rPr>
          <w:sz w:val="25"/>
        </w:rPr>
        <w:t>и) счет на оплату за поставку Товара.</w:t>
      </w:r>
    </w:p>
    <w:p w14:paraId="56000000">
      <w:pPr>
        <w:spacing w:after="0"/>
        <w:ind/>
        <w:rPr>
          <w:sz w:val="25"/>
        </w:rPr>
      </w:pPr>
      <w:r>
        <w:rPr>
          <w:sz w:val="25"/>
        </w:rPr>
        <w:t>к)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7000000">
      <w:pPr>
        <w:spacing w:after="0"/>
        <w:ind/>
        <w:rPr>
          <w:sz w:val="25"/>
        </w:rPr>
      </w:pPr>
      <w:r>
        <w:rPr>
          <w:sz w:val="25"/>
        </w:rPr>
        <w:t>5.4. Поставщик осуществляет поставку товара по настоящему контракту с остаточным сроком годности на момент поставки согласно Приложению № 1 к Контракту.</w:t>
      </w:r>
    </w:p>
    <w:p w14:paraId="58000000">
      <w:pPr>
        <w:spacing w:after="0"/>
        <w:ind/>
        <w:rPr>
          <w:sz w:val="25"/>
        </w:rPr>
      </w:pPr>
    </w:p>
    <w:p w14:paraId="59000000">
      <w:pPr>
        <w:keepNext w:val="1"/>
        <w:ind w:firstLine="0" w:left="431"/>
        <w:jc w:val="center"/>
        <w:outlineLvl w:val="0"/>
        <w:rPr>
          <w:b w:val="1"/>
          <w:sz w:val="25"/>
        </w:rPr>
      </w:pPr>
      <w:bookmarkStart w:id="40" w:name="sub_1600"/>
      <w:r>
        <w:rPr>
          <w:b w:val="1"/>
          <w:sz w:val="25"/>
        </w:rPr>
        <w:t>6. Порядок приемки Товара</w:t>
      </w:r>
    </w:p>
    <w:p w14:paraId="5A000000">
      <w:pPr>
        <w:spacing w:after="0"/>
        <w:ind/>
        <w:rPr>
          <w:sz w:val="25"/>
        </w:rPr>
      </w:pPr>
      <w:bookmarkStart w:id="41" w:name="sub_1601"/>
      <w:bookmarkStart w:id="42" w:name="sub_1605"/>
      <w:bookmarkEnd w:id="40"/>
      <w:r>
        <w:rPr>
          <w:sz w:val="25"/>
        </w:rPr>
        <w:t>6.1. Приемка поставленного Товара осуществляется в ходе передачи Товара Заказчику (Получателю) в Месте доставки и включает в себя следующее:</w:t>
      </w:r>
    </w:p>
    <w:p w14:paraId="5B000000">
      <w:pPr>
        <w:spacing w:after="0"/>
        <w:ind/>
        <w:rPr>
          <w:sz w:val="25"/>
        </w:rPr>
      </w:pPr>
      <w:bookmarkStart w:id="43" w:name="sub_1611"/>
      <w:bookmarkEnd w:id="41"/>
      <w:r>
        <w:rPr>
          <w:sz w:val="25"/>
        </w:rPr>
        <w:t>а) проверку по упаковочным листам номенклатуры поставленного Товара на соответствие Спецификации (</w:t>
      </w:r>
      <w:r>
        <w:rPr>
          <w:sz w:val="25"/>
        </w:rPr>
        <w:fldChar w:fldCharType="begin"/>
      </w:r>
      <w:r>
        <w:rPr>
          <w:sz w:val="25"/>
        </w:rPr>
        <w:instrText>HYPERLINK \l "sub_10000"</w:instrText>
      </w:r>
      <w:r>
        <w:rPr>
          <w:sz w:val="25"/>
        </w:rPr>
        <w:fldChar w:fldCharType="separate"/>
      </w:r>
      <w:r>
        <w:rPr>
          <w:sz w:val="25"/>
        </w:rPr>
        <w:t>приложение N 1</w:t>
      </w:r>
      <w:r>
        <w:rPr>
          <w:sz w:val="25"/>
        </w:rPr>
        <w:fldChar w:fldCharType="end"/>
      </w:r>
      <w:r>
        <w:rPr>
          <w:sz w:val="25"/>
        </w:rPr>
        <w:t xml:space="preserve"> к Контракту);</w:t>
      </w:r>
    </w:p>
    <w:p w14:paraId="5C000000">
      <w:pPr>
        <w:spacing w:after="0"/>
        <w:ind/>
        <w:rPr>
          <w:sz w:val="25"/>
        </w:rPr>
      </w:pPr>
      <w:bookmarkStart w:id="44" w:name="sub_1612"/>
      <w:bookmarkEnd w:id="43"/>
      <w:r>
        <w:rPr>
          <w:sz w:val="25"/>
        </w:rPr>
        <w:t>б) проверку полноты и правильности оформления комплекта сопроводительных документов в соответствии с условиями Контракта;</w:t>
      </w:r>
    </w:p>
    <w:p w14:paraId="5D000000">
      <w:pPr>
        <w:spacing w:after="0"/>
        <w:ind/>
        <w:rPr>
          <w:sz w:val="25"/>
        </w:rPr>
      </w:pPr>
      <w:bookmarkStart w:id="45" w:name="sub_1613"/>
      <w:bookmarkEnd w:id="44"/>
      <w:r>
        <w:rPr>
          <w:sz w:val="25"/>
        </w:rPr>
        <w:t>в) контроль наличия/отсутствия внешних повреждений оригинальной упаковки Товара;</w:t>
      </w:r>
    </w:p>
    <w:p w14:paraId="5E000000">
      <w:pPr>
        <w:spacing w:after="0"/>
        <w:ind/>
        <w:rPr>
          <w:sz w:val="25"/>
        </w:rPr>
      </w:pPr>
      <w:bookmarkStart w:id="46" w:name="sub_1614"/>
      <w:bookmarkEnd w:id="45"/>
      <w:r>
        <w:rPr>
          <w:sz w:val="25"/>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5F000000">
      <w:pPr>
        <w:spacing w:after="0"/>
        <w:ind/>
        <w:rPr>
          <w:sz w:val="25"/>
        </w:rPr>
      </w:pPr>
      <w:bookmarkStart w:id="47" w:name="sub_1615"/>
      <w:bookmarkEnd w:id="46"/>
      <w:r>
        <w:rPr>
          <w:sz w:val="25"/>
        </w:rPr>
        <w:t>д) проверку наличия технической и (или) эксплуатационной документации производителя (изготовителя) Товара на русском языке;</w:t>
      </w:r>
    </w:p>
    <w:p w14:paraId="60000000">
      <w:pPr>
        <w:spacing w:after="0"/>
        <w:ind/>
        <w:rPr>
          <w:sz w:val="25"/>
        </w:rPr>
      </w:pPr>
      <w:bookmarkStart w:id="48" w:name="sub_1616"/>
      <w:bookmarkEnd w:id="47"/>
      <w:r>
        <w:rPr>
          <w:sz w:val="25"/>
        </w:rPr>
        <w:t>е) проверку комплектности и целостности поставленного Товара.</w:t>
      </w:r>
      <w:bookmarkEnd w:id="48"/>
    </w:p>
    <w:p w14:paraId="61000000">
      <w:pPr>
        <w:spacing w:after="0"/>
        <w:ind/>
        <w:rPr>
          <w:sz w:val="25"/>
        </w:rPr>
      </w:pPr>
      <w:r>
        <w:rPr>
          <w:sz w:val="25"/>
        </w:rPr>
        <w:t>Приемка Товара осуществляется в соответствии с требованиями законодательства Российской Федерации.</w:t>
      </w:r>
    </w:p>
    <w:p w14:paraId="62000000">
      <w:pPr>
        <w:spacing w:after="0"/>
        <w:ind/>
        <w:rPr>
          <w:sz w:val="25"/>
        </w:rPr>
      </w:pPr>
      <w:r>
        <w:rPr>
          <w:sz w:val="25"/>
        </w:rPr>
        <w:t>По факту приемки Товара Поставщик и Заказчик подписывают Акт приема-передачи Товара</w:t>
      </w:r>
      <w:bookmarkStart w:id="49" w:name="sub_1602"/>
      <w:r>
        <w:rPr>
          <w:sz w:val="25"/>
        </w:rPr>
        <w:t>, Акт приемки ТРУ по форме ОКУД 0510452 (Приказ Минфина от 15.04.2021 №61н).</w:t>
      </w:r>
    </w:p>
    <w:p w14:paraId="63000000">
      <w:pPr>
        <w:spacing w:after="0"/>
        <w:ind/>
        <w:rPr>
          <w:sz w:val="25"/>
        </w:rPr>
      </w:pPr>
      <w:r>
        <w:rPr>
          <w:sz w:val="25"/>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r>
        <w:rPr>
          <w:sz w:val="25"/>
        </w:rPr>
        <w:fldChar w:fldCharType="begin"/>
      </w:r>
      <w:r>
        <w:rPr>
          <w:sz w:val="25"/>
        </w:rPr>
        <w:instrText>HYPERLINK "garantF1://70253464.94"</w:instrText>
      </w:r>
      <w:r>
        <w:rPr>
          <w:sz w:val="25"/>
        </w:rPr>
        <w:fldChar w:fldCharType="separate"/>
      </w:r>
      <w:r>
        <w:rPr>
          <w:sz w:val="25"/>
        </w:rPr>
        <w:t>статьей 94</w:t>
      </w:r>
      <w:r>
        <w:rPr>
          <w:sz w:val="25"/>
        </w:rPr>
        <w:fldChar w:fldCharType="end"/>
      </w:r>
      <w:r>
        <w:rPr>
          <w:sz w:val="25"/>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64000000">
      <w:pPr>
        <w:spacing w:after="0"/>
        <w:ind/>
        <w:rPr>
          <w:sz w:val="25"/>
        </w:rPr>
      </w:pPr>
      <w:bookmarkStart w:id="50" w:name="sub_1603"/>
      <w:bookmarkEnd w:id="49"/>
      <w:r>
        <w:rPr>
          <w:sz w:val="25"/>
        </w:rPr>
        <w:t xml:space="preserve">6.3. Заказчик (Получатель) в течение 3 рабочих дней со дня получения от Поставщика документов, предусмотренных </w:t>
      </w:r>
      <w:r>
        <w:rPr>
          <w:sz w:val="25"/>
        </w:rPr>
        <w:fldChar w:fldCharType="begin"/>
      </w:r>
      <w:r>
        <w:rPr>
          <w:sz w:val="25"/>
        </w:rPr>
        <w:instrText>HYPERLINK \l "sub_1503"</w:instrText>
      </w:r>
      <w:r>
        <w:rPr>
          <w:sz w:val="25"/>
        </w:rPr>
        <w:fldChar w:fldCharType="separate"/>
      </w:r>
      <w:r>
        <w:rPr>
          <w:sz w:val="25"/>
        </w:rPr>
        <w:t>пунктом 5.3</w:t>
      </w:r>
      <w:r>
        <w:rPr>
          <w:sz w:val="25"/>
        </w:rPr>
        <w:fldChar w:fldCharType="end"/>
      </w:r>
      <w:r>
        <w:rPr>
          <w:sz w:val="25"/>
        </w:rPr>
        <w:t xml:space="preserve"> Контракта, направляет Поставщику подписанный Акт приема-передачи Товара, Акт приемки ТРУ по форме ОКУД 0510452 (Приказ Минфина от 15.04.2021 №61н) или мотивированный отказ от подписания, в котором указываются недостатки и сроки их устранения.</w:t>
      </w:r>
    </w:p>
    <w:p w14:paraId="65000000">
      <w:pPr>
        <w:spacing w:after="0"/>
        <w:ind/>
        <w:rPr>
          <w:sz w:val="25"/>
        </w:rPr>
      </w:pPr>
      <w:bookmarkStart w:id="51" w:name="sub_1604"/>
      <w:bookmarkEnd w:id="50"/>
      <w:r>
        <w:rPr>
          <w:sz w:val="25"/>
        </w:rPr>
        <w:t xml:space="preserve">6.4. После устранения недостатков, послуживших основанием для не подписания Акт приема-передачи Товара, Поставщик и Заказчик подписывают Акт приема-передачи Товара (в порядке и сроки, предусмотренные </w:t>
      </w:r>
      <w:r>
        <w:rPr>
          <w:sz w:val="25"/>
        </w:rPr>
        <w:fldChar w:fldCharType="begin"/>
      </w:r>
      <w:r>
        <w:rPr>
          <w:sz w:val="25"/>
        </w:rPr>
        <w:instrText>HYPERLINK \l "sub_1602"</w:instrText>
      </w:r>
      <w:r>
        <w:rPr>
          <w:sz w:val="25"/>
        </w:rPr>
        <w:fldChar w:fldCharType="separate"/>
      </w:r>
      <w:r>
        <w:rPr>
          <w:sz w:val="25"/>
        </w:rPr>
        <w:t>пунктами 6.2</w:t>
      </w:r>
      <w:r>
        <w:rPr>
          <w:sz w:val="25"/>
        </w:rPr>
        <w:fldChar w:fldCharType="end"/>
      </w:r>
      <w:r>
        <w:rPr>
          <w:sz w:val="25"/>
        </w:rPr>
        <w:t xml:space="preserve"> и </w:t>
      </w:r>
      <w:r>
        <w:rPr>
          <w:sz w:val="25"/>
        </w:rPr>
        <w:fldChar w:fldCharType="begin"/>
      </w:r>
      <w:r>
        <w:rPr>
          <w:sz w:val="25"/>
        </w:rPr>
        <w:instrText>HYPERLINK \l "sub_1603"</w:instrText>
      </w:r>
      <w:r>
        <w:rPr>
          <w:sz w:val="25"/>
        </w:rPr>
        <w:fldChar w:fldCharType="separate"/>
      </w:r>
      <w:r>
        <w:rPr>
          <w:sz w:val="25"/>
        </w:rPr>
        <w:t>6.3</w:t>
      </w:r>
      <w:r>
        <w:rPr>
          <w:sz w:val="25"/>
        </w:rPr>
        <w:fldChar w:fldCharType="end"/>
      </w:r>
      <w:r>
        <w:rPr>
          <w:sz w:val="25"/>
        </w:rPr>
        <w:t xml:space="preserve"> контракта , Акт приемки ТРУ по форме ОКУД 0510452 (Приказ Минфина от 15.04.2021 №61н).</w:t>
      </w:r>
      <w:bookmarkEnd w:id="51"/>
    </w:p>
    <w:p w14:paraId="66000000">
      <w:pPr>
        <w:spacing w:after="0"/>
        <w:ind/>
        <w:rPr>
          <w:sz w:val="25"/>
        </w:rPr>
      </w:pPr>
      <w:r>
        <w:rPr>
          <w:sz w:val="25"/>
        </w:rPr>
        <w:t>6.5. Со дня подписания Акт приемки ТРУ по форме ОКУД 0510452 (Приказ Минфина от 15.04.2021 №61н), Акт приема-передачи Товара Заказчиком все риски случайной гибели, утраты или повреждения Товара переходят к Заказчику.</w:t>
      </w:r>
    </w:p>
    <w:p w14:paraId="67000000">
      <w:pPr>
        <w:tabs>
          <w:tab w:leader="none" w:pos="708" w:val="left"/>
        </w:tabs>
        <w:spacing w:after="0"/>
        <w:ind/>
        <w:rPr>
          <w:sz w:val="25"/>
        </w:rPr>
      </w:pPr>
      <w:r>
        <w:rPr>
          <w:sz w:val="25"/>
        </w:rPr>
        <w:t xml:space="preserve">6.6. При приемке товара обязан присутствовать уполномоченный представитель Поставщика с надлежаще оформленной доверенностью. </w:t>
      </w:r>
    </w:p>
    <w:p w14:paraId="68000000">
      <w:pPr>
        <w:tabs>
          <w:tab w:leader="none" w:pos="708" w:val="left"/>
        </w:tabs>
        <w:spacing w:after="0"/>
        <w:ind/>
        <w:rPr>
          <w:sz w:val="25"/>
        </w:rPr>
      </w:pPr>
    </w:p>
    <w:p w14:paraId="69000000">
      <w:pPr>
        <w:keepNext w:val="1"/>
        <w:ind w:hanging="431" w:left="431"/>
        <w:jc w:val="center"/>
        <w:outlineLvl w:val="0"/>
        <w:rPr>
          <w:b w:val="1"/>
          <w:sz w:val="25"/>
        </w:rPr>
      </w:pPr>
      <w:bookmarkStart w:id="52" w:name="sub_1800"/>
      <w:bookmarkEnd w:id="42"/>
      <w:r>
        <w:rPr>
          <w:b w:val="1"/>
          <w:sz w:val="25"/>
        </w:rPr>
        <w:t>7. Гаранти</w:t>
      </w:r>
      <w:bookmarkEnd w:id="52"/>
      <w:r>
        <w:rPr>
          <w:b w:val="1"/>
          <w:sz w:val="25"/>
        </w:rPr>
        <w:t>и</w:t>
      </w:r>
    </w:p>
    <w:p w14:paraId="6A000000">
      <w:pPr>
        <w:spacing w:after="0"/>
        <w:ind/>
        <w:rPr>
          <w:sz w:val="25"/>
        </w:rPr>
      </w:pPr>
      <w:bookmarkStart w:id="53" w:name="sub_1801"/>
      <w:bookmarkStart w:id="54" w:name="sub_1862"/>
      <w:r>
        <w:rPr>
          <w:sz w:val="25"/>
        </w:rPr>
        <w:t>7.1. Поставщик гарантирует, что Товар, поставленный в соответствии с Контрактом, является новым, неиспользованным, серийно выпускаемым.</w:t>
      </w:r>
      <w:bookmarkEnd w:id="53"/>
    </w:p>
    <w:p w14:paraId="6B000000">
      <w:pPr>
        <w:spacing w:after="0"/>
        <w:ind/>
        <w:rPr>
          <w:sz w:val="25"/>
        </w:rPr>
      </w:pPr>
      <w:r>
        <w:rPr>
          <w:sz w:val="25"/>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r>
        <w:rPr>
          <w:sz w:val="25"/>
        </w:rPr>
        <w:fldChar w:fldCharType="begin"/>
      </w:r>
      <w:r>
        <w:rPr>
          <w:sz w:val="25"/>
        </w:rPr>
        <w:instrText>HYPERLINK \l "sub_10000"</w:instrText>
      </w:r>
      <w:r>
        <w:rPr>
          <w:sz w:val="25"/>
        </w:rPr>
        <w:fldChar w:fldCharType="separate"/>
      </w:r>
      <w:r>
        <w:rPr>
          <w:sz w:val="25"/>
        </w:rPr>
        <w:t>приложение N 1</w:t>
      </w:r>
      <w:r>
        <w:rPr>
          <w:sz w:val="25"/>
        </w:rPr>
        <w:fldChar w:fldCharType="end"/>
      </w:r>
      <w:r>
        <w:rPr>
          <w:sz w:val="25"/>
        </w:rPr>
        <w:t xml:space="preserve"> к Контракту), технической и (или) эксплуатационной документацией производителя (изготовителя) Товара.</w:t>
      </w:r>
    </w:p>
    <w:p w14:paraId="6C000000">
      <w:pPr>
        <w:spacing w:after="0"/>
        <w:ind/>
        <w:rPr>
          <w:sz w:val="25"/>
        </w:rPr>
      </w:pPr>
      <w:bookmarkStart w:id="55" w:name="sub_1802"/>
      <w:r>
        <w:rPr>
          <w:sz w:val="25"/>
        </w:rPr>
        <w:t xml:space="preserve">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w:t>
      </w:r>
      <w:r>
        <w:rPr>
          <w:sz w:val="25"/>
        </w:rPr>
        <w:t>подтверждающими надлежащее качество материалов, используемых для изготовления Товара, а также надлежащее качество (в случае если Заказчиком установлены требования к гарантийному сроку).</w:t>
      </w:r>
    </w:p>
    <w:p w14:paraId="6D000000">
      <w:pPr>
        <w:spacing w:after="0"/>
        <w:ind/>
        <w:rPr>
          <w:sz w:val="25"/>
        </w:rPr>
      </w:pPr>
      <w:bookmarkStart w:id="56" w:name="sub_1803"/>
      <w:bookmarkEnd w:id="55"/>
      <w:r>
        <w:rPr>
          <w:sz w:val="25"/>
        </w:rPr>
        <w:t>7.3. Поставщик гарантирует полное соответствие поставляемого Товара условиям Контракта.</w:t>
      </w:r>
    </w:p>
    <w:p w14:paraId="6E000000">
      <w:pPr>
        <w:spacing w:after="0"/>
        <w:ind/>
        <w:rPr>
          <w:sz w:val="25"/>
        </w:rPr>
      </w:pPr>
      <w:bookmarkStart w:id="57" w:name="sub_1804"/>
      <w:bookmarkEnd w:id="56"/>
      <w:r>
        <w:rPr>
          <w:sz w:val="25"/>
        </w:rPr>
        <w:t xml:space="preserve">7.4. </w:t>
      </w:r>
      <w:bookmarkStart w:id="58" w:name="sub_1805"/>
      <w:bookmarkEnd w:id="57"/>
      <w:r>
        <w:rPr>
          <w:sz w:val="25"/>
        </w:rPr>
        <w:t xml:space="preserve">Неисправный или дефектный Товар будет возвращен Поставщику за его счет в сроки, согласованные Заказчиком и Поставщиком. </w:t>
      </w:r>
    </w:p>
    <w:p w14:paraId="6F000000">
      <w:pPr>
        <w:spacing w:after="0"/>
        <w:ind/>
        <w:rPr>
          <w:sz w:val="25"/>
        </w:rPr>
      </w:pPr>
      <w:r>
        <w:rPr>
          <w:sz w:val="25"/>
        </w:rPr>
        <w:t xml:space="preserve">7.5. </w:t>
      </w:r>
      <w:bookmarkStart w:id="59" w:name="sub_1806"/>
      <w:bookmarkEnd w:id="58"/>
      <w:r>
        <w:rPr>
          <w:sz w:val="25"/>
        </w:rPr>
        <w:t>Поставщик не несет гарантийной ответственности за неполадки и неисправности Товара, если они произошли:</w:t>
      </w:r>
    </w:p>
    <w:p w14:paraId="70000000">
      <w:pPr>
        <w:spacing w:after="0"/>
        <w:ind/>
        <w:rPr>
          <w:sz w:val="25"/>
        </w:rPr>
      </w:pPr>
      <w:bookmarkStart w:id="60" w:name="sub_1861"/>
      <w:bookmarkEnd w:id="59"/>
      <w:r>
        <w:rPr>
          <w:sz w:val="25"/>
        </w:rPr>
        <w:t>а) в результате внесения Заказчиком или третьей стороной модификаций или изменений Товара без письменного согласия Поставщика;</w:t>
      </w:r>
      <w:bookmarkEnd w:id="60"/>
    </w:p>
    <w:p w14:paraId="71000000">
      <w:pPr>
        <w:spacing w:after="0"/>
        <w:ind/>
        <w:rPr>
          <w:sz w:val="25"/>
        </w:rPr>
      </w:pPr>
      <w:r>
        <w:rPr>
          <w:sz w:val="25"/>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72000000">
      <w:pPr>
        <w:keepNext w:val="1"/>
        <w:spacing w:before="240"/>
        <w:ind w:firstLine="0" w:left="432"/>
        <w:jc w:val="center"/>
        <w:outlineLvl w:val="0"/>
        <w:rPr>
          <w:b w:val="1"/>
          <w:sz w:val="25"/>
        </w:rPr>
      </w:pPr>
      <w:bookmarkStart w:id="61" w:name="sub_1900"/>
      <w:bookmarkEnd w:id="54"/>
      <w:r>
        <w:rPr>
          <w:b w:val="1"/>
          <w:sz w:val="25"/>
        </w:rPr>
        <w:t>8. Порядок расчетов</w:t>
      </w:r>
      <w:bookmarkEnd w:id="61"/>
    </w:p>
    <w:p w14:paraId="73000000">
      <w:pPr>
        <w:spacing w:after="0"/>
        <w:ind/>
        <w:rPr>
          <w:i w:val="1"/>
          <w:sz w:val="25"/>
        </w:rPr>
      </w:pPr>
      <w:bookmarkStart w:id="62" w:name="sub_1901"/>
      <w:r>
        <w:rPr>
          <w:sz w:val="25"/>
        </w:rPr>
        <w:t xml:space="preserve">8.1. </w:t>
      </w:r>
      <w:r>
        <w:rPr>
          <w:i w:val="1"/>
          <w:sz w:val="25"/>
        </w:rPr>
        <w:t xml:space="preserve">Оплата по Контракту </w:t>
      </w:r>
      <w:bookmarkStart w:id="63" w:name="sub_1902"/>
      <w:bookmarkEnd w:id="62"/>
      <w:r>
        <w:rPr>
          <w:i w:val="1"/>
          <w:sz w:val="25"/>
        </w:rPr>
        <w:t>осуществляется за счет средств бюджетного учреждения.</w:t>
      </w:r>
    </w:p>
    <w:p w14:paraId="74000000">
      <w:pPr>
        <w:spacing w:after="0"/>
        <w:ind/>
        <w:rPr>
          <w:sz w:val="25"/>
        </w:rPr>
      </w:pPr>
      <w:bookmarkStart w:id="64" w:name="sub_11100"/>
      <w:bookmarkStart w:id="65" w:name="sub_11172"/>
      <w:bookmarkEnd w:id="63"/>
      <w:r>
        <w:rPr>
          <w:sz w:val="25"/>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5000000">
      <w:pPr>
        <w:spacing w:after="0"/>
        <w:ind/>
        <w:rPr>
          <w:sz w:val="25"/>
        </w:rPr>
      </w:pPr>
      <w:r>
        <w:rPr>
          <w:sz w:val="25"/>
        </w:rPr>
        <w:t>Оплата по Контракту осуществляется после исполнения обязательств Поставщиком по каждому этапу поставки Товара.</w:t>
      </w:r>
    </w:p>
    <w:p w14:paraId="76000000">
      <w:pPr>
        <w:spacing w:after="0"/>
        <w:ind/>
        <w:rPr>
          <w:sz w:val="25"/>
        </w:rPr>
      </w:pPr>
      <w:bookmarkStart w:id="66" w:name="sub_1903"/>
      <w:r>
        <w:rPr>
          <w:sz w:val="25"/>
        </w:rPr>
        <w:t>8.3. Оплата по Контракту за поставленный Товар осуществляется Заказчиком после представления Поставщиком в день поставки следующих документов:</w:t>
      </w:r>
    </w:p>
    <w:p w14:paraId="77000000">
      <w:pPr>
        <w:spacing w:after="0"/>
        <w:ind/>
        <w:rPr>
          <w:sz w:val="25"/>
        </w:rPr>
      </w:pPr>
      <w:bookmarkStart w:id="67" w:name="sub_1931"/>
      <w:bookmarkStart w:id="68" w:name="sub_1904"/>
      <w:bookmarkEnd w:id="66"/>
      <w:r>
        <w:rPr>
          <w:sz w:val="25"/>
        </w:rPr>
        <w:t>а) счета;</w:t>
      </w:r>
    </w:p>
    <w:p w14:paraId="78000000">
      <w:pPr>
        <w:spacing w:after="0"/>
        <w:ind/>
        <w:rPr>
          <w:sz w:val="25"/>
        </w:rPr>
      </w:pPr>
      <w:bookmarkStart w:id="69" w:name="sub_1932"/>
      <w:bookmarkEnd w:id="67"/>
      <w:r>
        <w:rPr>
          <w:sz w:val="25"/>
        </w:rPr>
        <w:t>б) счета-фактуры;</w:t>
      </w:r>
    </w:p>
    <w:p w14:paraId="79000000">
      <w:pPr>
        <w:spacing w:after="0"/>
        <w:ind/>
        <w:rPr>
          <w:sz w:val="25"/>
        </w:rPr>
      </w:pPr>
      <w:bookmarkStart w:id="70" w:name="sub_1933"/>
      <w:bookmarkEnd w:id="69"/>
      <w:r>
        <w:rPr>
          <w:sz w:val="25"/>
        </w:rPr>
        <w:t>в) товарной накладной (товарных накладных, подписанных Заказчиком) и (или) УПД;</w:t>
      </w:r>
    </w:p>
    <w:p w14:paraId="7A000000">
      <w:pPr>
        <w:spacing w:after="0"/>
        <w:ind/>
        <w:rPr>
          <w:sz w:val="25"/>
        </w:rPr>
      </w:pPr>
      <w:bookmarkStart w:id="71" w:name="sub_1934"/>
      <w:bookmarkEnd w:id="70"/>
      <w:r>
        <w:rPr>
          <w:sz w:val="25"/>
        </w:rPr>
        <w:t xml:space="preserve">г) Актов приема-передачи </w:t>
      </w:r>
      <w:bookmarkStart w:id="72" w:name="sub_1935"/>
      <w:bookmarkEnd w:id="71"/>
      <w:r>
        <w:rPr>
          <w:sz w:val="25"/>
        </w:rPr>
        <w:t>Товара;</w:t>
      </w:r>
    </w:p>
    <w:p w14:paraId="7B000000">
      <w:pPr>
        <w:spacing w:after="0"/>
        <w:ind/>
        <w:rPr>
          <w:sz w:val="25"/>
        </w:rPr>
      </w:pPr>
      <w:r>
        <w:rPr>
          <w:sz w:val="25"/>
        </w:rPr>
        <w:t xml:space="preserve">д) </w:t>
      </w:r>
      <w:bookmarkStart w:id="73" w:name="sub_1936"/>
      <w:bookmarkEnd w:id="72"/>
      <w:r>
        <w:rPr>
          <w:sz w:val="25"/>
        </w:rPr>
        <w:t>копий регистрационных удостоверений на Товар;</w:t>
      </w:r>
    </w:p>
    <w:p w14:paraId="7C000000">
      <w:pPr>
        <w:spacing w:after="0"/>
        <w:ind/>
        <w:rPr>
          <w:sz w:val="25"/>
        </w:rPr>
      </w:pPr>
      <w:bookmarkStart w:id="74" w:name="sub_1937"/>
      <w:bookmarkEnd w:id="73"/>
      <w:r>
        <w:rPr>
          <w:sz w:val="25"/>
        </w:rPr>
        <w:t xml:space="preserve">е) электронной товарной накладной в формате </w:t>
      </w:r>
      <w:r>
        <w:rPr>
          <w:sz w:val="25"/>
        </w:rPr>
        <w:t>Excel</w:t>
      </w:r>
      <w:r>
        <w:rPr>
          <w:sz w:val="25"/>
        </w:rPr>
        <w:t>, на электронном носителе</w:t>
      </w:r>
    </w:p>
    <w:p w14:paraId="7D000000">
      <w:pPr>
        <w:spacing w:after="0"/>
        <w:ind/>
        <w:rPr>
          <w:sz w:val="25"/>
        </w:rPr>
      </w:pPr>
      <w:bookmarkStart w:id="75" w:name="sub_1938"/>
      <w:bookmarkEnd w:id="74"/>
      <w:r>
        <w:rPr>
          <w:sz w:val="25"/>
        </w:rPr>
        <w:t>ж) копии документа о соответствии товара, выданного уполномоченными органами (организациями);</w:t>
      </w:r>
    </w:p>
    <w:p w14:paraId="7E000000">
      <w:pPr>
        <w:spacing w:after="0"/>
        <w:ind/>
        <w:rPr>
          <w:sz w:val="25"/>
        </w:rPr>
      </w:pPr>
      <w:r>
        <w:rPr>
          <w:sz w:val="25"/>
        </w:rPr>
        <w:t>з) копии сертификата или декларации соответствия, выданного уполномоченными органами (организациями), по товарам, подлежащим обязательной сертификации;</w:t>
      </w:r>
    </w:p>
    <w:p w14:paraId="7F000000">
      <w:pPr>
        <w:spacing w:after="0"/>
        <w:ind/>
        <w:rPr>
          <w:sz w:val="25"/>
        </w:rPr>
      </w:pPr>
      <w:r>
        <w:rPr>
          <w:sz w:val="25"/>
        </w:rPr>
        <w:t xml:space="preserve">и) копии санитарно-эпидемиологического заключения на товар, выданного </w:t>
      </w:r>
      <w:r>
        <w:rPr>
          <w:sz w:val="25"/>
        </w:rPr>
        <w:t>Роспотребнадзором</w:t>
      </w:r>
      <w:r>
        <w:rPr>
          <w:sz w:val="25"/>
        </w:rPr>
        <w:t xml:space="preserve"> (по товарам, требующим указанных заключений);</w:t>
      </w:r>
      <w:bookmarkEnd w:id="75"/>
    </w:p>
    <w:p w14:paraId="80000000">
      <w:pPr>
        <w:spacing w:after="0"/>
        <w:ind/>
        <w:rPr>
          <w:sz w:val="25"/>
        </w:rPr>
      </w:pPr>
      <w:r>
        <w:rPr>
          <w:sz w:val="25"/>
        </w:rPr>
        <w:t xml:space="preserve">8.4. </w:t>
      </w:r>
      <w:bookmarkStart w:id="76" w:name="sub_1905"/>
      <w:bookmarkEnd w:id="68"/>
      <w:r>
        <w:rPr>
          <w:sz w:val="25"/>
        </w:rPr>
        <w:t xml:space="preserve">На всех документах, перечисленных в </w:t>
      </w:r>
      <w:r>
        <w:rPr>
          <w:sz w:val="25"/>
        </w:rPr>
        <w:fldChar w:fldCharType="begin"/>
      </w:r>
      <w:r>
        <w:rPr>
          <w:sz w:val="25"/>
        </w:rPr>
        <w:instrText>HYPERLINK \l "sub_1931"</w:instrText>
      </w:r>
      <w:r>
        <w:rPr>
          <w:sz w:val="25"/>
        </w:rPr>
        <w:fldChar w:fldCharType="separate"/>
      </w:r>
      <w:r>
        <w:rPr>
          <w:sz w:val="25"/>
        </w:rPr>
        <w:t>подпунктах "а"</w:t>
      </w:r>
      <w:r>
        <w:rPr>
          <w:sz w:val="25"/>
        </w:rPr>
        <w:fldChar w:fldCharType="end"/>
      </w:r>
      <w:r>
        <w:rPr>
          <w:sz w:val="25"/>
        </w:rPr>
        <w:t xml:space="preserve">, </w:t>
      </w:r>
      <w:r>
        <w:rPr>
          <w:sz w:val="25"/>
        </w:rPr>
        <w:fldChar w:fldCharType="begin"/>
      </w:r>
      <w:r>
        <w:rPr>
          <w:sz w:val="25"/>
        </w:rPr>
        <w:instrText>HYPERLINK \l "sub_1932"</w:instrText>
      </w:r>
      <w:r>
        <w:rPr>
          <w:sz w:val="25"/>
        </w:rPr>
        <w:fldChar w:fldCharType="separate"/>
      </w:r>
      <w:r>
        <w:rPr>
          <w:sz w:val="25"/>
        </w:rPr>
        <w:t>"б"</w:t>
      </w:r>
      <w:r>
        <w:rPr>
          <w:sz w:val="25"/>
        </w:rPr>
        <w:fldChar w:fldCharType="end"/>
      </w:r>
      <w:r>
        <w:rPr>
          <w:sz w:val="25"/>
        </w:rPr>
        <w:t xml:space="preserve">, </w:t>
      </w:r>
      <w:r>
        <w:rPr>
          <w:sz w:val="25"/>
        </w:rPr>
        <w:fldChar w:fldCharType="begin"/>
      </w:r>
      <w:r>
        <w:rPr>
          <w:sz w:val="25"/>
        </w:rPr>
        <w:instrText>HYPERLINK \l "sub_1933"</w:instrText>
      </w:r>
      <w:r>
        <w:rPr>
          <w:sz w:val="25"/>
        </w:rPr>
        <w:fldChar w:fldCharType="separate"/>
      </w:r>
      <w:r>
        <w:rPr>
          <w:sz w:val="25"/>
        </w:rPr>
        <w:t>"в"</w:t>
      </w:r>
      <w:r>
        <w:rPr>
          <w:sz w:val="25"/>
        </w:rPr>
        <w:fldChar w:fldCharType="end"/>
      </w:r>
      <w:r>
        <w:rPr>
          <w:sz w:val="25"/>
        </w:rPr>
        <w:t xml:space="preserve">, </w:t>
      </w:r>
      <w:r>
        <w:rPr>
          <w:sz w:val="25"/>
        </w:rPr>
        <w:fldChar w:fldCharType="begin"/>
      </w:r>
      <w:r>
        <w:rPr>
          <w:sz w:val="25"/>
        </w:rPr>
        <w:instrText>HYPERLINK \l "sub_1934"</w:instrText>
      </w:r>
      <w:r>
        <w:rPr>
          <w:sz w:val="25"/>
        </w:rPr>
        <w:fldChar w:fldCharType="separate"/>
      </w:r>
      <w:r>
        <w:rPr>
          <w:sz w:val="25"/>
        </w:rPr>
        <w:t>"г"</w:t>
      </w:r>
      <w:r>
        <w:rPr>
          <w:sz w:val="25"/>
        </w:rPr>
        <w:fldChar w:fldCharType="end"/>
      </w:r>
      <w:r>
        <w:rPr>
          <w:sz w:val="25"/>
        </w:rPr>
        <w:t xml:space="preserve">, </w:t>
      </w:r>
      <w:r>
        <w:rPr>
          <w:sz w:val="25"/>
        </w:rPr>
        <w:fldChar w:fldCharType="begin"/>
      </w:r>
      <w:r>
        <w:rPr>
          <w:sz w:val="25"/>
        </w:rPr>
        <w:instrText>HYPERLINK \l "sub_1935"</w:instrText>
      </w:r>
      <w:r>
        <w:rPr>
          <w:sz w:val="25"/>
        </w:rPr>
        <w:fldChar w:fldCharType="separate"/>
      </w:r>
      <w:r>
        <w:rPr>
          <w:sz w:val="25"/>
        </w:rPr>
        <w:t>"е"</w:t>
      </w:r>
      <w:r>
        <w:rPr>
          <w:sz w:val="25"/>
        </w:rPr>
        <w:fldChar w:fldCharType="end"/>
      </w:r>
      <w:r>
        <w:rPr>
          <w:sz w:val="25"/>
        </w:rPr>
        <w:t xml:space="preserve"> пункта 8.3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81000000">
      <w:pPr>
        <w:spacing w:after="0"/>
        <w:ind/>
        <w:rPr>
          <w:sz w:val="25"/>
        </w:rPr>
      </w:pPr>
      <w:r>
        <w:rPr>
          <w:sz w:val="25"/>
        </w:rPr>
        <w:t xml:space="preserve">8.5. </w:t>
      </w:r>
      <w:bookmarkStart w:id="77" w:name="sub_1906"/>
      <w:bookmarkEnd w:id="76"/>
      <w:r>
        <w:rPr>
          <w:sz w:val="25"/>
        </w:rPr>
        <w:t>Оплата по контракту осуществляется по факту поставки Товара по каждому этапу поставки, предусмотренного Спецификацией (</w:t>
      </w:r>
      <w:r>
        <w:rPr>
          <w:rStyle w:val="Style_5_ch"/>
          <w:color w:val="000000"/>
          <w:sz w:val="25"/>
        </w:rPr>
        <w:fldChar w:fldCharType="begin"/>
      </w:r>
      <w:r>
        <w:rPr>
          <w:rStyle w:val="Style_5_ch"/>
          <w:color w:val="000000"/>
          <w:sz w:val="25"/>
        </w:rPr>
        <w:instrText>HYPERLINK "file:///C:/Users/User/Desktop/договоры%202024/договоры%202024/договор%20поставки%20%20расходные%20материалы%202024.docx#sub_10000"</w:instrText>
      </w:r>
      <w:r>
        <w:rPr>
          <w:rStyle w:val="Style_5_ch"/>
          <w:color w:val="000000"/>
          <w:sz w:val="25"/>
        </w:rPr>
        <w:fldChar w:fldCharType="separate"/>
      </w:r>
      <w:r>
        <w:rPr>
          <w:rStyle w:val="Style_5_ch"/>
          <w:color w:val="000000"/>
          <w:sz w:val="25"/>
        </w:rPr>
        <w:t>приложение N 1</w:t>
      </w:r>
      <w:r>
        <w:rPr>
          <w:rStyle w:val="Style_5_ch"/>
          <w:color w:val="000000"/>
          <w:sz w:val="25"/>
        </w:rPr>
        <w:fldChar w:fldCharType="end"/>
      </w:r>
      <w:r>
        <w:rPr>
          <w:sz w:val="25"/>
        </w:rPr>
        <w:t xml:space="preserve"> к Контракту), в течение </w:t>
      </w:r>
    </w:p>
    <w:p w14:paraId="82000000">
      <w:pPr>
        <w:spacing w:after="0"/>
        <w:ind/>
        <w:rPr>
          <w:sz w:val="25"/>
        </w:rPr>
      </w:pPr>
      <w:r>
        <w:rPr>
          <w:sz w:val="25"/>
        </w:rPr>
        <w:t xml:space="preserve">7(семи) рабочих дней после подписания  Сторонами Акта приемки ТРУ по форме ОКУД 0510452 (Приказ Минфина от 15.04.2021 №61н), Акта приема-передачи товара и на основании документов, предусмотренных </w:t>
      </w:r>
      <w:r>
        <w:rPr>
          <w:rStyle w:val="Style_5_ch"/>
          <w:color w:val="000000"/>
          <w:sz w:val="25"/>
        </w:rPr>
        <w:fldChar w:fldCharType="begin"/>
      </w:r>
      <w:r>
        <w:rPr>
          <w:rStyle w:val="Style_5_ch"/>
          <w:color w:val="000000"/>
          <w:sz w:val="25"/>
        </w:rPr>
        <w:instrText>HYPERLINK "file://///192.168.66.35/jurist/Анна/договоры/2024/договоры%202024/поставка%20лек.%20препараты%202024.docx#Par282" \o "9.4.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w:instrText>
      </w:r>
      <w:r>
        <w:rPr>
          <w:rStyle w:val="Style_5_ch"/>
          <w:color w:val="000000"/>
          <w:sz w:val="25"/>
        </w:rPr>
        <w:fldChar w:fldCharType="separate"/>
      </w:r>
      <w:r>
        <w:rPr>
          <w:rStyle w:val="Style_5_ch"/>
          <w:color w:val="000000"/>
          <w:sz w:val="25"/>
        </w:rPr>
        <w:t>пунктом 8.3.</w:t>
      </w:r>
      <w:r>
        <w:rPr>
          <w:rStyle w:val="Style_5_ch"/>
          <w:color w:val="000000"/>
          <w:sz w:val="25"/>
        </w:rPr>
        <w:fldChar w:fldCharType="end"/>
      </w:r>
      <w:r>
        <w:rPr>
          <w:sz w:val="25"/>
        </w:rPr>
        <w:t xml:space="preserve"> Контракта.</w:t>
      </w:r>
    </w:p>
    <w:p w14:paraId="83000000">
      <w:pPr>
        <w:spacing w:after="0"/>
        <w:ind/>
        <w:rPr>
          <w:sz w:val="25"/>
        </w:rPr>
      </w:pPr>
      <w:r>
        <w:rPr>
          <w:sz w:val="25"/>
        </w:rPr>
        <w:t>8.6. По окончании исполнения Сторонами обязательств по Контракту в течение 10 дней, Стороны подписывают Акт сверки расчетов.</w:t>
      </w:r>
      <w:bookmarkEnd w:id="77"/>
    </w:p>
    <w:p w14:paraId="84000000">
      <w:pPr>
        <w:spacing w:after="0"/>
        <w:ind/>
        <w:rPr>
          <w:sz w:val="25"/>
        </w:rPr>
      </w:pPr>
    </w:p>
    <w:p w14:paraId="85000000">
      <w:pPr>
        <w:keepNext w:val="1"/>
        <w:ind w:firstLine="0" w:left="431"/>
        <w:jc w:val="center"/>
        <w:outlineLvl w:val="0"/>
        <w:rPr>
          <w:b w:val="1"/>
          <w:sz w:val="25"/>
        </w:rPr>
      </w:pPr>
      <w:r>
        <w:rPr>
          <w:b w:val="1"/>
          <w:sz w:val="25"/>
        </w:rPr>
        <w:t>9. Ответственность Сторон</w:t>
      </w:r>
      <w:bookmarkEnd w:id="64"/>
    </w:p>
    <w:p w14:paraId="86000000">
      <w:pPr>
        <w:spacing w:after="0"/>
        <w:ind/>
      </w:pPr>
      <w:r>
        <w:t xml:space="preserve">9.1. За неисполнение или ненадлежащее исполнение условий </w:t>
      </w:r>
      <w:r>
        <w:rPr>
          <w:sz w:val="25"/>
        </w:rPr>
        <w:t>Контракта</w:t>
      </w:r>
      <w:r>
        <w:t xml:space="preserve"> Стороны несут ответственность в соответствии с законодательством Российской Федерации.</w:t>
      </w:r>
    </w:p>
    <w:p w14:paraId="87000000">
      <w:pPr>
        <w:spacing w:after="0"/>
        <w:ind/>
      </w:pPr>
      <w:r>
        <w:t xml:space="preserve">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t xml:space="preserve">предусмотренных </w:t>
      </w:r>
      <w:r>
        <w:rPr>
          <w:sz w:val="25"/>
        </w:rPr>
        <w:t>Контрактом</w:t>
      </w:r>
      <w:r>
        <w:t>, Поставщик вправе потребовать уплаты неустоек (штрафов, пеней).</w:t>
      </w:r>
    </w:p>
    <w:p w14:paraId="88000000">
      <w:pPr>
        <w:spacing w:after="0"/>
        <w:ind/>
      </w:pPr>
      <w:r>
        <w:t xml:space="preserve">9.3. Пеня начисляется за каждый день просрочки исполнения Заказчиком обязательства, предусмотренного </w:t>
      </w:r>
      <w:r>
        <w:rPr>
          <w:sz w:val="25"/>
        </w:rPr>
        <w:t>Контрактом</w:t>
      </w:r>
      <w:r>
        <w:t xml:space="preserve">, начиная со дня, следующего после дня истечения установленного </w:t>
      </w:r>
      <w:r>
        <w:rPr>
          <w:sz w:val="25"/>
        </w:rPr>
        <w:t>Контрактом</w:t>
      </w:r>
      <w:r>
        <w:t xml:space="preserve">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9000000">
      <w:pPr>
        <w:spacing w:after="0"/>
        <w:ind/>
        <w:rPr>
          <w:i w:val="1"/>
        </w:rPr>
      </w:pPr>
      <w:r>
        <w:t xml:space="preserve">9.4. За каждый факт неисполнения Заказчиком обязательств, предусмотренных </w:t>
      </w:r>
      <w:r>
        <w:rPr>
          <w:sz w:val="25"/>
        </w:rPr>
        <w:t>Контрактом</w:t>
      </w:r>
      <w:r>
        <w:t xml:space="preserve">, за исключением просрочки исполнения обязательств, предусмотренных </w:t>
      </w:r>
      <w:r>
        <w:rPr>
          <w:sz w:val="25"/>
        </w:rPr>
        <w:t>Контрактом</w:t>
      </w:r>
      <w:r>
        <w:t xml:space="preserve">, Поставщик вправе взыскать с Заказчика штраф в размере </w:t>
      </w:r>
      <w:r>
        <w:rPr>
          <w:i w:val="1"/>
        </w:rPr>
        <w:t>1000 рублей;</w:t>
      </w:r>
    </w:p>
    <w:p w14:paraId="8A000000">
      <w:pPr>
        <w:spacing w:after="0"/>
        <w:ind/>
      </w:pPr>
      <w:r>
        <w:t xml:space="preserve">9.5. Общая сумма штрафов за ненадлежащее исполнение Заказчиком обязательств, предусмотренных </w:t>
      </w:r>
      <w:r>
        <w:rPr>
          <w:sz w:val="25"/>
        </w:rPr>
        <w:t>Контрактом</w:t>
      </w:r>
      <w:r>
        <w:t xml:space="preserve">, не может превышать цену </w:t>
      </w:r>
      <w:r>
        <w:rPr>
          <w:sz w:val="25"/>
        </w:rPr>
        <w:t>Контракта</w:t>
      </w:r>
      <w:r>
        <w:t>.</w:t>
      </w:r>
    </w:p>
    <w:p w14:paraId="8B000000">
      <w:pPr>
        <w:spacing w:after="0"/>
        <w:ind/>
      </w:pPr>
      <w:r>
        <w:t xml:space="preserve">9.6. В случае просрочки исполнения Поставщиком обязательств, предусмотренных </w:t>
      </w:r>
      <w:r>
        <w:rPr>
          <w:sz w:val="25"/>
        </w:rPr>
        <w:t>Контрактом</w:t>
      </w:r>
      <w:r>
        <w:t xml:space="preserve">, а также в иных случаях неисполнения или ненадлежащего исполнения Поставщиком обязательств, предусмотренных </w:t>
      </w:r>
      <w:r>
        <w:rPr>
          <w:sz w:val="25"/>
        </w:rPr>
        <w:t>Контрактом</w:t>
      </w:r>
      <w:r>
        <w:t>, Заказчик направляет Поставщику требование об уплате неустоек (штрафов, пеней).</w:t>
      </w:r>
    </w:p>
    <w:p w14:paraId="8C000000">
      <w:pPr>
        <w:spacing w:after="0"/>
        <w:ind/>
      </w:pPr>
      <w:r>
        <w:t xml:space="preserve">9.7. Пеня начисляется за каждый день просрочки исполнения Поставщиком обязательства, предусмотренного </w:t>
      </w:r>
      <w:r>
        <w:rPr>
          <w:sz w:val="25"/>
        </w:rPr>
        <w:t>Контрактом</w:t>
      </w:r>
      <w:r>
        <w:t xml:space="preserve">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8D000000">
      <w:pPr>
        <w:spacing w:after="0"/>
        <w:ind/>
        <w:rPr>
          <w:i w:val="1"/>
        </w:rPr>
      </w:pPr>
      <w:r>
        <w:t xml:space="preserve">9.8. За каждый факт неисполнения или ненадлежащего исполнения Поставщиком обязательств, предусмотренных </w:t>
      </w:r>
      <w:r>
        <w:rPr>
          <w:sz w:val="25"/>
        </w:rPr>
        <w:t>Контрактом</w:t>
      </w:r>
      <w:r>
        <w:t xml:space="preserve">,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Pr>
          <w:i w:val="1"/>
        </w:rPr>
        <w:t>размере 10 процентов цены контракта.</w:t>
      </w:r>
    </w:p>
    <w:p w14:paraId="8E000000">
      <w:pPr>
        <w:spacing w:after="0"/>
        <w:ind/>
      </w:pPr>
      <w:r>
        <w:t xml:space="preserve">9.9. За каждый факт неисполнения или ненадлежащего исполнения Поставщиком обязательства, предусмотренного </w:t>
      </w:r>
      <w:r>
        <w:rPr>
          <w:sz w:val="25"/>
        </w:rPr>
        <w:t>Контрактом</w:t>
      </w:r>
      <w:r>
        <w:t xml:space="preserve">, которое не имеет стоимостного выражения, Поставщик выплачивает Заказчику штраф в размере </w:t>
      </w:r>
      <w:r>
        <w:rPr>
          <w:i w:val="1"/>
        </w:rPr>
        <w:t xml:space="preserve">1000 рублей. </w:t>
      </w:r>
    </w:p>
    <w:p w14:paraId="8F000000">
      <w:pPr>
        <w:spacing w:after="0"/>
        <w:ind/>
      </w:pPr>
      <w:r>
        <w:t xml:space="preserve">9.10. Общая сумма начисленных штрафов за неисполнение или ненадлежащее исполнение Поставщиком обязательств, предусмотренных </w:t>
      </w:r>
      <w:r>
        <w:rPr>
          <w:sz w:val="25"/>
        </w:rPr>
        <w:t>Контрактом</w:t>
      </w:r>
      <w:r>
        <w:t xml:space="preserve">, не может превышать цену </w:t>
      </w:r>
      <w:r>
        <w:rPr>
          <w:sz w:val="25"/>
        </w:rPr>
        <w:t>Контракта</w:t>
      </w:r>
      <w:r>
        <w:t>.</w:t>
      </w:r>
    </w:p>
    <w:p w14:paraId="90000000">
      <w:pPr>
        <w:spacing w:after="0"/>
        <w:ind/>
      </w:pPr>
      <w:r>
        <w:t>9.11. Поставщик не имеет права на получение с Заказчика предусмотренных ст. 317.1 ГК РФ процентов за пользование суммой отсрочки оплаты.</w:t>
      </w:r>
    </w:p>
    <w:p w14:paraId="91000000">
      <w:pPr>
        <w:spacing w:after="0"/>
        <w:ind/>
      </w:pPr>
    </w:p>
    <w:p w14:paraId="92000000">
      <w:pPr>
        <w:spacing w:after="0"/>
        <w:ind/>
        <w:rPr>
          <w:sz w:val="25"/>
        </w:rPr>
      </w:pPr>
    </w:p>
    <w:p w14:paraId="93000000">
      <w:pPr>
        <w:keepNext w:val="1"/>
        <w:ind w:firstLine="0" w:left="431"/>
        <w:jc w:val="center"/>
        <w:outlineLvl w:val="0"/>
        <w:rPr>
          <w:b w:val="1"/>
          <w:sz w:val="25"/>
        </w:rPr>
      </w:pPr>
      <w:bookmarkStart w:id="78" w:name="sub_11200"/>
      <w:bookmarkEnd w:id="65"/>
      <w:r>
        <w:rPr>
          <w:b w:val="1"/>
          <w:sz w:val="25"/>
        </w:rPr>
        <w:t>10. Срок действия контракта, изменение и расторжение контракта</w:t>
      </w:r>
      <w:bookmarkEnd w:id="78"/>
    </w:p>
    <w:p w14:paraId="94000000">
      <w:pPr>
        <w:spacing w:after="0"/>
        <w:ind/>
      </w:pPr>
      <w:bookmarkStart w:id="79" w:name="sub_11201"/>
      <w:bookmarkStart w:id="80" w:name="sub_11202"/>
      <w:r>
        <w:rPr>
          <w:sz w:val="25"/>
        </w:rPr>
        <w:t xml:space="preserve">10.1. </w:t>
      </w:r>
      <w:bookmarkEnd w:id="79"/>
      <w:r>
        <w:rPr>
          <w:sz w:val="25"/>
        </w:rPr>
        <w:t>Контракт</w:t>
      </w:r>
      <w:r>
        <w:t xml:space="preserve"> вступает в силу с </w:t>
      </w:r>
      <w:r>
        <w:t>момента подписания</w:t>
      </w:r>
      <w:r>
        <w:t xml:space="preserve"> и действует до 01.12.2026</w:t>
      </w:r>
      <w:r>
        <w:t xml:space="preserve"> г. Окончание срока действия </w:t>
      </w:r>
      <w:r>
        <w:rPr>
          <w:sz w:val="25"/>
        </w:rPr>
        <w:t>Контракта</w:t>
      </w:r>
      <w:r>
        <w:t xml:space="preserve"> влечет прекращение обязательств сторон по </w:t>
      </w:r>
      <w:r>
        <w:rPr>
          <w:sz w:val="25"/>
        </w:rPr>
        <w:t>Контракт</w:t>
      </w:r>
      <w:r>
        <w:t>у с «01» декабря 2026</w:t>
      </w:r>
      <w:r>
        <w:t>г., за исключением обязател</w:t>
      </w:r>
      <w:r>
        <w:t>ьств по оплате, возникших на «01» декабря 2026</w:t>
      </w:r>
      <w:r>
        <w:t>г.</w:t>
      </w:r>
    </w:p>
    <w:p w14:paraId="95000000">
      <w:pPr>
        <w:pStyle w:val="Style_6"/>
        <w:rPr>
          <w:sz w:val="25"/>
        </w:rPr>
      </w:pPr>
      <w:r>
        <w:rPr>
          <w:sz w:val="25"/>
        </w:rPr>
        <w:t>10.2. Настоящий Контракт может быть расторгнут по решению суда, по соглашению сторон, либо в одностороннем порядке одной из сторон по основаниям, предусмотренным действующим законодательством РФ.</w:t>
      </w:r>
    </w:p>
    <w:p w14:paraId="96000000">
      <w:pPr>
        <w:spacing w:after="200" w:line="276" w:lineRule="auto"/>
        <w:ind/>
        <w:rPr>
          <w:sz w:val="25"/>
        </w:rPr>
      </w:pPr>
      <w:r>
        <w:rPr>
          <w:sz w:val="25"/>
        </w:rPr>
        <w:t>10.2. Все изменения Контракта должны быть совершены в письменном виде и оформлены дополнительными соглашениями к Контракту.</w:t>
      </w:r>
    </w:p>
    <w:p w14:paraId="97000000">
      <w:pPr>
        <w:spacing w:after="0"/>
        <w:ind/>
        <w:rPr>
          <w:sz w:val="25"/>
        </w:rPr>
      </w:pPr>
    </w:p>
    <w:p w14:paraId="98000000">
      <w:pPr>
        <w:keepNext w:val="1"/>
        <w:ind w:firstLine="0" w:left="431"/>
        <w:jc w:val="center"/>
        <w:outlineLvl w:val="0"/>
        <w:rPr>
          <w:b w:val="1"/>
          <w:sz w:val="25"/>
        </w:rPr>
      </w:pPr>
      <w:bookmarkStart w:id="81" w:name="sub_11300"/>
      <w:bookmarkEnd w:id="80"/>
      <w:r>
        <w:rPr>
          <w:b w:val="1"/>
          <w:sz w:val="25"/>
        </w:rPr>
        <w:t>11. Исключительные права</w:t>
      </w:r>
      <w:bookmarkEnd w:id="81"/>
    </w:p>
    <w:p w14:paraId="99000000">
      <w:pPr>
        <w:rPr>
          <w:sz w:val="25"/>
        </w:rPr>
      </w:pPr>
      <w:bookmarkStart w:id="82" w:name="sub_11301"/>
      <w:bookmarkStart w:id="83" w:name="sub_11302"/>
      <w:r>
        <w:rPr>
          <w:sz w:val="25"/>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bookmarkEnd w:id="82"/>
    </w:p>
    <w:p w14:paraId="9A000000">
      <w:pPr>
        <w:rPr>
          <w:sz w:val="25"/>
        </w:rPr>
      </w:pPr>
      <w:r>
        <w:rPr>
          <w:sz w:val="25"/>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9B000000">
      <w:pPr>
        <w:keepNext w:val="1"/>
        <w:ind/>
        <w:jc w:val="center"/>
        <w:outlineLvl w:val="0"/>
        <w:rPr>
          <w:b w:val="1"/>
          <w:sz w:val="25"/>
        </w:rPr>
      </w:pPr>
      <w:bookmarkStart w:id="84" w:name="sub_11400"/>
      <w:bookmarkEnd w:id="83"/>
      <w:r>
        <w:rPr>
          <w:b w:val="1"/>
          <w:sz w:val="25"/>
        </w:rPr>
        <w:t>12. Обстоятельства непреодолимой силы</w:t>
      </w:r>
      <w:bookmarkEnd w:id="84"/>
    </w:p>
    <w:p w14:paraId="9C000000">
      <w:pPr>
        <w:rPr>
          <w:sz w:val="25"/>
        </w:rPr>
      </w:pPr>
      <w:bookmarkStart w:id="85" w:name="sub_11401"/>
      <w:bookmarkStart w:id="86" w:name="sub_11404"/>
      <w:r>
        <w:rPr>
          <w:sz w:val="25"/>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9D000000">
      <w:pPr>
        <w:rPr>
          <w:sz w:val="25"/>
        </w:rPr>
      </w:pPr>
      <w:bookmarkStart w:id="87" w:name="sub_11402"/>
      <w:bookmarkEnd w:id="85"/>
      <w:r>
        <w:rPr>
          <w:sz w:val="25"/>
        </w:rP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9E000000">
      <w:pPr>
        <w:rPr>
          <w:sz w:val="25"/>
        </w:rPr>
      </w:pPr>
      <w:bookmarkStart w:id="88" w:name="sub_11403"/>
      <w:bookmarkEnd w:id="87"/>
      <w:r>
        <w:rPr>
          <w:sz w:val="25"/>
        </w:rPr>
        <w:t>12.3.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bookmarkEnd w:id="88"/>
    </w:p>
    <w:p w14:paraId="9F000000">
      <w:pPr>
        <w:rPr>
          <w:sz w:val="25"/>
        </w:rPr>
      </w:pPr>
      <w:r>
        <w:rPr>
          <w:sz w:val="25"/>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bookmarkEnd w:id="86"/>
    </w:p>
    <w:p w14:paraId="A0000000">
      <w:pPr>
        <w:rPr>
          <w:sz w:val="25"/>
        </w:rPr>
      </w:pPr>
    </w:p>
    <w:p w14:paraId="A1000000">
      <w:pPr>
        <w:keepNext w:val="1"/>
        <w:ind w:firstLine="0" w:left="431"/>
        <w:jc w:val="center"/>
        <w:outlineLvl w:val="0"/>
        <w:rPr>
          <w:b w:val="1"/>
          <w:sz w:val="25"/>
        </w:rPr>
      </w:pPr>
      <w:r>
        <w:rPr>
          <w:b w:val="1"/>
          <w:sz w:val="25"/>
        </w:rPr>
        <w:t>13. Уведомления</w:t>
      </w:r>
    </w:p>
    <w:p w14:paraId="A2000000">
      <w:pPr>
        <w:spacing w:after="0"/>
        <w:ind/>
        <w:rPr>
          <w:spacing w:val="-5"/>
          <w:sz w:val="25"/>
        </w:rPr>
      </w:pPr>
      <w:bookmarkStart w:id="89" w:name="sub_11501"/>
      <w:bookmarkStart w:id="90" w:name="sub_11502"/>
      <w:r>
        <w:rPr>
          <w:sz w:val="25"/>
        </w:rPr>
        <w:t xml:space="preserve">13.1. </w:t>
      </w:r>
      <w:bookmarkEnd w:id="89"/>
      <w:r>
        <w:rPr>
          <w:sz w:val="25"/>
        </w:rPr>
        <w:t>Все изменения и дополнения к настоящему  контракту имеют силу только</w:t>
      </w:r>
      <w:r>
        <w:rPr>
          <w:sz w:val="25"/>
        </w:rPr>
        <w:br/>
      </w:r>
      <w:r>
        <w:rPr>
          <w:sz w:val="25"/>
        </w:rPr>
        <w:t>в случае, если они оформлены в письменной форме и подписаны</w:t>
      </w:r>
      <w:r>
        <w:rPr>
          <w:sz w:val="25"/>
        </w:rPr>
        <w:br/>
      </w:r>
      <w:r>
        <w:rPr>
          <w:sz w:val="25"/>
        </w:rPr>
        <w:t>уполномоченными представителями  сторон.</w:t>
      </w:r>
      <w:bookmarkEnd w:id="90"/>
    </w:p>
    <w:p w14:paraId="A3000000">
      <w:pPr>
        <w:spacing w:after="0"/>
        <w:ind/>
        <w:rPr>
          <w:spacing w:val="-5"/>
          <w:sz w:val="25"/>
        </w:rPr>
      </w:pPr>
    </w:p>
    <w:p w14:paraId="A4000000">
      <w:pPr>
        <w:ind/>
        <w:jc w:val="center"/>
        <w:rPr>
          <w:b w:val="1"/>
          <w:sz w:val="25"/>
        </w:rPr>
      </w:pPr>
      <w:r>
        <w:rPr>
          <w:b w:val="1"/>
          <w:sz w:val="25"/>
        </w:rPr>
        <w:t>14. Порядок разрешения споров, претензии Сторон</w:t>
      </w:r>
    </w:p>
    <w:p w14:paraId="A5000000">
      <w:pPr>
        <w:pStyle w:val="Style_6"/>
        <w:rPr>
          <w:sz w:val="25"/>
        </w:rPr>
      </w:pPr>
      <w:r>
        <w:rPr>
          <w:sz w:val="25"/>
        </w:rPr>
        <w:t>14.1. Все споры и разногласия, которые могут возникнуть из настоящего Контракта между Сторонами, разрешаются путем переговоров.</w:t>
      </w:r>
    </w:p>
    <w:p w14:paraId="A6000000">
      <w:pPr>
        <w:pStyle w:val="Style_6"/>
        <w:rPr>
          <w:sz w:val="25"/>
        </w:rPr>
      </w:pPr>
      <w:r>
        <w:rPr>
          <w:sz w:val="25"/>
        </w:rPr>
        <w:t>14.2. В случае невозможности разрешения разногласий путем переговоров, они решаются в претензионном порядке. Срок ответа на претензию – 10 календарных дней.</w:t>
      </w:r>
    </w:p>
    <w:p w14:paraId="A7000000">
      <w:pPr>
        <w:pStyle w:val="Style_6"/>
        <w:rPr>
          <w:sz w:val="25"/>
        </w:rPr>
      </w:pPr>
      <w:r>
        <w:rPr>
          <w:sz w:val="25"/>
        </w:rPr>
        <w:t>14.3.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A8000000">
      <w:pPr>
        <w:pStyle w:val="Style_6"/>
        <w:rPr>
          <w:sz w:val="25"/>
        </w:rPr>
      </w:pPr>
      <w:r>
        <w:rPr>
          <w:sz w:val="25"/>
        </w:rPr>
        <w:t>14.4. При не урегулировании Сторонами спора в досудебном порядке, спор передается на разрешении в Арбитражный суд Ростовской области.</w:t>
      </w:r>
    </w:p>
    <w:p w14:paraId="A9000000">
      <w:pPr>
        <w:pStyle w:val="Style_6"/>
        <w:rPr>
          <w:sz w:val="25"/>
        </w:rPr>
      </w:pPr>
    </w:p>
    <w:p w14:paraId="AA000000">
      <w:pPr>
        <w:tabs>
          <w:tab w:leader="none" w:pos="720" w:val="left"/>
        </w:tabs>
        <w:ind w:hanging="357" w:left="357"/>
        <w:jc w:val="center"/>
        <w:rPr>
          <w:b w:val="1"/>
          <w:sz w:val="25"/>
        </w:rPr>
      </w:pPr>
      <w:r>
        <w:rPr>
          <w:b w:val="1"/>
          <w:sz w:val="25"/>
        </w:rPr>
        <w:t>15. Прочие условия</w:t>
      </w:r>
    </w:p>
    <w:p w14:paraId="AB000000">
      <w:pPr>
        <w:tabs>
          <w:tab w:leader="none" w:pos="720" w:val="left"/>
        </w:tabs>
        <w:ind w:hanging="357" w:left="357"/>
        <w:jc w:val="left"/>
        <w:rPr>
          <w:sz w:val="25"/>
        </w:rPr>
      </w:pPr>
      <w:r>
        <w:rPr>
          <w:sz w:val="25"/>
        </w:rPr>
        <w:t>15.1. Настоящий Контракт составлен в 2 (двух) экземпляр</w:t>
      </w:r>
      <w:r>
        <w:rPr>
          <w:sz w:val="25"/>
        </w:rPr>
        <w:t xml:space="preserve">ах, один из которых находится у </w:t>
      </w:r>
    </w:p>
    <w:p w14:paraId="AC000000">
      <w:pPr>
        <w:tabs>
          <w:tab w:leader="none" w:pos="720" w:val="left"/>
        </w:tabs>
        <w:ind w:hanging="357" w:left="357"/>
        <w:jc w:val="left"/>
        <w:rPr>
          <w:sz w:val="25"/>
        </w:rPr>
      </w:pPr>
      <w:r>
        <w:rPr>
          <w:sz w:val="25"/>
        </w:rPr>
        <w:t>Исполнителя, другой – у Заказчика.</w:t>
      </w:r>
    </w:p>
    <w:p w14:paraId="AD000000">
      <w:pPr>
        <w:pStyle w:val="Style_6"/>
        <w:rPr>
          <w:spacing w:val="-2"/>
          <w:sz w:val="25"/>
        </w:rPr>
      </w:pPr>
      <w:r>
        <w:rPr>
          <w:sz w:val="25"/>
        </w:rPr>
        <w:t xml:space="preserve">15.2. </w:t>
      </w:r>
      <w:r>
        <w:rPr>
          <w:spacing w:val="-2"/>
          <w:sz w:val="25"/>
        </w:rPr>
        <w:t xml:space="preserve">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w:t>
      </w:r>
    </w:p>
    <w:p w14:paraId="AE000000">
      <w:pPr>
        <w:pStyle w:val="Style_6"/>
        <w:rPr>
          <w:spacing w:val="-2"/>
          <w:sz w:val="25"/>
        </w:rPr>
      </w:pPr>
      <w:r>
        <w:rPr>
          <w:spacing w:val="-2"/>
          <w:sz w:val="25"/>
        </w:rPr>
        <w:t>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AF000000">
      <w:pPr>
        <w:pStyle w:val="Style_6"/>
        <w:rPr>
          <w:spacing w:val="-2"/>
          <w:sz w:val="25"/>
        </w:rPr>
      </w:pPr>
      <w:r>
        <w:rPr>
          <w:spacing w:val="-2"/>
          <w:sz w:val="25"/>
        </w:rPr>
        <w:t>(a)Федеральный закон № 273-ФЗ от 25 декабря 2008 г. «О противодействии коррупции».</w:t>
      </w:r>
    </w:p>
    <w:p w14:paraId="B0000000">
      <w:pPr>
        <w:pStyle w:val="Style_6"/>
        <w:rPr>
          <w:spacing w:val="-2"/>
          <w:sz w:val="25"/>
        </w:rPr>
      </w:pPr>
      <w:r>
        <w:rPr>
          <w:spacing w:val="-2"/>
          <w:sz w:val="25"/>
        </w:rPr>
        <w:t>(b)Федеральный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B1000000">
      <w:pPr>
        <w:pStyle w:val="Style_6"/>
        <w:rPr>
          <w:spacing w:val="-2"/>
          <w:sz w:val="25"/>
        </w:rPr>
      </w:pPr>
      <w:r>
        <w:rPr>
          <w:spacing w:val="-2"/>
          <w:sz w:val="25"/>
        </w:rPr>
        <w:t xml:space="preserve">15.3.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w:t>
      </w:r>
      <w:r>
        <w:rPr>
          <w:spacing w:val="-2"/>
          <w:sz w:val="25"/>
        </w:rPr>
        <w:t>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B2000000">
      <w:pPr>
        <w:pStyle w:val="Style_6"/>
        <w:rPr>
          <w:sz w:val="25"/>
        </w:rPr>
      </w:pPr>
      <w:r>
        <w:rPr>
          <w:spacing w:val="-2"/>
          <w:sz w:val="25"/>
        </w:rPr>
        <w:t>15.4.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B3000000">
      <w:pPr>
        <w:rPr>
          <w:sz w:val="25"/>
        </w:rPr>
      </w:pPr>
      <w:bookmarkStart w:id="91" w:name="sub_11704"/>
      <w:r>
        <w:rPr>
          <w:sz w:val="25"/>
        </w:rPr>
        <w:t>15.5. Приложения к Контракту являются его неотъемлемой частью.</w:t>
      </w:r>
      <w:bookmarkEnd w:id="91"/>
    </w:p>
    <w:p w14:paraId="B4000000">
      <w:pPr>
        <w:rPr>
          <w:sz w:val="25"/>
        </w:rPr>
      </w:pPr>
      <w:r>
        <w:rPr>
          <w:sz w:val="25"/>
        </w:rPr>
        <w:t>Приложения к Контракту:</w:t>
      </w:r>
    </w:p>
    <w:p w14:paraId="B5000000">
      <w:pPr>
        <w:rPr>
          <w:sz w:val="25"/>
        </w:rPr>
      </w:pPr>
      <w:r>
        <w:rPr>
          <w:sz w:val="25"/>
        </w:rPr>
        <w:fldChar w:fldCharType="begin"/>
      </w:r>
      <w:r>
        <w:rPr>
          <w:sz w:val="25"/>
        </w:rPr>
        <w:instrText>HYPERLINK \l "sub_10000"</w:instrText>
      </w:r>
      <w:r>
        <w:rPr>
          <w:sz w:val="25"/>
        </w:rPr>
        <w:fldChar w:fldCharType="separate"/>
      </w:r>
      <w:r>
        <w:rPr>
          <w:sz w:val="25"/>
        </w:rPr>
        <w:t>Приложение N 1</w:t>
      </w:r>
      <w:r>
        <w:rPr>
          <w:sz w:val="25"/>
        </w:rPr>
        <w:fldChar w:fldCharType="end"/>
      </w:r>
      <w:r>
        <w:rPr>
          <w:sz w:val="25"/>
        </w:rPr>
        <w:t xml:space="preserve"> - Спецификация;</w:t>
      </w:r>
    </w:p>
    <w:p w14:paraId="B6000000">
      <w:pPr>
        <w:rPr>
          <w:sz w:val="25"/>
        </w:rPr>
      </w:pPr>
      <w:r>
        <w:rPr>
          <w:sz w:val="25"/>
        </w:rPr>
        <w:t>Приложение №2 – Заявка.</w:t>
      </w:r>
    </w:p>
    <w:p w14:paraId="B7000000">
      <w:pPr>
        <w:ind/>
        <w:jc w:val="center"/>
        <w:rPr>
          <w:b w:val="1"/>
        </w:rPr>
      </w:pPr>
      <w:r>
        <w:rPr>
          <w:b w:val="1"/>
        </w:rPr>
        <w:t>16. Юридические адреса и реквизиты сторон</w:t>
      </w:r>
    </w:p>
    <w:tbl>
      <w:tblPr>
        <w:tblStyle w:val="Style_7"/>
        <w:tblW w:type="auto" w:w="0"/>
        <w:tblInd w:type="dxa" w:w="-147"/>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4"/>
        <w:gridCol w:w="4954"/>
      </w:tblGrid>
      <w:tr>
        <w:trPr>
          <w:trHeight w:hRule="atLeast" w:val="1125"/>
        </w:trPr>
        <w:tc>
          <w:tcPr>
            <w:tcW w:type="dxa" w:w="5104"/>
            <w:tcBorders>
              <w:top w:color="000000" w:sz="4" w:val="single"/>
              <w:left w:color="000000" w:sz="4" w:val="single"/>
              <w:bottom w:color="000000" w:sz="4" w:val="single"/>
              <w:right w:color="000000" w:sz="4" w:val="single"/>
            </w:tcBorders>
          </w:tcPr>
          <w:p w14:paraId="B8000000">
            <w:pPr>
              <w:ind/>
              <w:jc w:val="center"/>
              <w:rPr>
                <w:b w:val="1"/>
              </w:rPr>
            </w:pPr>
            <w:r>
              <w:rPr>
                <w:b w:val="1"/>
              </w:rPr>
              <w:t>«Заказчик»</w:t>
            </w:r>
          </w:p>
          <w:p w14:paraId="B9000000">
            <w:pPr>
              <w:widowControl w:val="0"/>
              <w:spacing w:after="0" w:line="100" w:lineRule="atLeast"/>
              <w:ind/>
            </w:pPr>
            <w:r>
              <w:rPr>
                <w:b w:val="1"/>
              </w:rPr>
              <w:t xml:space="preserve">ФГБОУ ВО </w:t>
            </w:r>
            <w:r>
              <w:rPr>
                <w:b w:val="1"/>
              </w:rPr>
              <w:t>РостГМ</w:t>
            </w:r>
            <w:r>
              <w:rPr>
                <w:b w:val="1"/>
              </w:rPr>
              <w:t>У</w:t>
            </w:r>
            <w:r>
              <w:rPr>
                <w:b w:val="1"/>
              </w:rPr>
              <w:t xml:space="preserve"> Минздрава России</w:t>
            </w:r>
          </w:p>
          <w:p w14:paraId="BA000000">
            <w:pPr>
              <w:widowControl w:val="0"/>
              <w:spacing w:after="0" w:line="100" w:lineRule="atLeast"/>
              <w:ind/>
            </w:pPr>
          </w:p>
          <w:p w14:paraId="BB000000">
            <w:pPr>
              <w:spacing w:after="0" w:line="240" w:lineRule="auto"/>
              <w:ind/>
              <w:rPr>
                <w:rFonts w:ascii="Times New Roman" w:hAnsi="Times New Roman"/>
              </w:rPr>
            </w:pPr>
            <w:r>
              <w:rPr>
                <w:rFonts w:ascii="Times New Roman" w:hAnsi="Times New Roman"/>
              </w:rPr>
              <w:t xml:space="preserve">44022, Ростовская область, г. Ростов-на-Дону, пер. </w:t>
            </w:r>
            <w:r>
              <w:rPr>
                <w:rFonts w:ascii="Times New Roman" w:hAnsi="Times New Roman"/>
              </w:rPr>
              <w:t>Нахичеванский</w:t>
            </w:r>
            <w:r>
              <w:rPr>
                <w:rFonts w:ascii="Times New Roman" w:hAnsi="Times New Roman"/>
              </w:rPr>
              <w:t xml:space="preserve">, 29 </w:t>
            </w:r>
          </w:p>
          <w:p w14:paraId="BC000000">
            <w:pPr>
              <w:spacing w:after="0" w:line="240" w:lineRule="auto"/>
              <w:ind/>
              <w:rPr>
                <w:rFonts w:ascii="Times New Roman" w:hAnsi="Times New Roman"/>
              </w:rPr>
            </w:pPr>
            <w:r>
              <w:rPr>
                <w:rFonts w:ascii="Times New Roman" w:hAnsi="Times New Roman"/>
              </w:rPr>
              <w:t>ИНН 6163032850 КПП 616301001 ОГРН:</w:t>
            </w:r>
            <w:r>
              <w:rPr>
                <w:rFonts w:ascii="Times New Roman" w:hAnsi="Times New Roman"/>
                <w:color w:val="000000"/>
                <w:sz w:val="24"/>
              </w:rPr>
              <w:t>1026103165736 от 11.11.2002г.</w:t>
            </w:r>
          </w:p>
          <w:p w14:paraId="BD000000">
            <w:pPr>
              <w:spacing w:after="0" w:line="240" w:lineRule="auto"/>
              <w:ind/>
              <w:rPr>
                <w:rFonts w:ascii="Times New Roman" w:hAnsi="Times New Roman"/>
              </w:rPr>
            </w:pPr>
            <w:r>
              <w:rPr>
                <w:rFonts w:ascii="Times New Roman" w:hAnsi="Times New Roman"/>
              </w:rPr>
              <w:t>ОКПО:</w:t>
            </w:r>
            <w:r>
              <w:rPr>
                <w:rFonts w:ascii="Times New Roman" w:hAnsi="Times New Roman"/>
                <w:color w:val="000000"/>
                <w:sz w:val="24"/>
              </w:rPr>
              <w:t xml:space="preserve">01896857 </w:t>
            </w:r>
          </w:p>
          <w:p w14:paraId="BE000000">
            <w:pPr>
              <w:spacing w:after="0" w:line="240" w:lineRule="auto"/>
              <w:ind/>
              <w:rPr>
                <w:rFonts w:ascii="Times New Roman" w:hAnsi="Times New Roman"/>
              </w:rPr>
            </w:pPr>
            <w:r>
              <w:rPr>
                <w:rFonts w:ascii="Times New Roman" w:hAnsi="Times New Roman"/>
              </w:rPr>
              <w:t>ОКТМО:</w:t>
            </w:r>
            <w:r>
              <w:rPr>
                <w:rFonts w:ascii="Times New Roman" w:hAnsi="Times New Roman"/>
                <w:color w:val="000000"/>
                <w:sz w:val="24"/>
              </w:rPr>
              <w:t>60701000</w:t>
            </w:r>
          </w:p>
          <w:p w14:paraId="BF000000">
            <w:pPr>
              <w:spacing w:after="0" w:line="240" w:lineRule="auto"/>
              <w:ind/>
              <w:rPr>
                <w:rFonts w:ascii="Times New Roman" w:hAnsi="Times New Roman"/>
              </w:rPr>
            </w:pPr>
            <w:r>
              <w:rPr>
                <w:rFonts w:ascii="Times New Roman" w:hAnsi="Times New Roman"/>
                <w:color w:val="000000"/>
                <w:sz w:val="24"/>
              </w:rPr>
              <w:t>УФК по Нижегородской области</w:t>
            </w:r>
            <w:r>
              <w:rPr>
                <w:rFonts w:ascii="Times New Roman" w:hAnsi="Times New Roman"/>
                <w:color w:val="000000"/>
                <w:sz w:val="24"/>
              </w:rPr>
              <w:t xml:space="preserve"> (ФГБОУ ВО РостГМУ Минздрава России л/сч.20586У68420</w:t>
            </w:r>
            <w:r>
              <w:rPr>
                <w:rFonts w:ascii="Times New Roman" w:hAnsi="Times New Roman"/>
                <w:color w:val="000000"/>
                <w:sz w:val="24"/>
              </w:rPr>
              <w:t>, 21586У68420, 22586У68420</w:t>
            </w:r>
            <w:r>
              <w:rPr>
                <w:rFonts w:ascii="Times New Roman" w:hAnsi="Times New Roman"/>
                <w:color w:val="000000"/>
                <w:sz w:val="24"/>
              </w:rPr>
              <w:t>)</w:t>
            </w:r>
          </w:p>
          <w:p w14:paraId="C0000000">
            <w:pPr>
              <w:spacing w:after="0" w:line="240" w:lineRule="auto"/>
              <w:ind/>
              <w:rPr>
                <w:rFonts w:ascii="Times New Roman" w:hAnsi="Times New Roman"/>
              </w:rPr>
            </w:pPr>
            <w:r>
              <w:rPr>
                <w:rFonts w:ascii="Times New Roman" w:hAnsi="Times New Roman"/>
                <w:color w:val="000000"/>
                <w:sz w:val="24"/>
              </w:rPr>
              <w:t>ОКЦ</w:t>
            </w:r>
            <w:r>
              <w:rPr>
                <w:rFonts w:ascii="Times New Roman" w:hAnsi="Times New Roman"/>
                <w:color w:val="000000"/>
                <w:sz w:val="24"/>
              </w:rPr>
              <w:t xml:space="preserve"> №1 ВВГУ Банка России//УФК по Нижегородской области, г. Нижний Новгород</w:t>
            </w:r>
          </w:p>
          <w:p w14:paraId="C1000000">
            <w:pPr>
              <w:spacing w:after="0" w:line="240" w:lineRule="auto"/>
              <w:ind/>
              <w:rPr>
                <w:rFonts w:ascii="Times New Roman" w:hAnsi="Times New Roman"/>
              </w:rPr>
            </w:pPr>
            <w:r>
              <w:rPr>
                <w:rFonts w:ascii="Times New Roman" w:hAnsi="Times New Roman"/>
              </w:rPr>
              <w:t xml:space="preserve">ЕКС </w:t>
            </w:r>
            <w:r>
              <w:rPr>
                <w:rFonts w:ascii="Times New Roman" w:hAnsi="Times New Roman"/>
                <w:color w:val="000000"/>
                <w:sz w:val="24"/>
              </w:rPr>
              <w:t>40102810745370000024</w:t>
            </w:r>
          </w:p>
          <w:p w14:paraId="C2000000">
            <w:pPr>
              <w:spacing w:after="0" w:line="240" w:lineRule="auto"/>
              <w:ind/>
              <w:rPr>
                <w:rFonts w:ascii="Times New Roman" w:hAnsi="Times New Roman"/>
              </w:rPr>
            </w:pPr>
            <w:r>
              <w:rPr>
                <w:rFonts w:ascii="Times New Roman" w:hAnsi="Times New Roman"/>
              </w:rPr>
              <w:t xml:space="preserve">БИК </w:t>
            </w:r>
            <w:r>
              <w:rPr>
                <w:rFonts w:ascii="Times New Roman" w:hAnsi="Times New Roman"/>
                <w:color w:val="000000"/>
                <w:sz w:val="24"/>
              </w:rPr>
              <w:t>012202102</w:t>
            </w:r>
          </w:p>
          <w:p w14:paraId="C3000000">
            <w:pPr>
              <w:spacing w:after="0"/>
              <w:ind/>
              <w:contextualSpacing w:val="1"/>
              <w:rPr>
                <w:rFonts w:ascii="Times New Roman" w:hAnsi="Times New Roman"/>
                <w:b w:val="0"/>
                <w:sz w:val="24"/>
              </w:rPr>
            </w:pPr>
            <w:r>
              <w:rPr>
                <w:rFonts w:ascii="Times New Roman" w:hAnsi="Times New Roman"/>
              </w:rPr>
              <w:t xml:space="preserve">Номер счета </w:t>
            </w:r>
            <w:r>
              <w:rPr>
                <w:rFonts w:ascii="Times New Roman" w:hAnsi="Times New Roman"/>
                <w:color w:val="000000"/>
                <w:sz w:val="24"/>
              </w:rPr>
              <w:t>03214643000000013230</w:t>
            </w:r>
          </w:p>
          <w:p w14:paraId="C4000000">
            <w:pPr>
              <w:spacing w:after="0"/>
              <w:ind/>
              <w:contextualSpacing w:val="1"/>
              <w:rPr>
                <w:rFonts w:ascii="Times New Roman" w:hAnsi="Times New Roman"/>
                <w:b w:val="0"/>
                <w:sz w:val="24"/>
              </w:rPr>
            </w:pPr>
          </w:p>
          <w:p w14:paraId="C5000000">
            <w:pPr>
              <w:spacing w:after="0"/>
              <w:ind/>
              <w:contextualSpacing w:val="1"/>
              <w:rPr>
                <w:rFonts w:ascii="Times New Roman" w:hAnsi="Times New Roman"/>
                <w:b w:val="0"/>
                <w:sz w:val="24"/>
              </w:rPr>
            </w:pPr>
            <w:r>
              <w:rPr>
                <w:rFonts w:ascii="Times New Roman" w:hAnsi="Times New Roman"/>
                <w:b w:val="1"/>
                <w:sz w:val="24"/>
              </w:rPr>
              <w:t>и.о. ректора</w:t>
            </w:r>
            <w:r>
              <w:rPr>
                <w:rFonts w:ascii="Times New Roman" w:hAnsi="Times New Roman"/>
                <w:b w:val="0"/>
                <w:sz w:val="24"/>
              </w:rPr>
              <w:t xml:space="preserve"> </w:t>
            </w:r>
            <w:r>
              <w:rPr>
                <w:b w:val="1"/>
              </w:rPr>
              <w:t xml:space="preserve">ФГБОУ ВО </w:t>
            </w:r>
            <w:r>
              <w:rPr>
                <w:b w:val="1"/>
              </w:rPr>
              <w:t>РостГМ</w:t>
            </w:r>
            <w:r>
              <w:rPr>
                <w:b w:val="1"/>
              </w:rPr>
              <w:t>У</w:t>
            </w:r>
            <w:r>
              <w:rPr>
                <w:b w:val="1"/>
              </w:rPr>
              <w:t xml:space="preserve"> Минздрава России</w:t>
            </w:r>
          </w:p>
          <w:p w14:paraId="C6000000">
            <w:pPr>
              <w:spacing w:after="0"/>
              <w:ind/>
              <w:contextualSpacing w:val="1"/>
              <w:rPr>
                <w:rFonts w:ascii="Times New Roman" w:hAnsi="Times New Roman"/>
                <w:b w:val="0"/>
                <w:sz w:val="24"/>
              </w:rPr>
            </w:pPr>
          </w:p>
          <w:p w14:paraId="C7000000">
            <w:pPr>
              <w:spacing w:after="0"/>
              <w:ind/>
              <w:contextualSpacing w:val="1"/>
              <w:rPr>
                <w:rFonts w:ascii="Times New Roman" w:hAnsi="Times New Roman"/>
                <w:b w:val="0"/>
                <w:sz w:val="24"/>
              </w:rPr>
            </w:pPr>
          </w:p>
          <w:p w14:paraId="C8000000">
            <w:pPr>
              <w:spacing w:after="0" w:line="240" w:lineRule="auto"/>
              <w:ind/>
              <w:jc w:val="both"/>
              <w:rPr>
                <w:b w:val="1"/>
              </w:rPr>
            </w:pPr>
            <w:r>
              <w:rPr>
                <w:rFonts w:ascii="Times New Roman" w:hAnsi="Times New Roman"/>
                <w:b w:val="0"/>
                <w:sz w:val="24"/>
              </w:rPr>
              <w:t>_________________</w:t>
            </w:r>
            <w:r>
              <w:rPr>
                <w:rFonts w:ascii="Times New Roman" w:hAnsi="Times New Roman"/>
                <w:b w:val="1"/>
              </w:rPr>
              <w:t xml:space="preserve">Шишов М.А. </w:t>
            </w:r>
          </w:p>
          <w:p w14:paraId="C9000000">
            <w:pPr>
              <w:spacing w:after="0"/>
              <w:ind/>
              <w:rPr>
                <w:b w:val="1"/>
              </w:rPr>
            </w:pPr>
            <w:r>
              <w:rPr>
                <w:b w:val="1"/>
              </w:rPr>
              <w:t>э.ц.п</w:t>
            </w:r>
            <w:r>
              <w:rPr>
                <w:b w:val="1"/>
              </w:rPr>
              <w:t>.</w:t>
            </w:r>
          </w:p>
        </w:tc>
        <w:tc>
          <w:tcPr>
            <w:tcW w:type="dxa" w:w="4954"/>
            <w:tcBorders>
              <w:top w:color="000000" w:sz="4" w:val="single"/>
              <w:left w:color="000000" w:sz="4" w:val="single"/>
              <w:bottom w:color="000000" w:sz="4" w:val="single"/>
              <w:right w:color="000000" w:sz="4" w:val="single"/>
            </w:tcBorders>
          </w:tcPr>
          <w:p w14:paraId="CA000000">
            <w:pPr>
              <w:ind/>
              <w:jc w:val="center"/>
              <w:rPr>
                <w:b w:val="1"/>
              </w:rPr>
            </w:pPr>
            <w:r>
              <w:rPr>
                <w:b w:val="1"/>
              </w:rPr>
              <w:t>«Поставщик»</w:t>
            </w:r>
          </w:p>
          <w:p w14:paraId="CB000000">
            <w:pPr>
              <w:pStyle w:val="Style_6"/>
              <w:ind/>
              <w:contextualSpacing w:val="1"/>
              <w:rPr>
                <w:b w:val="1"/>
                <w:sz w:val="25"/>
              </w:rPr>
            </w:pPr>
          </w:p>
          <w:p w14:paraId="CC000000">
            <w:pPr>
              <w:spacing w:after="0"/>
              <w:ind/>
              <w:jc w:val="left"/>
            </w:pPr>
            <w:r>
              <w:t xml:space="preserve"> </w:t>
            </w:r>
          </w:p>
          <w:p w14:paraId="CD000000">
            <w:pPr>
              <w:ind/>
              <w:jc w:val="left"/>
            </w:pPr>
          </w:p>
          <w:p w14:paraId="CE000000">
            <w:pPr>
              <w:ind/>
              <w:jc w:val="left"/>
            </w:pPr>
          </w:p>
          <w:p w14:paraId="CF000000">
            <w:pPr>
              <w:ind/>
              <w:jc w:val="left"/>
              <w:rPr>
                <w:b w:val="1"/>
              </w:rPr>
            </w:pPr>
          </w:p>
          <w:p w14:paraId="D0000000">
            <w:pPr>
              <w:ind/>
              <w:jc w:val="left"/>
              <w:rPr>
                <w:b w:val="1"/>
              </w:rPr>
            </w:pPr>
          </w:p>
          <w:p w14:paraId="D1000000">
            <w:pPr>
              <w:ind/>
              <w:jc w:val="left"/>
              <w:rPr>
                <w:b w:val="1"/>
              </w:rPr>
            </w:pPr>
          </w:p>
        </w:tc>
      </w:tr>
    </w:tbl>
    <w:p w14:paraId="D2000000">
      <w:pPr>
        <w:tabs>
          <w:tab w:leader="none" w:pos="5928" w:val="left"/>
          <w:tab w:leader="none" w:pos="9921" w:val="right"/>
        </w:tabs>
        <w:ind/>
        <w:rPr>
          <w:b w:val="1"/>
          <w:color w:val="26282F"/>
          <w:sz w:val="22"/>
        </w:rPr>
      </w:pPr>
      <w:bookmarkStart w:id="92" w:name="sub_10000"/>
    </w:p>
    <w:p w14:paraId="D3000000">
      <w:pPr>
        <w:tabs>
          <w:tab w:leader="none" w:pos="5928" w:val="left"/>
          <w:tab w:leader="none" w:pos="9921" w:val="right"/>
        </w:tabs>
        <w:ind/>
        <w:rPr>
          <w:b w:val="1"/>
          <w:color w:val="26282F"/>
          <w:sz w:val="22"/>
        </w:rPr>
      </w:pPr>
    </w:p>
    <w:p w14:paraId="D4000000">
      <w:pPr>
        <w:tabs>
          <w:tab w:leader="none" w:pos="5928" w:val="left"/>
          <w:tab w:leader="none" w:pos="9921" w:val="right"/>
        </w:tabs>
        <w:ind/>
        <w:rPr>
          <w:b w:val="1"/>
          <w:color w:val="26282F"/>
          <w:sz w:val="22"/>
        </w:rPr>
      </w:pPr>
    </w:p>
    <w:p w14:paraId="D5000000">
      <w:pPr>
        <w:tabs>
          <w:tab w:leader="none" w:pos="5928" w:val="left"/>
          <w:tab w:leader="none" w:pos="9921" w:val="right"/>
        </w:tabs>
        <w:ind/>
        <w:rPr>
          <w:b w:val="1"/>
          <w:color w:val="26282F"/>
          <w:sz w:val="22"/>
        </w:rPr>
      </w:pPr>
    </w:p>
    <w:p w14:paraId="D6000000">
      <w:pPr>
        <w:tabs>
          <w:tab w:leader="none" w:pos="5928" w:val="left"/>
          <w:tab w:leader="none" w:pos="9921" w:val="right"/>
        </w:tabs>
        <w:ind/>
        <w:rPr>
          <w:b w:val="1"/>
          <w:color w:val="26282F"/>
          <w:sz w:val="22"/>
        </w:rPr>
      </w:pPr>
    </w:p>
    <w:p w14:paraId="D7000000">
      <w:pPr>
        <w:tabs>
          <w:tab w:leader="none" w:pos="5928" w:val="left"/>
          <w:tab w:leader="none" w:pos="9921" w:val="right"/>
        </w:tabs>
        <w:ind/>
        <w:rPr>
          <w:b w:val="1"/>
          <w:color w:val="26282F"/>
          <w:sz w:val="22"/>
        </w:rPr>
      </w:pPr>
    </w:p>
    <w:p w14:paraId="D8000000">
      <w:pPr>
        <w:tabs>
          <w:tab w:leader="none" w:pos="5928" w:val="left"/>
          <w:tab w:leader="none" w:pos="9921" w:val="right"/>
        </w:tabs>
        <w:ind/>
        <w:rPr>
          <w:b w:val="1"/>
          <w:color w:val="26282F"/>
          <w:sz w:val="22"/>
        </w:rPr>
      </w:pPr>
    </w:p>
    <w:p w14:paraId="D9000000">
      <w:pPr>
        <w:tabs>
          <w:tab w:leader="none" w:pos="5928" w:val="left"/>
          <w:tab w:leader="none" w:pos="9921" w:val="right"/>
        </w:tabs>
        <w:ind/>
        <w:rPr>
          <w:b w:val="1"/>
          <w:color w:val="26282F"/>
          <w:sz w:val="22"/>
        </w:rPr>
      </w:pPr>
    </w:p>
    <w:p w14:paraId="DA000000">
      <w:pPr>
        <w:tabs>
          <w:tab w:leader="none" w:pos="5928" w:val="left"/>
          <w:tab w:leader="none" w:pos="9921" w:val="right"/>
        </w:tabs>
        <w:ind/>
        <w:rPr>
          <w:b w:val="1"/>
          <w:color w:val="26282F"/>
          <w:sz w:val="22"/>
        </w:rPr>
      </w:pPr>
    </w:p>
    <w:p w14:paraId="DB000000">
      <w:pPr>
        <w:tabs>
          <w:tab w:leader="none" w:pos="5928" w:val="left"/>
          <w:tab w:leader="none" w:pos="9921" w:val="right"/>
        </w:tabs>
        <w:ind/>
        <w:rPr>
          <w:b w:val="1"/>
          <w:color w:val="26282F"/>
          <w:sz w:val="22"/>
        </w:rPr>
      </w:pPr>
    </w:p>
    <w:p w14:paraId="DC000000">
      <w:pPr>
        <w:tabs>
          <w:tab w:leader="none" w:pos="5928" w:val="left"/>
          <w:tab w:leader="none" w:pos="9921" w:val="right"/>
        </w:tabs>
        <w:ind/>
        <w:rPr>
          <w:b w:val="1"/>
          <w:color w:val="26282F"/>
          <w:sz w:val="22"/>
        </w:rPr>
      </w:pPr>
    </w:p>
    <w:p w14:paraId="DD000000">
      <w:pPr>
        <w:tabs>
          <w:tab w:leader="none" w:pos="5928" w:val="left"/>
          <w:tab w:leader="none" w:pos="9921" w:val="right"/>
        </w:tabs>
        <w:ind w:firstLine="698" w:left="0"/>
        <w:jc w:val="right"/>
        <w:rPr>
          <w:b w:val="1"/>
          <w:color w:val="26282F"/>
          <w:sz w:val="22"/>
        </w:rPr>
      </w:pPr>
      <w:r>
        <w:rPr>
          <w:b w:val="1"/>
          <w:color w:val="26282F"/>
          <w:sz w:val="22"/>
        </w:rPr>
        <w:t xml:space="preserve">Приложение № 1 </w:t>
      </w:r>
    </w:p>
    <w:p w14:paraId="DE000000">
      <w:pPr>
        <w:tabs>
          <w:tab w:leader="none" w:pos="5928" w:val="left"/>
          <w:tab w:leader="none" w:pos="9921" w:val="right"/>
        </w:tabs>
        <w:ind w:firstLine="698" w:left="0"/>
        <w:jc w:val="right"/>
      </w:pPr>
      <w:r>
        <w:rPr>
          <w:b w:val="1"/>
          <w:color w:val="26282F"/>
          <w:sz w:val="22"/>
        </w:rPr>
        <w:t>к Контракту № РГМУ32362</w:t>
      </w:r>
      <w:r>
        <w:rPr>
          <w:b w:val="1"/>
          <w:color w:val="26282F"/>
          <w:sz w:val="22"/>
        </w:rPr>
        <w:br/>
      </w:r>
      <w:r>
        <w:rPr>
          <w:b w:val="1"/>
          <w:color w:val="26282F"/>
          <w:sz w:val="22"/>
        </w:rPr>
        <w:t xml:space="preserve">                                                                                                            </w:t>
      </w:r>
      <w:r>
        <w:rPr>
          <w:b w:val="1"/>
          <w:color w:val="26282F"/>
          <w:sz w:val="22"/>
        </w:rPr>
        <w:t>от "___"_____</w:t>
      </w:r>
      <w:r>
        <w:rPr>
          <w:b w:val="1"/>
          <w:color w:val="26282F"/>
          <w:sz w:val="22"/>
        </w:rPr>
        <w:t xml:space="preserve"> 2026</w:t>
      </w:r>
      <w:r>
        <w:rPr>
          <w:b w:val="1"/>
          <w:color w:val="26282F"/>
          <w:sz w:val="22"/>
        </w:rPr>
        <w:t>г.</w:t>
      </w:r>
      <w:r>
        <w:rPr>
          <w:b w:val="1"/>
          <w:color w:val="26282F"/>
          <w:sz w:val="22"/>
        </w:rPr>
        <w:br/>
      </w:r>
      <w:r>
        <w:rPr>
          <w:b w:val="1"/>
          <w:color w:val="26282F"/>
        </w:rPr>
        <w:t xml:space="preserve">                                                                                                                                            </w:t>
      </w:r>
      <w:bookmarkEnd w:id="92"/>
    </w:p>
    <w:p w14:paraId="DF000000">
      <w:pPr>
        <w:widowControl w:val="0"/>
        <w:ind/>
        <w:jc w:val="center"/>
        <w:rPr>
          <w:b w:val="1"/>
          <w:sz w:val="25"/>
        </w:rPr>
      </w:pPr>
      <w:r>
        <w:rPr>
          <w:b w:val="1"/>
        </w:rPr>
        <w:t>СПЕЦИФИКАЦИЯ</w:t>
      </w:r>
    </w:p>
    <w:p w14:paraId="E0000000">
      <w:pPr>
        <w:widowControl w:val="0"/>
        <w:ind/>
        <w:jc w:val="center"/>
        <w:rPr>
          <w:b w:val="1"/>
          <w:sz w:val="25"/>
        </w:rPr>
      </w:pPr>
      <w:r>
        <w:rPr>
          <w:b w:val="1"/>
          <w:sz w:val="25"/>
        </w:rPr>
        <w:t>на поставку расходного материала</w:t>
      </w:r>
    </w:p>
    <w:p w14:paraId="E1000000">
      <w:pPr>
        <w:widowControl w:val="0"/>
        <w:ind/>
        <w:jc w:val="center"/>
        <w:rPr>
          <w:b w:val="1"/>
          <w:sz w:val="25"/>
        </w:rPr>
      </w:pPr>
    </w:p>
    <w:tbl>
      <w:tblPr>
        <w:tblStyle w:val="Style_7"/>
        <w:tblW w:type="auto" w:w="0"/>
        <w:tblInd w:type="dxa" w:w="-43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26"/>
        <w:gridCol w:w="5670"/>
        <w:gridCol w:w="851"/>
        <w:gridCol w:w="850"/>
        <w:gridCol w:w="1134"/>
        <w:gridCol w:w="709"/>
        <w:gridCol w:w="1134"/>
      </w:tblGrid>
      <w:tr>
        <w:trPr>
          <w:trHeight w:hRule="atLeast" w:val="990"/>
        </w:trPr>
        <w:tc>
          <w:tcPr>
            <w:tcW w:type="dxa" w:w="426"/>
            <w:tcBorders>
              <w:top w:color="000000" w:sz="4" w:val="single"/>
              <w:left w:color="000000" w:sz="4" w:val="single"/>
              <w:bottom w:color="000000" w:sz="4" w:val="single"/>
              <w:right w:color="000000" w:sz="4" w:val="single"/>
            </w:tcBorders>
            <w:shd w:fill="FFFFFF" w:val="clear"/>
            <w:vAlign w:val="center"/>
          </w:tcPr>
          <w:p w14:paraId="E2000000">
            <w:pPr>
              <w:spacing w:after="0" w:line="100" w:lineRule="atLeast"/>
              <w:ind/>
              <w:jc w:val="center"/>
              <w:rPr>
                <w:sz w:val="20"/>
              </w:rPr>
            </w:pPr>
            <w:r>
              <w:rPr>
                <w:sz w:val="20"/>
              </w:rPr>
              <w:t>№ п/п</w:t>
            </w:r>
          </w:p>
        </w:tc>
        <w:tc>
          <w:tcPr>
            <w:tcW w:type="dxa" w:w="5670"/>
            <w:tcBorders>
              <w:top w:color="000000" w:sz="4" w:val="single"/>
              <w:left w:color="000000" w:sz="4" w:val="single"/>
              <w:bottom w:color="000000" w:sz="4" w:val="single"/>
              <w:right w:color="000000" w:sz="4" w:val="single"/>
            </w:tcBorders>
            <w:shd w:fill="FFFFFF" w:val="clear"/>
            <w:vAlign w:val="center"/>
          </w:tcPr>
          <w:p w14:paraId="E3000000">
            <w:pPr>
              <w:spacing w:after="0" w:line="100" w:lineRule="atLeast"/>
              <w:ind/>
              <w:jc w:val="center"/>
              <w:rPr>
                <w:sz w:val="20"/>
              </w:rPr>
            </w:pPr>
            <w:r>
              <w:rPr>
                <w:sz w:val="20"/>
              </w:rPr>
              <w:t>Наименование</w:t>
            </w:r>
          </w:p>
        </w:tc>
        <w:tc>
          <w:tcPr>
            <w:tcW w:type="dxa" w:w="851"/>
            <w:tcBorders>
              <w:top w:color="000000" w:sz="4" w:val="single"/>
              <w:left w:color="000000" w:sz="4" w:val="single"/>
              <w:bottom w:color="000000" w:sz="4" w:val="single"/>
              <w:right w:color="000000" w:sz="4" w:val="single"/>
            </w:tcBorders>
            <w:shd w:fill="FFFFFF" w:val="clear"/>
            <w:vAlign w:val="center"/>
          </w:tcPr>
          <w:p w14:paraId="E4000000">
            <w:pPr>
              <w:spacing w:after="0" w:line="100" w:lineRule="atLeast"/>
              <w:ind/>
              <w:jc w:val="center"/>
              <w:rPr>
                <w:sz w:val="20"/>
              </w:rPr>
            </w:pPr>
            <w:r>
              <w:rPr>
                <w:sz w:val="20"/>
              </w:rPr>
              <w:t>Ед. измерения</w:t>
            </w:r>
          </w:p>
        </w:tc>
        <w:tc>
          <w:tcPr>
            <w:tcW w:type="dxa" w:w="850"/>
            <w:tcBorders>
              <w:top w:color="000000" w:sz="4" w:val="single"/>
              <w:left w:color="000000" w:sz="4" w:val="single"/>
              <w:bottom w:color="000000" w:sz="4" w:val="single"/>
              <w:right w:color="000000" w:sz="4" w:val="single"/>
            </w:tcBorders>
            <w:shd w:fill="FFFFFF" w:val="clear"/>
            <w:vAlign w:val="center"/>
          </w:tcPr>
          <w:p w14:paraId="E5000000">
            <w:pPr>
              <w:spacing w:after="0" w:line="100" w:lineRule="atLeast"/>
              <w:ind/>
              <w:jc w:val="center"/>
              <w:rPr>
                <w:sz w:val="20"/>
              </w:rPr>
            </w:pPr>
            <w:r>
              <w:rPr>
                <w:sz w:val="20"/>
              </w:rPr>
              <w:t>Кол-во</w:t>
            </w:r>
          </w:p>
        </w:tc>
        <w:tc>
          <w:tcPr>
            <w:tcW w:type="dxa" w:w="1134"/>
            <w:tcBorders>
              <w:top w:color="000000" w:sz="4" w:val="single"/>
              <w:left w:color="000000" w:sz="4" w:val="single"/>
              <w:bottom w:color="000000" w:sz="4" w:val="single"/>
              <w:right w:color="000000" w:sz="4" w:val="single"/>
            </w:tcBorders>
            <w:shd w:fill="FFFFFF" w:val="clear"/>
            <w:vAlign w:val="center"/>
          </w:tcPr>
          <w:p w14:paraId="E6000000">
            <w:pPr>
              <w:pStyle w:val="Style_8"/>
              <w:ind/>
              <w:jc w:val="center"/>
              <w:rPr>
                <w:sz w:val="20"/>
              </w:rPr>
            </w:pPr>
            <w:r>
              <w:rPr>
                <w:sz w:val="20"/>
              </w:rPr>
              <w:t xml:space="preserve">Цена за ед., </w:t>
            </w:r>
            <w:r>
              <w:rPr>
                <w:sz w:val="20"/>
              </w:rPr>
              <w:t xml:space="preserve">включая НДС </w:t>
            </w:r>
            <w:r>
              <w:rPr>
                <w:sz w:val="20"/>
              </w:rPr>
              <w:t>(руб.)</w:t>
            </w:r>
          </w:p>
        </w:tc>
        <w:tc>
          <w:tcPr>
            <w:tcW w:type="dxa" w:w="709"/>
            <w:tcBorders>
              <w:top w:color="000000" w:sz="4" w:val="single"/>
              <w:left w:color="000000" w:sz="4" w:val="single"/>
              <w:bottom w:color="000000" w:sz="4" w:val="single"/>
              <w:right w:color="000000" w:sz="4" w:val="single"/>
            </w:tcBorders>
            <w:shd w:fill="FFFFFF" w:val="clear"/>
          </w:tcPr>
          <w:p w14:paraId="E7000000">
            <w:pPr>
              <w:pStyle w:val="Style_8"/>
              <w:ind/>
              <w:jc w:val="center"/>
              <w:rPr>
                <w:sz w:val="20"/>
              </w:rPr>
            </w:pPr>
            <w:r>
              <w:rPr>
                <w:sz w:val="20"/>
              </w:rPr>
              <w:t>% НДС</w:t>
            </w:r>
          </w:p>
        </w:tc>
        <w:tc>
          <w:tcPr>
            <w:tcW w:type="dxa" w:w="1134"/>
            <w:tcBorders>
              <w:top w:color="000000" w:sz="4" w:val="single"/>
              <w:left w:color="000000" w:sz="4" w:val="single"/>
              <w:bottom w:color="000000" w:sz="4" w:val="single"/>
              <w:right w:color="000000" w:sz="4" w:val="single"/>
            </w:tcBorders>
            <w:shd w:fill="FFFFFF" w:val="clear"/>
            <w:vAlign w:val="center"/>
          </w:tcPr>
          <w:p w14:paraId="E8000000">
            <w:pPr>
              <w:pStyle w:val="Style_8"/>
              <w:ind/>
              <w:jc w:val="center"/>
              <w:rPr>
                <w:sz w:val="20"/>
              </w:rPr>
            </w:pPr>
            <w:r>
              <w:rPr>
                <w:sz w:val="20"/>
              </w:rPr>
              <w:t xml:space="preserve">Общая стоимость, </w:t>
            </w:r>
            <w:r>
              <w:rPr>
                <w:sz w:val="20"/>
              </w:rPr>
              <w:t xml:space="preserve">включая НДС </w:t>
            </w:r>
            <w:r>
              <w:rPr>
                <w:sz w:val="20"/>
              </w:rPr>
              <w:t>(руб.)</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E9000000">
            <w:pPr>
              <w:spacing w:after="0" w:line="100" w:lineRule="atLeast"/>
              <w:ind/>
              <w:jc w:val="center"/>
              <w:rPr>
                <w:sz w:val="20"/>
              </w:rPr>
            </w:pPr>
            <w:r>
              <w:rPr>
                <w:sz w:val="20"/>
              </w:rPr>
              <w:t>1</w:t>
            </w:r>
          </w:p>
        </w:tc>
        <w:tc>
          <w:tcPr>
            <w:tcW w:type="dxa" w:w="5670"/>
            <w:tcBorders>
              <w:top w:color="000000" w:sz="4" w:val="single"/>
              <w:left w:color="000000" w:sz="4" w:val="single"/>
              <w:bottom w:color="000000" w:sz="4" w:val="single"/>
              <w:right w:color="000000" w:sz="4" w:val="single"/>
            </w:tcBorders>
            <w:shd w:fill="FFFFFF" w:val="clear"/>
            <w:vAlign w:val="center"/>
          </w:tcPr>
          <w:p w14:paraId="EA000000">
            <w:pPr>
              <w:spacing w:after="0"/>
              <w:ind/>
              <w:jc w:val="left"/>
              <w:rPr>
                <w:sz w:val="20"/>
              </w:rPr>
            </w:pPr>
            <w:r>
              <w:rPr>
                <w:sz w:val="20"/>
              </w:rPr>
              <w:t>Fl</w:t>
            </w:r>
            <w:r>
              <w:rPr>
                <w:sz w:val="20"/>
              </w:rPr>
              <w:t xml:space="preserve">-033-10 </w:t>
            </w:r>
            <w:r>
              <w:rPr>
                <w:sz w:val="20"/>
              </w:rPr>
              <w:t xml:space="preserve">Раствор буферный изотонический </w:t>
            </w:r>
          </w:p>
        </w:tc>
        <w:tc>
          <w:tcPr>
            <w:tcW w:type="dxa" w:w="851"/>
            <w:tcBorders>
              <w:top w:color="000000" w:sz="4" w:val="single"/>
              <w:left w:color="000000" w:sz="4" w:val="single"/>
              <w:bottom w:color="000000" w:sz="4" w:val="single"/>
              <w:right w:color="000000" w:sz="4" w:val="single"/>
            </w:tcBorders>
            <w:shd w:fill="FFFFFF" w:val="clear"/>
            <w:vAlign w:val="center"/>
          </w:tcPr>
          <w:p w14:paraId="EB000000">
            <w:pPr>
              <w:spacing w:after="0" w:line="100" w:lineRule="atLeast"/>
              <w:ind/>
              <w:rPr>
                <w:sz w:val="20"/>
              </w:rPr>
            </w:pPr>
            <w:r>
              <w:rPr>
                <w:sz w:val="20"/>
              </w:rPr>
              <w:t xml:space="preserve">    </w:t>
            </w:r>
            <w:r>
              <w:rPr>
                <w:sz w:val="20"/>
              </w:rPr>
              <w:t>шт</w:t>
            </w:r>
          </w:p>
        </w:tc>
        <w:tc>
          <w:tcPr>
            <w:tcW w:type="dxa" w:w="850"/>
            <w:tcBorders>
              <w:top w:color="000000" w:sz="4" w:val="single"/>
              <w:left w:color="000000" w:sz="4" w:val="single"/>
              <w:bottom w:color="000000" w:sz="4" w:val="single"/>
              <w:right w:color="000000" w:sz="4" w:val="single"/>
            </w:tcBorders>
            <w:shd w:fill="FFFFFF" w:val="clear"/>
            <w:vAlign w:val="center"/>
          </w:tcPr>
          <w:p w14:paraId="EC000000">
            <w:pPr>
              <w:spacing w:after="0" w:line="100" w:lineRule="atLeast"/>
              <w:ind/>
              <w:jc w:val="center"/>
              <w:rPr>
                <w:sz w:val="20"/>
              </w:rPr>
            </w:pPr>
            <w:r>
              <w:rPr>
                <w:sz w:val="20"/>
              </w:rPr>
              <w:t>1</w:t>
            </w:r>
          </w:p>
        </w:tc>
        <w:tc>
          <w:tcPr>
            <w:tcW w:type="dxa" w:w="1134"/>
            <w:tcBorders>
              <w:top w:color="000000" w:sz="4" w:val="single"/>
              <w:left w:color="000000" w:sz="4" w:val="single"/>
              <w:bottom w:color="000000" w:sz="4" w:val="single"/>
              <w:right w:color="000000" w:sz="4" w:val="single"/>
            </w:tcBorders>
            <w:shd w:fill="FFFFFF" w:val="clear"/>
            <w:vAlign w:val="center"/>
          </w:tcPr>
          <w:p w14:paraId="ED000000">
            <w:pPr>
              <w:spacing w:after="0" w:line="100" w:lineRule="atLeast"/>
              <w:ind/>
              <w:jc w:val="center"/>
              <w:rPr>
                <w:sz w:val="20"/>
              </w:rPr>
            </w:pPr>
          </w:p>
        </w:tc>
        <w:tc>
          <w:tcPr>
            <w:tcW w:type="dxa" w:w="709"/>
            <w:tcBorders>
              <w:top w:color="000000" w:sz="4" w:val="single"/>
              <w:left w:color="000000" w:sz="4" w:val="single"/>
              <w:bottom w:color="000000" w:sz="4" w:val="single"/>
              <w:right w:color="000000" w:sz="4" w:val="single"/>
            </w:tcBorders>
            <w:shd w:fill="FFFFFF" w:val="clear"/>
          </w:tcPr>
          <w:p w14:paraId="EE000000">
            <w:pPr>
              <w:ind/>
              <w:jc w:val="center"/>
              <w:rPr>
                <w:sz w:val="20"/>
              </w:rPr>
            </w:pPr>
          </w:p>
          <w:p w14:paraId="EF000000">
            <w:pPr>
              <w:ind/>
              <w:jc w:val="center"/>
              <w:rPr>
                <w:sz w:val="20"/>
              </w:rPr>
            </w:pPr>
          </w:p>
          <w:p w14:paraId="F0000000">
            <w:pPr>
              <w:ind/>
              <w:jc w:val="center"/>
              <w:rPr>
                <w:sz w:val="20"/>
              </w:rPr>
            </w:pPr>
          </w:p>
        </w:tc>
        <w:tc>
          <w:tcPr>
            <w:tcW w:type="dxa" w:w="1134"/>
            <w:tcBorders>
              <w:top w:color="000000" w:sz="4" w:val="single"/>
              <w:left w:color="000000" w:sz="4" w:val="single"/>
              <w:bottom w:color="000000" w:sz="4" w:val="single"/>
              <w:right w:color="000000" w:sz="4" w:val="single"/>
            </w:tcBorders>
            <w:shd w:fill="FFFFFF" w:val="clear"/>
            <w:vAlign w:val="center"/>
          </w:tcPr>
          <w:p w14:paraId="F1000000">
            <w:pPr>
              <w:rPr>
                <w:sz w:val="20"/>
              </w:rPr>
            </w:pPr>
            <w:r>
              <w:rPr>
                <w:sz w:val="20"/>
              </w:rPr>
              <w:t xml:space="preserve">  </w:t>
            </w:r>
          </w:p>
        </w:tc>
      </w:tr>
      <w:tr>
        <w:trPr>
          <w:trHeight w:hRule="atLeast" w:val="884"/>
        </w:trPr>
        <w:tc>
          <w:tcPr>
            <w:tcW w:type="dxa" w:w="426"/>
            <w:tcBorders>
              <w:top w:color="000000" w:sz="4" w:val="single"/>
              <w:left w:color="000000" w:sz="4" w:val="single"/>
              <w:bottom w:color="000000" w:sz="4" w:val="single"/>
              <w:right w:color="000000" w:sz="4" w:val="single"/>
            </w:tcBorders>
            <w:shd w:fill="FFFFFF" w:val="clear"/>
            <w:vAlign w:val="center"/>
          </w:tcPr>
          <w:p w14:paraId="F2000000">
            <w:pPr>
              <w:spacing w:after="0" w:line="100" w:lineRule="atLeast"/>
              <w:ind/>
              <w:jc w:val="center"/>
              <w:rPr>
                <w:sz w:val="20"/>
              </w:rPr>
            </w:pPr>
            <w:r>
              <w:rPr>
                <w:sz w:val="20"/>
              </w:rPr>
              <w:t>2</w:t>
            </w:r>
          </w:p>
        </w:tc>
        <w:tc>
          <w:tcPr>
            <w:tcW w:type="dxa" w:w="5670"/>
            <w:tcBorders>
              <w:top w:color="000000" w:sz="4" w:val="single"/>
              <w:left w:color="000000" w:sz="4" w:val="single"/>
              <w:bottom w:color="000000" w:sz="4" w:val="single"/>
              <w:right w:color="000000" w:sz="4" w:val="single"/>
            </w:tcBorders>
            <w:shd w:fill="FFFFFF" w:val="clear"/>
            <w:vAlign w:val="center"/>
          </w:tcPr>
          <w:p w14:paraId="F3000000">
            <w:pPr>
              <w:spacing w:after="0"/>
              <w:ind/>
              <w:jc w:val="left"/>
              <w:rPr>
                <w:sz w:val="20"/>
              </w:rPr>
            </w:pPr>
            <w:r>
              <w:rPr>
                <w:sz w:val="20"/>
              </w:rPr>
              <w:t xml:space="preserve">300-78 Реагент для обслуживания проточных </w:t>
            </w:r>
            <w:r>
              <w:rPr>
                <w:sz w:val="20"/>
              </w:rPr>
              <w:t>цитофлуориметров</w:t>
            </w:r>
            <w:r>
              <w:rPr>
                <w:sz w:val="20"/>
              </w:rPr>
              <w:t xml:space="preserve"> </w:t>
            </w:r>
          </w:p>
        </w:tc>
        <w:tc>
          <w:tcPr>
            <w:tcW w:type="dxa" w:w="851"/>
            <w:tcBorders>
              <w:top w:color="000000" w:sz="4" w:val="single"/>
              <w:left w:color="000000" w:sz="4" w:val="single"/>
              <w:bottom w:color="000000" w:sz="4" w:val="single"/>
              <w:right w:color="000000" w:sz="4" w:val="single"/>
            </w:tcBorders>
            <w:shd w:fill="FFFFFF" w:val="clear"/>
            <w:vAlign w:val="center"/>
          </w:tcPr>
          <w:p w14:paraId="F4000000">
            <w:pPr>
              <w:spacing w:after="0" w:line="100" w:lineRule="atLeast"/>
              <w:ind/>
              <w:rPr>
                <w:sz w:val="20"/>
              </w:rPr>
            </w:pPr>
            <w:r>
              <w:rPr>
                <w:sz w:val="20"/>
              </w:rPr>
              <w:t xml:space="preserve">    </w:t>
            </w:r>
            <w:r>
              <w:rPr>
                <w:sz w:val="20"/>
              </w:rPr>
              <w:t>шт</w:t>
            </w:r>
          </w:p>
        </w:tc>
        <w:tc>
          <w:tcPr>
            <w:tcW w:type="dxa" w:w="850"/>
            <w:tcBorders>
              <w:top w:color="000000" w:sz="4" w:val="single"/>
              <w:left w:color="000000" w:sz="4" w:val="single"/>
              <w:bottom w:color="000000" w:sz="4" w:val="single"/>
              <w:right w:color="000000" w:sz="4" w:val="single"/>
            </w:tcBorders>
            <w:shd w:fill="FFFFFF" w:val="clear"/>
            <w:vAlign w:val="center"/>
          </w:tcPr>
          <w:p w14:paraId="F5000000">
            <w:pPr>
              <w:spacing w:after="0" w:line="100" w:lineRule="atLeast"/>
              <w:ind/>
              <w:jc w:val="center"/>
              <w:rPr>
                <w:sz w:val="20"/>
              </w:rPr>
            </w:pPr>
            <w:r>
              <w:rPr>
                <w:sz w:val="20"/>
              </w:rPr>
              <w:t>1</w:t>
            </w:r>
          </w:p>
        </w:tc>
        <w:tc>
          <w:tcPr>
            <w:tcW w:type="dxa" w:w="1134"/>
            <w:tcBorders>
              <w:top w:color="000000" w:sz="4" w:val="single"/>
              <w:left w:color="000000" w:sz="4" w:val="single"/>
              <w:bottom w:color="000000" w:sz="4" w:val="single"/>
              <w:right w:color="000000" w:sz="4" w:val="single"/>
            </w:tcBorders>
            <w:shd w:fill="FFFFFF" w:val="clear"/>
            <w:vAlign w:val="center"/>
          </w:tcPr>
          <w:p w14:paraId="F6000000">
            <w:pPr>
              <w:spacing w:after="0" w:line="100" w:lineRule="atLeast"/>
              <w:ind/>
              <w:jc w:val="center"/>
              <w:rPr>
                <w:sz w:val="20"/>
              </w:rPr>
            </w:pPr>
          </w:p>
        </w:tc>
        <w:tc>
          <w:tcPr>
            <w:tcW w:type="dxa" w:w="709"/>
            <w:tcBorders>
              <w:top w:color="000000" w:sz="4" w:val="single"/>
              <w:left w:color="000000" w:sz="4" w:val="single"/>
              <w:bottom w:color="000000" w:sz="4" w:val="single"/>
              <w:right w:color="000000" w:sz="4" w:val="single"/>
            </w:tcBorders>
            <w:shd w:fill="FFFFFF" w:val="clear"/>
          </w:tcPr>
          <w:p w14:paraId="F7000000">
            <w:pPr>
              <w:ind/>
              <w:jc w:val="center"/>
              <w:rPr>
                <w:sz w:val="20"/>
              </w:rPr>
            </w:pPr>
          </w:p>
          <w:p w14:paraId="F8000000">
            <w:pPr>
              <w:ind/>
              <w:jc w:val="center"/>
              <w:rPr>
                <w:sz w:val="20"/>
              </w:rPr>
            </w:pPr>
          </w:p>
          <w:p w14:paraId="F9000000">
            <w:pPr>
              <w:ind/>
              <w:jc w:val="center"/>
              <w:rPr>
                <w:sz w:val="20"/>
              </w:rPr>
            </w:pPr>
          </w:p>
        </w:tc>
        <w:tc>
          <w:tcPr>
            <w:tcW w:type="dxa" w:w="1134"/>
            <w:tcBorders>
              <w:top w:color="000000" w:sz="4" w:val="single"/>
              <w:left w:color="000000" w:sz="4" w:val="single"/>
              <w:bottom w:color="000000" w:sz="4" w:val="single"/>
              <w:right w:color="000000" w:sz="4" w:val="single"/>
            </w:tcBorders>
            <w:shd w:fill="FFFFFF" w:val="clear"/>
            <w:vAlign w:val="center"/>
          </w:tcPr>
          <w:p w14:paraId="FA000000">
            <w:pPr>
              <w:rPr>
                <w:sz w:val="20"/>
              </w:rPr>
            </w:pPr>
          </w:p>
        </w:tc>
      </w:tr>
      <w:tr>
        <w:trPr>
          <w:trHeight w:hRule="atLeast" w:val="279"/>
        </w:trPr>
        <w:tc>
          <w:tcPr>
            <w:tcW w:type="dxa" w:w="426"/>
            <w:tcBorders>
              <w:top w:color="000000" w:sz="4" w:val="single"/>
              <w:left w:color="000000" w:sz="4" w:val="single"/>
              <w:bottom w:color="000000" w:sz="4" w:val="single"/>
              <w:right w:color="000000" w:sz="4" w:val="single"/>
            </w:tcBorders>
            <w:shd w:fill="FFFFFF" w:val="clear"/>
            <w:vAlign w:val="center"/>
          </w:tcPr>
          <w:p w14:paraId="FB000000">
            <w:pPr>
              <w:spacing w:after="0" w:line="100" w:lineRule="atLeast"/>
              <w:ind/>
              <w:jc w:val="center"/>
              <w:rPr>
                <w:b w:val="1"/>
                <w:sz w:val="20"/>
              </w:rPr>
            </w:pPr>
          </w:p>
        </w:tc>
        <w:tc>
          <w:tcPr>
            <w:tcW w:type="dxa" w:w="5670"/>
            <w:tcBorders>
              <w:top w:color="000000" w:sz="4" w:val="single"/>
              <w:left w:color="000000" w:sz="4" w:val="single"/>
              <w:bottom w:color="000000" w:sz="4" w:val="single"/>
              <w:right w:color="000000" w:sz="4" w:val="single"/>
            </w:tcBorders>
            <w:shd w:fill="FFFFFF" w:val="clear"/>
            <w:vAlign w:val="center"/>
          </w:tcPr>
          <w:p w14:paraId="FC000000">
            <w:pPr>
              <w:spacing w:after="0" w:line="100" w:lineRule="atLeast"/>
              <w:ind/>
              <w:jc w:val="center"/>
              <w:rPr>
                <w:sz w:val="20"/>
              </w:rPr>
            </w:pPr>
            <w:r>
              <w:rPr>
                <w:b w:val="1"/>
                <w:sz w:val="20"/>
              </w:rPr>
              <w:t>ИТОГО</w:t>
            </w:r>
            <w:r>
              <w:rPr>
                <w:sz w:val="20"/>
              </w:rPr>
              <w:t>:</w:t>
            </w:r>
          </w:p>
        </w:tc>
        <w:tc>
          <w:tcPr>
            <w:tcW w:type="dxa" w:w="851"/>
            <w:tcBorders>
              <w:top w:color="000000" w:sz="4" w:val="single"/>
              <w:left w:color="000000" w:sz="4" w:val="single"/>
              <w:bottom w:color="000000" w:sz="4" w:val="single"/>
              <w:right w:color="000000" w:sz="4" w:val="single"/>
            </w:tcBorders>
            <w:shd w:fill="FFFFFF" w:val="clear"/>
            <w:vAlign w:val="center"/>
          </w:tcPr>
          <w:p w14:paraId="FD000000">
            <w:pPr>
              <w:spacing w:after="0" w:line="100" w:lineRule="atLeast"/>
              <w:ind/>
              <w:jc w:val="center"/>
              <w:rPr>
                <w:b w:val="1"/>
                <w:sz w:val="20"/>
              </w:rPr>
            </w:pPr>
          </w:p>
        </w:tc>
        <w:tc>
          <w:tcPr>
            <w:tcW w:type="dxa" w:w="850"/>
            <w:tcBorders>
              <w:top w:color="000000" w:sz="4" w:val="single"/>
              <w:left w:color="000000" w:sz="4" w:val="single"/>
              <w:bottom w:color="000000" w:sz="4" w:val="single"/>
              <w:right w:color="000000" w:sz="4" w:val="single"/>
            </w:tcBorders>
            <w:shd w:fill="FFFFFF" w:val="clear"/>
            <w:vAlign w:val="center"/>
          </w:tcPr>
          <w:p w14:paraId="FE000000">
            <w:pPr>
              <w:spacing w:after="0" w:line="100" w:lineRule="atLeast"/>
              <w:ind/>
              <w:jc w:val="center"/>
              <w:rPr>
                <w:b w:val="1"/>
                <w:sz w:val="20"/>
              </w:rPr>
            </w:pPr>
          </w:p>
        </w:tc>
        <w:tc>
          <w:tcPr>
            <w:tcW w:type="dxa" w:w="1134"/>
            <w:tcBorders>
              <w:top w:color="000000" w:sz="4" w:val="single"/>
              <w:left w:color="000000" w:sz="4" w:val="single"/>
              <w:bottom w:color="000000" w:sz="4" w:val="single"/>
              <w:right w:color="000000" w:sz="4" w:val="single"/>
            </w:tcBorders>
            <w:shd w:fill="FFFFFF" w:val="clear"/>
            <w:vAlign w:val="center"/>
          </w:tcPr>
          <w:p w14:paraId="FF000000">
            <w:pPr>
              <w:spacing w:after="0" w:line="100" w:lineRule="atLeast"/>
              <w:ind/>
              <w:jc w:val="center"/>
              <w:rPr>
                <w:b w:val="1"/>
                <w:sz w:val="20"/>
              </w:rPr>
            </w:pPr>
          </w:p>
        </w:tc>
        <w:tc>
          <w:tcPr>
            <w:tcW w:type="dxa" w:w="709"/>
            <w:tcBorders>
              <w:top w:color="000000" w:sz="4" w:val="single"/>
              <w:left w:color="000000" w:sz="4" w:val="single"/>
              <w:bottom w:color="000000" w:sz="4" w:val="single"/>
              <w:right w:color="000000" w:sz="4" w:val="single"/>
            </w:tcBorders>
            <w:shd w:fill="FFFFFF" w:val="clear"/>
          </w:tcPr>
          <w:p w14:paraId="00010000">
            <w:pPr>
              <w:ind/>
              <w:jc w:val="center"/>
              <w:rPr>
                <w:b w:val="1"/>
                <w:sz w:val="20"/>
              </w:rPr>
            </w:pPr>
          </w:p>
        </w:tc>
        <w:tc>
          <w:tcPr>
            <w:tcW w:type="dxa" w:w="1134"/>
            <w:tcBorders>
              <w:top w:color="000000" w:sz="4" w:val="single"/>
              <w:left w:color="000000" w:sz="4" w:val="single"/>
              <w:bottom w:color="000000" w:sz="4" w:val="single"/>
              <w:right w:color="000000" w:sz="4" w:val="single"/>
            </w:tcBorders>
            <w:shd w:fill="FFFFFF" w:val="clear"/>
            <w:vAlign w:val="center"/>
          </w:tcPr>
          <w:p w14:paraId="01010000">
            <w:pPr>
              <w:ind/>
              <w:jc w:val="center"/>
              <w:rPr>
                <w:b w:val="1"/>
                <w:sz w:val="20"/>
              </w:rPr>
            </w:pPr>
          </w:p>
        </w:tc>
      </w:tr>
    </w:tbl>
    <w:p w14:paraId="02010000">
      <w:pPr>
        <w:rPr>
          <w:sz w:val="25"/>
        </w:rPr>
      </w:pPr>
      <w:bookmarkStart w:id="93" w:name="_Hlk126765294"/>
    </w:p>
    <w:p w14:paraId="03010000">
      <w:pPr>
        <w:rPr>
          <w:sz w:val="25"/>
        </w:rPr>
      </w:pPr>
      <w:r>
        <w:rPr>
          <w:sz w:val="25"/>
        </w:rPr>
        <w:t>Всего наименований - 2</w:t>
      </w:r>
      <w:bookmarkStart w:id="94" w:name="_GoBack"/>
      <w:bookmarkEnd w:id="94"/>
      <w:r>
        <w:rPr>
          <w:sz w:val="25"/>
        </w:rPr>
        <w:t>, на сумму:</w:t>
      </w:r>
      <w:r>
        <w:rPr>
          <w:b w:val="1"/>
          <w:color w:themeColor="text1" w:val="000000"/>
        </w:rPr>
        <w:t xml:space="preserve"> </w:t>
      </w:r>
      <w:r>
        <w:rPr>
          <w:b w:val="1"/>
          <w:color w:themeColor="text1" w:val="000000"/>
        </w:rPr>
        <w:t>________________________________________</w:t>
      </w:r>
      <w:r>
        <w:rPr>
          <w:b w:val="1"/>
          <w:color w:themeColor="text1" w:val="000000"/>
        </w:rPr>
        <w:t>.</w:t>
      </w:r>
    </w:p>
    <w:p w14:paraId="04010000">
      <w:pPr>
        <w:rPr>
          <w:sz w:val="25"/>
        </w:rPr>
      </w:pPr>
    </w:p>
    <w:tbl>
      <w:tblPr>
        <w:tblStyle w:val="Style_7"/>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896"/>
        <w:gridCol w:w="4765"/>
      </w:tblGrid>
      <w:tr>
        <w:trPr>
          <w:trHeight w:hRule="atLeast" w:val="2536"/>
        </w:trPr>
        <w:tc>
          <w:tcPr>
            <w:tcW w:type="dxa" w:w="4896"/>
            <w:tcBorders>
              <w:top w:color="000000" w:sz="4" w:val="single"/>
              <w:left w:color="000000" w:sz="4" w:val="single"/>
              <w:bottom w:color="000000" w:sz="4" w:val="single"/>
              <w:right w:color="000000" w:sz="4" w:val="single"/>
            </w:tcBorders>
          </w:tcPr>
          <w:p w14:paraId="05010000">
            <w:pPr>
              <w:ind/>
              <w:jc w:val="center"/>
              <w:rPr>
                <w:b w:val="1"/>
              </w:rPr>
            </w:pPr>
            <w:bookmarkStart w:id="95" w:name="sub_4000"/>
            <w:bookmarkEnd w:id="93"/>
            <w:r>
              <w:rPr>
                <w:b w:val="1"/>
              </w:rPr>
              <w:t>«Заказчик»</w:t>
            </w:r>
          </w:p>
          <w:p w14:paraId="06010000">
            <w:pPr>
              <w:spacing w:after="0"/>
              <w:ind/>
              <w:contextualSpacing w:val="1"/>
              <w:rPr>
                <w:rFonts w:ascii="Times New Roman" w:hAnsi="Times New Roman"/>
                <w:b w:val="0"/>
                <w:sz w:val="24"/>
              </w:rPr>
            </w:pPr>
            <w:r>
              <w:rPr>
                <w:rFonts w:ascii="Times New Roman" w:hAnsi="Times New Roman"/>
                <w:b w:val="1"/>
                <w:sz w:val="24"/>
              </w:rPr>
              <w:t>и.о. ректора</w:t>
            </w:r>
            <w:r>
              <w:rPr>
                <w:rFonts w:ascii="Times New Roman" w:hAnsi="Times New Roman"/>
                <w:b w:val="0"/>
                <w:sz w:val="24"/>
              </w:rPr>
              <w:t xml:space="preserve"> </w:t>
            </w:r>
            <w:r>
              <w:rPr>
                <w:b w:val="1"/>
              </w:rPr>
              <w:t xml:space="preserve">ФГБОУ ВО </w:t>
            </w:r>
            <w:r>
              <w:rPr>
                <w:b w:val="1"/>
              </w:rPr>
              <w:t>РостГМ</w:t>
            </w:r>
            <w:r>
              <w:rPr>
                <w:b w:val="1"/>
              </w:rPr>
              <w:t>У</w:t>
            </w:r>
            <w:r>
              <w:rPr>
                <w:b w:val="1"/>
              </w:rPr>
              <w:t xml:space="preserve"> Минздрава России</w:t>
            </w:r>
          </w:p>
          <w:p w14:paraId="07010000">
            <w:pPr>
              <w:spacing w:after="0"/>
              <w:ind/>
              <w:contextualSpacing w:val="1"/>
              <w:rPr>
                <w:rFonts w:ascii="Times New Roman" w:hAnsi="Times New Roman"/>
                <w:b w:val="0"/>
                <w:sz w:val="24"/>
              </w:rPr>
            </w:pPr>
          </w:p>
          <w:p w14:paraId="08010000">
            <w:pPr>
              <w:spacing w:after="0"/>
              <w:ind/>
              <w:contextualSpacing w:val="1"/>
              <w:rPr>
                <w:rFonts w:ascii="Times New Roman" w:hAnsi="Times New Roman"/>
                <w:b w:val="0"/>
                <w:sz w:val="24"/>
              </w:rPr>
            </w:pPr>
          </w:p>
          <w:p w14:paraId="09010000">
            <w:pPr>
              <w:spacing w:after="0" w:line="240" w:lineRule="auto"/>
              <w:ind/>
              <w:jc w:val="both"/>
              <w:rPr>
                <w:b w:val="1"/>
              </w:rPr>
            </w:pPr>
            <w:r>
              <w:rPr>
                <w:rFonts w:ascii="Times New Roman" w:hAnsi="Times New Roman"/>
                <w:b w:val="0"/>
                <w:sz w:val="24"/>
              </w:rPr>
              <w:t>_________________</w:t>
            </w:r>
            <w:r>
              <w:rPr>
                <w:rFonts w:ascii="Times New Roman" w:hAnsi="Times New Roman"/>
                <w:b w:val="1"/>
              </w:rPr>
              <w:t xml:space="preserve">Шишов М.А. </w:t>
            </w:r>
          </w:p>
          <w:p w14:paraId="0A010000">
            <w:pPr>
              <w:spacing w:after="0"/>
              <w:ind/>
              <w:rPr>
                <w:b w:val="1"/>
              </w:rPr>
            </w:pPr>
            <w:r>
              <w:rPr>
                <w:b w:val="1"/>
              </w:rPr>
              <w:t>э.ц.п</w:t>
            </w:r>
            <w:r>
              <w:rPr>
                <w:b w:val="1"/>
              </w:rPr>
              <w:t>.</w:t>
            </w:r>
          </w:p>
        </w:tc>
        <w:tc>
          <w:tcPr>
            <w:tcW w:type="dxa" w:w="4765"/>
            <w:tcBorders>
              <w:top w:color="000000" w:sz="4" w:val="single"/>
              <w:left w:color="000000" w:sz="4" w:val="single"/>
              <w:bottom w:color="000000" w:sz="4" w:val="single"/>
              <w:right w:color="000000" w:sz="4" w:val="single"/>
            </w:tcBorders>
          </w:tcPr>
          <w:p w14:paraId="0B010000">
            <w:pPr>
              <w:ind/>
              <w:jc w:val="center"/>
              <w:rPr>
                <w:b w:val="1"/>
              </w:rPr>
            </w:pPr>
            <w:r>
              <w:rPr>
                <w:b w:val="1"/>
              </w:rPr>
              <w:t>«Поставщик»</w:t>
            </w:r>
          </w:p>
          <w:p w14:paraId="0C010000">
            <w:pPr>
              <w:ind/>
              <w:jc w:val="left"/>
              <w:rPr>
                <w:b w:val="1"/>
              </w:rPr>
            </w:pPr>
            <w:r>
              <w:t xml:space="preserve"> </w:t>
            </w:r>
            <w:bookmarkEnd w:id="95"/>
          </w:p>
        </w:tc>
      </w:tr>
    </w:tbl>
    <w:p w14:paraId="0D010000">
      <w:pPr>
        <w:widowControl w:val="0"/>
        <w:ind/>
        <w:rPr>
          <w:b w:val="1"/>
          <w:sz w:val="25"/>
        </w:rPr>
      </w:pPr>
    </w:p>
    <w:p w14:paraId="0E010000">
      <w:pPr>
        <w:widowControl w:val="0"/>
        <w:ind/>
        <w:rPr>
          <w:b w:val="1"/>
          <w:sz w:val="25"/>
        </w:rPr>
      </w:pPr>
    </w:p>
    <w:p w14:paraId="0F010000">
      <w:pPr>
        <w:widowControl w:val="0"/>
        <w:ind/>
        <w:rPr>
          <w:b w:val="1"/>
          <w:sz w:val="25"/>
        </w:rPr>
      </w:pPr>
    </w:p>
    <w:p w14:paraId="10010000">
      <w:pPr>
        <w:widowControl w:val="0"/>
        <w:ind/>
        <w:rPr>
          <w:b w:val="1"/>
          <w:sz w:val="25"/>
        </w:rPr>
      </w:pPr>
    </w:p>
    <w:p w14:paraId="11010000">
      <w:pPr>
        <w:widowControl w:val="0"/>
        <w:ind/>
        <w:rPr>
          <w:b w:val="1"/>
          <w:sz w:val="25"/>
        </w:rPr>
      </w:pPr>
    </w:p>
    <w:p w14:paraId="12010000">
      <w:pPr>
        <w:widowControl w:val="0"/>
        <w:ind/>
        <w:rPr>
          <w:b w:val="1"/>
          <w:sz w:val="25"/>
        </w:rPr>
      </w:pPr>
    </w:p>
    <w:p w14:paraId="13010000">
      <w:pPr>
        <w:widowControl w:val="0"/>
        <w:ind/>
        <w:rPr>
          <w:b w:val="1"/>
          <w:sz w:val="25"/>
        </w:rPr>
      </w:pPr>
    </w:p>
    <w:p w14:paraId="14010000">
      <w:pPr>
        <w:widowControl w:val="0"/>
        <w:ind/>
        <w:rPr>
          <w:b w:val="1"/>
          <w:sz w:val="25"/>
        </w:rPr>
      </w:pPr>
    </w:p>
    <w:p w14:paraId="15010000">
      <w:pPr>
        <w:widowControl w:val="0"/>
        <w:ind/>
        <w:rPr>
          <w:b w:val="1"/>
          <w:sz w:val="25"/>
        </w:rPr>
      </w:pPr>
    </w:p>
    <w:p w14:paraId="16010000">
      <w:pPr>
        <w:widowControl w:val="0"/>
        <w:ind/>
        <w:rPr>
          <w:b w:val="1"/>
          <w:sz w:val="25"/>
        </w:rPr>
      </w:pPr>
    </w:p>
    <w:p w14:paraId="17010000">
      <w:pPr>
        <w:widowControl w:val="0"/>
        <w:ind/>
        <w:rPr>
          <w:b w:val="1"/>
          <w:sz w:val="25"/>
        </w:rPr>
      </w:pPr>
    </w:p>
    <w:p w14:paraId="18010000">
      <w:pPr>
        <w:widowControl w:val="0"/>
        <w:ind/>
        <w:rPr>
          <w:b w:val="1"/>
          <w:sz w:val="25"/>
        </w:rPr>
      </w:pPr>
    </w:p>
    <w:p w14:paraId="19010000">
      <w:pPr>
        <w:widowControl w:val="0"/>
        <w:ind/>
        <w:rPr>
          <w:b w:val="1"/>
          <w:sz w:val="25"/>
        </w:rPr>
      </w:pPr>
    </w:p>
    <w:p w14:paraId="1A010000">
      <w:pPr>
        <w:widowControl w:val="0"/>
        <w:ind/>
        <w:rPr>
          <w:b w:val="1"/>
          <w:sz w:val="25"/>
        </w:rPr>
      </w:pPr>
    </w:p>
    <w:p w14:paraId="1B010000">
      <w:pPr>
        <w:widowControl w:val="0"/>
        <w:ind/>
        <w:rPr>
          <w:b w:val="1"/>
          <w:sz w:val="25"/>
        </w:rPr>
      </w:pPr>
    </w:p>
    <w:p w14:paraId="1C010000">
      <w:pPr>
        <w:widowControl w:val="0"/>
        <w:ind/>
        <w:rPr>
          <w:b w:val="1"/>
          <w:sz w:val="25"/>
        </w:rPr>
      </w:pPr>
    </w:p>
    <w:p w14:paraId="1D010000">
      <w:pPr>
        <w:widowControl w:val="0"/>
        <w:ind/>
        <w:rPr>
          <w:b w:val="1"/>
          <w:sz w:val="25"/>
        </w:rPr>
      </w:pPr>
    </w:p>
    <w:p w14:paraId="1E010000">
      <w:pPr>
        <w:widowControl w:val="0"/>
        <w:ind/>
        <w:rPr>
          <w:b w:val="1"/>
          <w:sz w:val="25"/>
        </w:rPr>
      </w:pPr>
    </w:p>
    <w:p w14:paraId="1F010000">
      <w:pPr>
        <w:widowControl w:val="0"/>
        <w:ind/>
        <w:jc w:val="right"/>
        <w:rPr>
          <w:b w:val="1"/>
          <w:sz w:val="25"/>
        </w:rPr>
      </w:pPr>
      <w:r>
        <w:rPr>
          <w:b w:val="1"/>
          <w:sz w:val="25"/>
        </w:rPr>
        <w:t xml:space="preserve">Приложение № 2 </w:t>
      </w:r>
    </w:p>
    <w:p w14:paraId="20010000">
      <w:pPr>
        <w:widowControl w:val="0"/>
        <w:spacing w:after="0" w:line="100" w:lineRule="atLeast"/>
        <w:ind w:firstLine="708" w:left="4956"/>
        <w:jc w:val="right"/>
        <w:rPr>
          <w:b w:val="1"/>
          <w:sz w:val="25"/>
        </w:rPr>
      </w:pPr>
      <w:r>
        <w:rPr>
          <w:b w:val="1"/>
          <w:sz w:val="25"/>
        </w:rPr>
        <w:t xml:space="preserve">к Контракту № </w:t>
      </w:r>
      <w:r>
        <w:rPr>
          <w:b w:val="1"/>
          <w:sz w:val="25"/>
        </w:rPr>
        <w:t>РГМУ____</w:t>
      </w:r>
    </w:p>
    <w:p w14:paraId="21010000">
      <w:pPr>
        <w:widowControl w:val="0"/>
        <w:spacing w:after="0" w:line="100" w:lineRule="atLeast"/>
        <w:ind w:firstLine="708" w:left="4956"/>
        <w:jc w:val="right"/>
        <w:rPr>
          <w:b w:val="1"/>
          <w:sz w:val="25"/>
        </w:rPr>
      </w:pPr>
      <w:r>
        <w:rPr>
          <w:b w:val="1"/>
          <w:sz w:val="25"/>
        </w:rPr>
        <w:t>от «___» ________</w:t>
      </w:r>
      <w:r>
        <w:rPr>
          <w:b w:val="1"/>
          <w:sz w:val="25"/>
        </w:rPr>
        <w:t xml:space="preserve"> 2026</w:t>
      </w:r>
      <w:r>
        <w:rPr>
          <w:b w:val="1"/>
          <w:sz w:val="25"/>
        </w:rPr>
        <w:t>г.</w:t>
      </w:r>
    </w:p>
    <w:p w14:paraId="22010000">
      <w:pPr>
        <w:widowControl w:val="0"/>
        <w:spacing w:after="0" w:line="100" w:lineRule="atLeast"/>
        <w:ind w:firstLine="708" w:left="4956"/>
        <w:jc w:val="right"/>
        <w:rPr>
          <w:sz w:val="25"/>
        </w:rPr>
      </w:pPr>
    </w:p>
    <w:p w14:paraId="23010000">
      <w:pPr>
        <w:spacing w:after="0"/>
        <w:ind w:firstLine="698" w:left="0"/>
        <w:jc w:val="right"/>
      </w:pPr>
      <w:r>
        <w:rPr>
          <w:rStyle w:val="Style_9_ch"/>
        </w:rPr>
        <w:t>Образец</w:t>
      </w:r>
    </w:p>
    <w:p w14:paraId="24010000">
      <w:pPr>
        <w:spacing w:after="0" w:line="100" w:lineRule="atLeast"/>
        <w:ind/>
        <w:jc w:val="center"/>
        <w:rPr>
          <w:b w:val="1"/>
          <w:sz w:val="25"/>
        </w:rPr>
      </w:pPr>
      <w:r>
        <w:rPr>
          <w:b w:val="1"/>
          <w:sz w:val="25"/>
        </w:rPr>
        <w:t>Заявка</w:t>
      </w:r>
    </w:p>
    <w:p w14:paraId="25010000">
      <w:pPr>
        <w:spacing w:after="0" w:line="100" w:lineRule="atLeast"/>
        <w:ind w:firstLine="1134" w:left="0"/>
        <w:rPr>
          <w:b w:val="1"/>
          <w:sz w:val="25"/>
        </w:rPr>
      </w:pPr>
      <w:r>
        <w:rPr>
          <w:b w:val="1"/>
          <w:sz w:val="25"/>
        </w:rPr>
        <w:t xml:space="preserve">                                на поставку расходного материала</w:t>
      </w:r>
    </w:p>
    <w:p w14:paraId="26010000">
      <w:pPr>
        <w:spacing w:after="0" w:line="100" w:lineRule="atLeast"/>
        <w:ind w:firstLine="1134" w:left="0"/>
      </w:pPr>
      <w:r>
        <w:rPr>
          <w:b w:val="1"/>
          <w:sz w:val="25"/>
        </w:rPr>
        <w:t xml:space="preserve">                                  </w:t>
      </w:r>
      <w:r>
        <w:rPr>
          <w:b w:val="1"/>
          <w:sz w:val="25"/>
        </w:rPr>
        <w:t>№ ______</w:t>
      </w:r>
      <w:r>
        <w:rPr>
          <w:b w:val="1"/>
          <w:sz w:val="25"/>
        </w:rPr>
        <w:t xml:space="preserve"> от </w:t>
      </w:r>
      <w:r>
        <w:rPr>
          <w:b w:val="1"/>
          <w:sz w:val="25"/>
        </w:rPr>
        <w:t>_____________</w:t>
      </w:r>
    </w:p>
    <w:p w14:paraId="27010000">
      <w:pPr>
        <w:spacing w:after="0" w:line="100" w:lineRule="atLeast"/>
        <w:ind w:firstLine="1134" w:left="0"/>
        <w:jc w:val="center"/>
      </w:pPr>
    </w:p>
    <w:p w14:paraId="28010000">
      <w:pPr>
        <w:spacing w:before="360"/>
        <w:ind w:firstLine="708" w:left="0"/>
        <w:rPr>
          <w:b w:val="1"/>
          <w:color w:val="3F3F3F"/>
        </w:rPr>
      </w:pPr>
      <w:r>
        <w:rPr>
          <w:sz w:val="25"/>
        </w:rPr>
        <w:t>В соответствии с условиями Контракта № ______ от «___» ________ ______ г. прошу Вас поставить:</w:t>
      </w:r>
    </w:p>
    <w:tbl>
      <w:tblPr>
        <w:tblStyle w:val="Style_7"/>
        <w:tblW w:type="auto" w:w="0"/>
        <w:tblInd w:type="dxa" w:w="93"/>
        <w:tblLayout w:type="fixed"/>
      </w:tblPr>
      <w:tblGrid>
        <w:gridCol w:w="948"/>
        <w:gridCol w:w="3490"/>
        <w:gridCol w:w="993"/>
        <w:gridCol w:w="1559"/>
        <w:gridCol w:w="1417"/>
        <w:gridCol w:w="1531"/>
      </w:tblGrid>
      <w:tr>
        <w:trPr>
          <w:trHeight w:hRule="atLeast" w:val="1236"/>
        </w:trPr>
        <w:tc>
          <w:tcPr>
            <w:tcW w:type="dxa" w:w="948"/>
            <w:tcBorders>
              <w:top w:color="000000" w:sz="4" w:val="single"/>
              <w:left w:color="000000" w:sz="4" w:val="single"/>
              <w:bottom w:color="000000" w:sz="4" w:val="single"/>
              <w:right w:color="000000" w:sz="4" w:val="single"/>
            </w:tcBorders>
            <w:shd w:fill="F2F2F2" w:val="clear"/>
            <w:vAlign w:val="center"/>
          </w:tcPr>
          <w:p w14:paraId="29010000">
            <w:pPr>
              <w:spacing w:after="0" w:line="100" w:lineRule="atLeast"/>
              <w:ind/>
              <w:jc w:val="center"/>
              <w:rPr>
                <w:b w:val="1"/>
                <w:color w:themeColor="text1" w:themeTint="A6" w:val="595959"/>
              </w:rPr>
            </w:pPr>
            <w:r>
              <w:rPr>
                <w:b w:val="1"/>
                <w:color w:themeColor="text1" w:themeTint="A6" w:val="595959"/>
              </w:rPr>
              <w:t>№</w:t>
            </w:r>
            <w:r>
              <w:rPr>
                <w:b w:val="1"/>
                <w:color w:themeColor="text1" w:themeTint="A6" w:val="595959"/>
              </w:rPr>
              <w:br/>
            </w:r>
            <w:r>
              <w:rPr>
                <w:b w:val="1"/>
                <w:color w:themeColor="text1" w:themeTint="A6" w:val="595959"/>
              </w:rPr>
              <w:t>п/п</w:t>
            </w:r>
          </w:p>
        </w:tc>
        <w:tc>
          <w:tcPr>
            <w:tcW w:type="dxa" w:w="3490"/>
            <w:tcBorders>
              <w:top w:color="000000" w:sz="4" w:val="single"/>
              <w:bottom w:color="000000" w:sz="4" w:val="single"/>
              <w:right w:color="000000" w:sz="4" w:val="single"/>
            </w:tcBorders>
            <w:shd w:fill="F2F2F2" w:val="clear"/>
            <w:vAlign w:val="center"/>
          </w:tcPr>
          <w:p w14:paraId="2A010000">
            <w:pPr>
              <w:spacing w:after="0" w:line="100" w:lineRule="atLeast"/>
              <w:ind/>
              <w:jc w:val="center"/>
              <w:rPr>
                <w:b w:val="1"/>
                <w:color w:themeColor="text1" w:themeTint="A6" w:val="595959"/>
              </w:rPr>
            </w:pPr>
            <w:r>
              <w:rPr>
                <w:b w:val="1"/>
                <w:color w:themeColor="text1" w:themeTint="A6" w:val="595959"/>
              </w:rPr>
              <w:t>Наименование</w:t>
            </w:r>
          </w:p>
        </w:tc>
        <w:tc>
          <w:tcPr>
            <w:tcW w:type="dxa" w:w="993"/>
            <w:tcBorders>
              <w:top w:color="000000" w:sz="4" w:val="single"/>
              <w:bottom w:color="000000" w:sz="4" w:val="single"/>
              <w:right w:color="000000" w:sz="4" w:val="single"/>
            </w:tcBorders>
            <w:shd w:fill="F2F2F2" w:val="clear"/>
            <w:vAlign w:val="center"/>
          </w:tcPr>
          <w:p w14:paraId="2B010000">
            <w:pPr>
              <w:spacing w:after="0" w:line="100" w:lineRule="atLeast"/>
              <w:ind/>
              <w:jc w:val="center"/>
              <w:rPr>
                <w:b w:val="1"/>
                <w:color w:themeColor="text1" w:themeTint="A6" w:val="595959"/>
              </w:rPr>
            </w:pPr>
            <w:r>
              <w:rPr>
                <w:b w:val="1"/>
                <w:color w:themeColor="text1" w:themeTint="A6" w:val="595959"/>
              </w:rPr>
              <w:t>Кол-во</w:t>
            </w:r>
          </w:p>
        </w:tc>
        <w:tc>
          <w:tcPr>
            <w:tcW w:type="dxa" w:w="1559"/>
            <w:tcBorders>
              <w:top w:color="000000" w:sz="4" w:val="single"/>
              <w:bottom w:color="000000" w:sz="4" w:val="single"/>
              <w:right w:color="000000" w:sz="4" w:val="single"/>
            </w:tcBorders>
            <w:shd w:fill="F2F2F2" w:val="clear"/>
            <w:vAlign w:val="center"/>
          </w:tcPr>
          <w:p w14:paraId="2C010000">
            <w:pPr>
              <w:spacing w:after="0" w:line="100" w:lineRule="atLeast"/>
              <w:ind/>
              <w:jc w:val="center"/>
              <w:rPr>
                <w:b w:val="1"/>
                <w:color w:themeColor="text1" w:themeTint="A6" w:val="595959"/>
              </w:rPr>
            </w:pPr>
            <w:r>
              <w:rPr>
                <w:b w:val="1"/>
                <w:color w:themeColor="text1" w:themeTint="A6" w:val="595959"/>
              </w:rPr>
              <w:t>Ед. измерения</w:t>
            </w:r>
          </w:p>
        </w:tc>
        <w:tc>
          <w:tcPr>
            <w:tcW w:type="dxa" w:w="1417"/>
            <w:tcBorders>
              <w:top w:color="000000" w:sz="4" w:val="single"/>
              <w:bottom w:color="000000" w:sz="4" w:val="single"/>
              <w:right w:color="000000" w:sz="4" w:val="single"/>
            </w:tcBorders>
            <w:shd w:fill="F2F2F2" w:val="clear"/>
          </w:tcPr>
          <w:p w14:paraId="2D010000">
            <w:pPr>
              <w:pStyle w:val="Style_8"/>
              <w:rPr>
                <w:b w:val="1"/>
                <w:color w:themeColor="text1" w:themeTint="A6" w:val="595959"/>
              </w:rPr>
            </w:pPr>
            <w:r>
              <w:rPr>
                <w:b w:val="1"/>
                <w:color w:themeColor="text1" w:themeTint="A6" w:val="595959"/>
              </w:rPr>
              <w:t>Цена за ед.,</w:t>
            </w:r>
            <w:r>
              <w:rPr>
                <w:b w:val="1"/>
                <w:color w:themeColor="text1" w:themeTint="A6" w:val="595959"/>
              </w:rPr>
              <w:t xml:space="preserve"> включая НДС </w:t>
            </w:r>
            <w:r>
              <w:rPr>
                <w:b w:val="1"/>
                <w:color w:themeColor="text1" w:themeTint="A6" w:val="595959"/>
              </w:rPr>
              <w:t xml:space="preserve"> </w:t>
            </w:r>
            <w:r>
              <w:rPr>
                <w:b w:val="1"/>
                <w:color w:themeColor="text1" w:themeTint="A6" w:val="595959"/>
                <w:sz w:val="22"/>
              </w:rPr>
              <w:t>(руб.)</w:t>
            </w:r>
          </w:p>
        </w:tc>
        <w:tc>
          <w:tcPr>
            <w:tcW w:type="dxa" w:w="1531"/>
            <w:tcBorders>
              <w:top w:color="000000" w:sz="4" w:val="single"/>
              <w:bottom w:color="000000" w:sz="4" w:val="single"/>
              <w:right w:color="000000" w:sz="4" w:val="single"/>
            </w:tcBorders>
            <w:shd w:fill="F2F2F2" w:val="clear"/>
          </w:tcPr>
          <w:p w14:paraId="2E010000">
            <w:pPr>
              <w:pStyle w:val="Style_8"/>
              <w:rPr>
                <w:b w:val="1"/>
                <w:color w:themeColor="text1" w:themeTint="A6" w:val="595959"/>
              </w:rPr>
            </w:pPr>
            <w:r>
              <w:rPr>
                <w:b w:val="1"/>
                <w:color w:themeColor="text1" w:themeTint="A6" w:val="595959"/>
              </w:rPr>
              <w:t xml:space="preserve">Общая стоимость, </w:t>
            </w:r>
            <w:r>
              <w:rPr>
                <w:b w:val="1"/>
                <w:color w:themeColor="text1" w:themeTint="A6" w:val="595959"/>
              </w:rPr>
              <w:t xml:space="preserve">включая НДС </w:t>
            </w:r>
            <w:r>
              <w:rPr>
                <w:b w:val="1"/>
                <w:color w:themeColor="text1" w:themeTint="A6" w:val="595959"/>
              </w:rPr>
              <w:t>(руб.)</w:t>
            </w:r>
          </w:p>
        </w:tc>
      </w:tr>
      <w:tr>
        <w:trPr>
          <w:trHeight w:hRule="atLeast" w:val="177"/>
        </w:trPr>
        <w:tc>
          <w:tcPr>
            <w:tcW w:type="dxa" w:w="948"/>
            <w:tcBorders>
              <w:top w:color="000000" w:sz="4" w:val="single"/>
              <w:left w:color="000000" w:sz="4" w:val="single"/>
              <w:bottom w:color="000000" w:sz="4" w:val="single"/>
              <w:right w:color="000000" w:sz="4" w:val="single"/>
            </w:tcBorders>
            <w:shd w:fill="F2F2F2" w:val="clear"/>
            <w:vAlign w:val="center"/>
          </w:tcPr>
          <w:p w14:paraId="2F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30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31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32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33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34010000">
            <w:pPr>
              <w:spacing w:after="0" w:line="100" w:lineRule="atLeast"/>
              <w:ind/>
              <w:jc w:val="center"/>
              <w:rPr>
                <w:b w:val="1"/>
                <w:color w:val="3F3F3F"/>
              </w:rPr>
            </w:pPr>
          </w:p>
        </w:tc>
      </w:tr>
      <w:tr>
        <w:trPr>
          <w:trHeight w:hRule="atLeast" w:val="234"/>
        </w:trPr>
        <w:tc>
          <w:tcPr>
            <w:tcW w:type="dxa" w:w="948"/>
            <w:tcBorders>
              <w:top w:color="000000" w:sz="4" w:val="single"/>
              <w:left w:color="000000" w:sz="4" w:val="single"/>
              <w:bottom w:color="000000" w:sz="4" w:val="single"/>
              <w:right w:color="000000" w:sz="4" w:val="single"/>
            </w:tcBorders>
            <w:shd w:fill="F2F2F2" w:val="clear"/>
            <w:vAlign w:val="center"/>
          </w:tcPr>
          <w:p w14:paraId="35010000">
            <w:pPr>
              <w:spacing w:after="0" w:line="100" w:lineRule="atLeast"/>
              <w:ind/>
              <w:jc w:val="center"/>
              <w:rPr>
                <w:b w:val="1"/>
                <w:color w:val="3F3F3F"/>
              </w:rPr>
            </w:pPr>
          </w:p>
        </w:tc>
        <w:tc>
          <w:tcPr>
            <w:tcW w:type="dxa" w:w="3490"/>
            <w:tcBorders>
              <w:top w:color="000000" w:sz="4" w:val="single"/>
              <w:bottom w:color="000000" w:sz="4" w:val="single"/>
              <w:right w:color="000000" w:sz="4" w:val="single"/>
            </w:tcBorders>
            <w:shd w:fill="F2F2F2" w:val="clear"/>
            <w:vAlign w:val="center"/>
          </w:tcPr>
          <w:p w14:paraId="36010000">
            <w:pPr>
              <w:spacing w:after="0" w:line="100" w:lineRule="atLeast"/>
              <w:ind/>
              <w:jc w:val="center"/>
              <w:rPr>
                <w:b w:val="1"/>
                <w:color w:val="3F3F3F"/>
              </w:rPr>
            </w:pPr>
          </w:p>
        </w:tc>
        <w:tc>
          <w:tcPr>
            <w:tcW w:type="dxa" w:w="993"/>
            <w:tcBorders>
              <w:top w:color="000000" w:sz="4" w:val="single"/>
              <w:bottom w:color="000000" w:sz="4" w:val="single"/>
              <w:right w:color="000000" w:sz="4" w:val="single"/>
            </w:tcBorders>
            <w:shd w:fill="F2F2F2" w:val="clear"/>
            <w:vAlign w:val="center"/>
          </w:tcPr>
          <w:p w14:paraId="37010000">
            <w:pPr>
              <w:spacing w:after="0" w:line="100" w:lineRule="atLeast"/>
              <w:ind/>
              <w:jc w:val="center"/>
              <w:rPr>
                <w:b w:val="1"/>
                <w:color w:val="3F3F3F"/>
              </w:rPr>
            </w:pPr>
          </w:p>
        </w:tc>
        <w:tc>
          <w:tcPr>
            <w:tcW w:type="dxa" w:w="1559"/>
            <w:tcBorders>
              <w:top w:color="000000" w:sz="4" w:val="single"/>
              <w:bottom w:color="000000" w:sz="4" w:val="single"/>
              <w:right w:color="000000" w:sz="4" w:val="single"/>
            </w:tcBorders>
            <w:shd w:fill="F2F2F2" w:val="clear"/>
            <w:vAlign w:val="center"/>
          </w:tcPr>
          <w:p w14:paraId="38010000">
            <w:pPr>
              <w:spacing w:after="0" w:line="100" w:lineRule="atLeast"/>
              <w:ind/>
              <w:jc w:val="center"/>
              <w:rPr>
                <w:b w:val="1"/>
                <w:color w:val="3F3F3F"/>
              </w:rPr>
            </w:pPr>
          </w:p>
        </w:tc>
        <w:tc>
          <w:tcPr>
            <w:tcW w:type="dxa" w:w="1417"/>
            <w:tcBorders>
              <w:top w:color="000000" w:sz="4" w:val="single"/>
              <w:bottom w:color="000000" w:sz="4" w:val="single"/>
              <w:right w:color="000000" w:sz="4" w:val="single"/>
            </w:tcBorders>
            <w:shd w:fill="F2F2F2" w:val="clear"/>
            <w:vAlign w:val="center"/>
          </w:tcPr>
          <w:p w14:paraId="39010000">
            <w:pPr>
              <w:spacing w:after="0" w:line="100" w:lineRule="atLeast"/>
              <w:ind/>
              <w:jc w:val="center"/>
              <w:rPr>
                <w:b w:val="1"/>
                <w:color w:val="3F3F3F"/>
              </w:rPr>
            </w:pPr>
          </w:p>
        </w:tc>
        <w:tc>
          <w:tcPr>
            <w:tcW w:type="dxa" w:w="1531"/>
            <w:tcBorders>
              <w:top w:color="000000" w:sz="4" w:val="single"/>
              <w:bottom w:color="000000" w:sz="4" w:val="single"/>
              <w:right w:color="000000" w:sz="4" w:val="single"/>
            </w:tcBorders>
            <w:shd w:fill="F2F2F2" w:val="clear"/>
            <w:vAlign w:val="center"/>
          </w:tcPr>
          <w:p w14:paraId="3A010000">
            <w:pPr>
              <w:spacing w:after="0" w:line="100" w:lineRule="atLeast"/>
              <w:ind/>
              <w:jc w:val="center"/>
              <w:rPr>
                <w:b w:val="1"/>
                <w:color w:val="3F3F3F"/>
              </w:rPr>
            </w:pPr>
          </w:p>
        </w:tc>
      </w:tr>
    </w:tbl>
    <w:p w14:paraId="3B010000">
      <w:pPr>
        <w:pStyle w:val="Style_10"/>
        <w:ind/>
        <w:jc w:val="left"/>
        <w:rPr>
          <w:sz w:val="21"/>
        </w:rPr>
      </w:pPr>
    </w:p>
    <w:p w14:paraId="3C010000">
      <w:pPr>
        <w:pStyle w:val="Style_8"/>
        <w:rPr>
          <w:sz w:val="22"/>
        </w:rPr>
      </w:pPr>
      <w:r>
        <w:rPr>
          <w:sz w:val="25"/>
        </w:rPr>
        <w:t xml:space="preserve">Заявка направлена в адрес Поставщика: </w:t>
      </w:r>
      <w:r>
        <w:rPr>
          <w:sz w:val="22"/>
        </w:rPr>
        <w:t>E-</w:t>
      </w:r>
      <w:r>
        <w:rPr>
          <w:sz w:val="22"/>
        </w:rPr>
        <w:t>mail</w:t>
      </w:r>
      <w:r>
        <w:rPr>
          <w:sz w:val="22"/>
        </w:rPr>
        <w:t xml:space="preserve">: </w:t>
      </w:r>
    </w:p>
    <w:p w14:paraId="3D010000">
      <w:pPr>
        <w:pStyle w:val="Style_10"/>
        <w:ind/>
        <w:jc w:val="left"/>
        <w:rPr>
          <w:sz w:val="24"/>
        </w:rPr>
      </w:pPr>
      <w:r>
        <w:rPr>
          <w:sz w:val="24"/>
        </w:rPr>
        <w:t>Подтверждение о получении заявки является обязательным!</w:t>
      </w:r>
    </w:p>
    <w:p w14:paraId="3E010000">
      <w:pPr>
        <w:pStyle w:val="Style_10"/>
        <w:ind/>
        <w:jc w:val="left"/>
      </w:pPr>
      <w:r>
        <w:rPr>
          <w:sz w:val="24"/>
        </w:rPr>
        <w:t xml:space="preserve">Срок поставки исчисляется с даты направления заявки. </w:t>
      </w:r>
    </w:p>
    <w:p w14:paraId="3F010000">
      <w:pPr>
        <w:tabs>
          <w:tab w:leader="none" w:pos="6804" w:val="left"/>
        </w:tabs>
        <w:spacing w:before="360"/>
        <w:ind/>
      </w:pPr>
    </w:p>
    <w:p w14:paraId="40010000">
      <w:pPr>
        <w:tabs>
          <w:tab w:leader="none" w:pos="6804" w:val="left"/>
        </w:tabs>
        <w:spacing w:after="0"/>
        <w:ind/>
        <w:rPr>
          <w:rStyle w:val="Style_11_ch"/>
          <w:sz w:val="24"/>
        </w:rPr>
      </w:pPr>
    </w:p>
    <w:p w14:paraId="41010000">
      <w:pPr>
        <w:tabs>
          <w:tab w:leader="none" w:pos="6804" w:val="left"/>
        </w:tabs>
        <w:spacing w:after="0"/>
        <w:ind/>
        <w:rPr>
          <w:rStyle w:val="Style_11_ch"/>
          <w:sz w:val="24"/>
        </w:rPr>
      </w:pPr>
    </w:p>
    <w:p w14:paraId="42010000">
      <w:pPr>
        <w:spacing w:after="0"/>
        <w:ind/>
        <w:rPr>
          <w:sz w:val="25"/>
        </w:rPr>
      </w:pPr>
    </w:p>
    <w:sectPr>
      <w:footerReference r:id="rId2" w:type="default"/>
      <w:footerReference r:id="rId1" w:type="even"/>
      <w:pgSz w:h="16838" w:orient="portrait" w:w="11906"/>
      <w:pgMar w:bottom="0" w:footer="709" w:gutter="0" w:header="709" w:left="1134" w:right="851"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30"/>
      <w:lvlText w:val="%1."/>
      <w:lvlJc w:val="left"/>
      <w:pPr>
        <w:tabs>
          <w:tab w:leader="none" w:pos="432" w:val="left"/>
        </w:tabs>
        <w:ind w:hanging="432" w:left="432"/>
      </w:pPr>
      <w:rPr>
        <w:rFonts w:ascii="Times New Roman" w:hAnsi="Times New Roman"/>
        <w:b w:val="0"/>
        <w:sz w:val="22"/>
      </w:rPr>
    </w:lvl>
    <w:lvl w:ilvl="1">
      <w:start w:val="1"/>
      <w:numFmt w:val="decimal"/>
      <w:pStyle w:val="Style_46"/>
      <w:lvlText w:val="%1.%2."/>
      <w:lvlJc w:val="left"/>
      <w:pPr>
        <w:tabs>
          <w:tab w:leader="none" w:pos="576" w:val="left"/>
        </w:tabs>
        <w:ind w:hanging="576" w:left="576"/>
      </w:pPr>
    </w:lvl>
    <w:lvl w:ilvl="2">
      <w:start w:val="1"/>
      <w:numFmt w:val="decimal"/>
      <w:pStyle w:val="Style_20"/>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39"/>
      <w:lvlText w:val="%1."/>
      <w:lvlJc w:val="left"/>
      <w:pPr>
        <w:tabs>
          <w:tab w:leader="none" w:pos="432" w:val="left"/>
        </w:tabs>
        <w:ind w:hanging="432" w:left="432"/>
      </w:pPr>
      <w:rPr>
        <w:rFonts w:ascii="Times New Roman" w:hAnsi="Times New Roman"/>
        <w:b w:val="0"/>
        <w:sz w:val="28"/>
      </w:rPr>
    </w:lvl>
    <w:lvl w:ilvl="1">
      <w:start w:val="1"/>
      <w:numFmt w:val="decimal"/>
      <w:pStyle w:val="Style_21"/>
      <w:lvlText w:val="%1.%2."/>
      <w:lvlJc w:val="left"/>
      <w:pPr>
        <w:tabs>
          <w:tab w:leader="none" w:pos="1476" w:val="left"/>
        </w:tabs>
        <w:ind w:hanging="576" w:left="1476"/>
      </w:pPr>
      <w:rPr>
        <w:b w:val="0"/>
      </w:rPr>
    </w:lvl>
    <w:lvl w:ilvl="2">
      <w:start w:val="1"/>
      <w:numFmt w:val="decimal"/>
      <w:pStyle w:val="Style_28"/>
      <w:lvlText w:val="%1.%2.%3."/>
      <w:lvlJc w:val="left"/>
      <w:pPr>
        <w:tabs>
          <w:tab w:leader="none" w:pos="170" w:val="left"/>
        </w:tabs>
        <w:ind w:hanging="720" w:left="720"/>
      </w:pPr>
      <w:rPr>
        <w:rFonts w:ascii="Times New Roman" w:hAnsi="Times New Roman"/>
        <w:b w:val="0"/>
        <w:i w:val="0"/>
        <w:sz w:val="26"/>
      </w:rPr>
    </w:lvl>
    <w:lvl w:ilvl="3">
      <w:start w:val="1"/>
      <w:numFmt w:val="decimal"/>
      <w:pStyle w:val="Style_41"/>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60" w:line="240" w:lineRule="auto"/>
      <w:ind/>
      <w:jc w:val="both"/>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toc 2"/>
    <w:next w:val="Style_12"/>
    <w:link w:val="Style_13_ch"/>
    <w:uiPriority w:val="39"/>
    <w:pPr>
      <w:ind w:firstLine="0" w:left="200"/>
    </w:pPr>
    <w:rPr>
      <w:rFonts w:ascii="XO Thames" w:hAnsi="XO Thames"/>
      <w:sz w:val="28"/>
    </w:rPr>
  </w:style>
  <w:style w:styleId="Style_13_ch" w:type="character">
    <w:name w:val="toc 2"/>
    <w:link w:val="Style_13"/>
    <w:rPr>
      <w:rFonts w:ascii="XO Thames" w:hAnsi="XO Thames"/>
      <w:sz w:val="28"/>
    </w:rPr>
  </w:style>
  <w:style w:styleId="Style_14" w:type="paragraph">
    <w:name w:val="toc 4"/>
    <w:next w:val="Style_12"/>
    <w:link w:val="Style_14_ch"/>
    <w:uiPriority w:val="39"/>
    <w:pPr>
      <w:ind w:firstLine="0" w:left="600"/>
    </w:pPr>
    <w:rPr>
      <w:rFonts w:ascii="XO Thames" w:hAnsi="XO Thames"/>
      <w:sz w:val="28"/>
    </w:rPr>
  </w:style>
  <w:style w:styleId="Style_14_ch" w:type="character">
    <w:name w:val="toc 4"/>
    <w:link w:val="Style_14"/>
    <w:rPr>
      <w:rFonts w:ascii="XO Thames" w:hAnsi="XO Thames"/>
      <w:sz w:val="28"/>
    </w:rPr>
  </w:style>
  <w:style w:styleId="Style_15" w:type="paragraph">
    <w:name w:val="toc 6"/>
    <w:next w:val="Style_12"/>
    <w:link w:val="Style_15_ch"/>
    <w:uiPriority w:val="39"/>
    <w:pPr>
      <w:ind w:firstLine="0" w:left="1000"/>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12"/>
    <w:link w:val="Style_16_ch"/>
    <w:uiPriority w:val="39"/>
    <w:pPr>
      <w:ind w:firstLine="0" w:left="1200"/>
    </w:pPr>
    <w:rPr>
      <w:rFonts w:ascii="XO Thames" w:hAnsi="XO Thames"/>
      <w:sz w:val="28"/>
    </w:rPr>
  </w:style>
  <w:style w:styleId="Style_16_ch" w:type="character">
    <w:name w:val="toc 7"/>
    <w:link w:val="Style_16"/>
    <w:rPr>
      <w:rFonts w:ascii="XO Thames" w:hAnsi="XO Thames"/>
      <w:sz w:val="28"/>
    </w:rPr>
  </w:style>
  <w:style w:styleId="Style_17" w:type="paragraph">
    <w:name w:val="Нормальный (таблица)"/>
    <w:basedOn w:val="Style_12"/>
    <w:next w:val="Style_12"/>
    <w:link w:val="Style_17_ch"/>
    <w:pPr>
      <w:widowControl w:val="0"/>
      <w:spacing w:after="0"/>
      <w:ind/>
    </w:pPr>
    <w:rPr>
      <w:rFonts w:ascii="Arial" w:hAnsi="Arial"/>
    </w:rPr>
  </w:style>
  <w:style w:styleId="Style_17_ch" w:type="character">
    <w:name w:val="Нормальный (таблица)"/>
    <w:basedOn w:val="Style_12_ch"/>
    <w:link w:val="Style_17"/>
    <w:rPr>
      <w:rFonts w:ascii="Arial" w:hAnsi="Arial"/>
    </w:rPr>
  </w:style>
  <w:style w:styleId="Style_9" w:type="paragraph">
    <w:name w:val="Цветовое выделение"/>
    <w:link w:val="Style_9_ch"/>
    <w:rPr>
      <w:b w:val="1"/>
      <w:color w:val="26282F"/>
    </w:rPr>
  </w:style>
  <w:style w:styleId="Style_9_ch" w:type="character">
    <w:name w:val="Цветовое выделение"/>
    <w:link w:val="Style_9"/>
    <w:rPr>
      <w:b w:val="1"/>
      <w:color w:val="26282F"/>
    </w:rPr>
  </w:style>
  <w:style w:styleId="Style_18" w:type="paragraph">
    <w:name w:val="Основной шрифт абзаца1"/>
    <w:link w:val="Style_18_ch"/>
  </w:style>
  <w:style w:styleId="Style_18_ch" w:type="character">
    <w:name w:val="Основной шрифт абзаца1"/>
    <w:link w:val="Style_18"/>
  </w:style>
  <w:style w:styleId="Style_19" w:type="paragraph">
    <w:name w:val="Endnote"/>
    <w:link w:val="Style_19_ch"/>
    <w:pPr>
      <w:ind w:firstLine="851" w:left="0"/>
      <w:jc w:val="both"/>
    </w:pPr>
    <w:rPr>
      <w:rFonts w:ascii="XO Thames" w:hAnsi="XO Thames"/>
    </w:rPr>
  </w:style>
  <w:style w:styleId="Style_19_ch" w:type="character">
    <w:name w:val="Endnote"/>
    <w:link w:val="Style_19"/>
    <w:rPr>
      <w:rFonts w:ascii="XO Thames" w:hAnsi="XO Thames"/>
    </w:rPr>
  </w:style>
  <w:style w:styleId="Style_20" w:type="paragraph">
    <w:name w:val="heading 3"/>
    <w:basedOn w:val="Style_12"/>
    <w:next w:val="Style_12"/>
    <w:link w:val="Style_20_ch"/>
    <w:uiPriority w:val="9"/>
    <w:qFormat/>
    <w:pPr>
      <w:keepNext w:val="1"/>
      <w:numPr>
        <w:ilvl w:val="2"/>
        <w:numId w:val="2"/>
      </w:numPr>
      <w:spacing w:before="240"/>
      <w:ind/>
      <w:outlineLvl w:val="2"/>
    </w:pPr>
    <w:rPr>
      <w:rFonts w:ascii="Arial" w:hAnsi="Arial"/>
      <w:b w:val="1"/>
    </w:rPr>
  </w:style>
  <w:style w:styleId="Style_20_ch" w:type="character">
    <w:name w:val="heading 3"/>
    <w:basedOn w:val="Style_12_ch"/>
    <w:link w:val="Style_20"/>
    <w:rPr>
      <w:rFonts w:ascii="Arial" w:hAnsi="Arial"/>
      <w:b w:val="1"/>
    </w:rPr>
  </w:style>
  <w:style w:styleId="Style_21" w:type="paragraph">
    <w:name w:val="Контракт-пункт"/>
    <w:basedOn w:val="Style_12"/>
    <w:link w:val="Style_21_ch"/>
    <w:pPr>
      <w:numPr>
        <w:ilvl w:val="1"/>
        <w:numId w:val="3"/>
      </w:numPr>
      <w:tabs>
        <w:tab w:leader="none" w:pos="851" w:val="left"/>
        <w:tab w:leader="none" w:pos="1476" w:val="clear"/>
      </w:tabs>
      <w:spacing w:after="0"/>
      <w:ind w:hanging="851" w:left="851"/>
    </w:pPr>
  </w:style>
  <w:style w:styleId="Style_21_ch" w:type="character">
    <w:name w:val="Контракт-пункт"/>
    <w:basedOn w:val="Style_12_ch"/>
    <w:link w:val="Style_21"/>
  </w:style>
  <w:style w:styleId="Style_22" w:type="paragraph">
    <w:name w:val="Default"/>
    <w:link w:val="Style_22_ch"/>
    <w:pPr>
      <w:spacing w:after="0" w:line="240" w:lineRule="auto"/>
      <w:ind/>
    </w:pPr>
    <w:rPr>
      <w:rFonts w:ascii="Times New Roman" w:hAnsi="Times New Roman"/>
      <w:sz w:val="24"/>
    </w:rPr>
  </w:style>
  <w:style w:styleId="Style_22_ch" w:type="character">
    <w:name w:val="Default"/>
    <w:link w:val="Style_22"/>
    <w:rPr>
      <w:rFonts w:ascii="Times New Roman" w:hAnsi="Times New Roman"/>
      <w:sz w:val="24"/>
    </w:rPr>
  </w:style>
  <w:style w:styleId="Style_3" w:type="paragraph">
    <w:name w:val="Body Text Indent"/>
    <w:basedOn w:val="Style_12"/>
    <w:link w:val="Style_3_ch"/>
    <w:pPr>
      <w:spacing w:after="120"/>
      <w:ind w:firstLine="0" w:left="283"/>
      <w:jc w:val="left"/>
    </w:pPr>
  </w:style>
  <w:style w:styleId="Style_3_ch" w:type="character">
    <w:name w:val="Body Text Indent"/>
    <w:basedOn w:val="Style_12_ch"/>
    <w:link w:val="Style_3"/>
  </w:style>
  <w:style w:styleId="Style_11" w:type="paragraph">
    <w:name w:val="Font Style27"/>
    <w:link w:val="Style_11_ch"/>
    <w:rPr>
      <w:rFonts w:ascii="Times New Roman" w:hAnsi="Times New Roman"/>
      <w:b w:val="1"/>
    </w:rPr>
  </w:style>
  <w:style w:styleId="Style_11_ch" w:type="character">
    <w:name w:val="Font Style27"/>
    <w:link w:val="Style_11"/>
    <w:rPr>
      <w:rFonts w:ascii="Times New Roman" w:hAnsi="Times New Roman"/>
      <w:b w:val="1"/>
    </w:rPr>
  </w:style>
  <w:style w:styleId="Style_23" w:type="paragraph">
    <w:name w:val="Default Paragraph Font"/>
    <w:link w:val="Style_23_ch"/>
  </w:style>
  <w:style w:styleId="Style_23_ch" w:type="character">
    <w:name w:val="Default Paragraph Font"/>
    <w:link w:val="Style_23"/>
  </w:style>
  <w:style w:styleId="Style_6" w:type="paragraph">
    <w:name w:val="No Spacing"/>
    <w:link w:val="Style_6_ch"/>
    <w:pPr>
      <w:spacing w:after="0" w:line="240" w:lineRule="auto"/>
      <w:ind/>
      <w:jc w:val="both"/>
    </w:pPr>
    <w:rPr>
      <w:rFonts w:ascii="Times New Roman" w:hAnsi="Times New Roman"/>
      <w:sz w:val="24"/>
    </w:rPr>
  </w:style>
  <w:style w:styleId="Style_6_ch" w:type="character">
    <w:name w:val="No Spacing"/>
    <w:link w:val="Style_6"/>
    <w:rPr>
      <w:rFonts w:ascii="Times New Roman" w:hAnsi="Times New Roman"/>
      <w:sz w:val="24"/>
    </w:rPr>
  </w:style>
  <w:style w:styleId="Style_24" w:type="paragraph">
    <w:name w:val="Заголовок 1 Знак"/>
    <w:basedOn w:val="Style_18"/>
    <w:link w:val="Style_24_ch"/>
    <w:rPr>
      <w:rFonts w:asciiTheme="majorAscii" w:hAnsiTheme="majorHAnsi"/>
      <w:b w:val="1"/>
      <w:color w:themeColor="accent1" w:themeShade="BF" w:val="376092"/>
      <w:sz w:val="28"/>
    </w:rPr>
  </w:style>
  <w:style w:styleId="Style_24_ch" w:type="character">
    <w:name w:val="Заголовок 1 Знак"/>
    <w:basedOn w:val="Style_18_ch"/>
    <w:link w:val="Style_24"/>
    <w:rPr>
      <w:rFonts w:asciiTheme="majorAscii" w:hAnsiTheme="majorHAnsi"/>
      <w:b w:val="1"/>
      <w:color w:themeColor="accent1" w:themeShade="BF" w:val="376092"/>
      <w:sz w:val="28"/>
    </w:rPr>
  </w:style>
  <w:style w:styleId="Style_25" w:type="paragraph">
    <w:name w:val="toc 3"/>
    <w:next w:val="Style_12"/>
    <w:link w:val="Style_25_ch"/>
    <w:uiPriority w:val="39"/>
    <w:pPr>
      <w:ind w:firstLine="0" w:left="400"/>
    </w:pPr>
    <w:rPr>
      <w:rFonts w:ascii="XO Thames" w:hAnsi="XO Thames"/>
      <w:sz w:val="28"/>
    </w:rPr>
  </w:style>
  <w:style w:styleId="Style_25_ch" w:type="character">
    <w:name w:val="toc 3"/>
    <w:link w:val="Style_25"/>
    <w:rPr>
      <w:rFonts w:ascii="XO Thames" w:hAnsi="XO Thames"/>
      <w:sz w:val="28"/>
    </w:rPr>
  </w:style>
  <w:style w:styleId="Style_26" w:type="paragraph">
    <w:name w:val="Без интервала1"/>
    <w:link w:val="Style_26_ch"/>
    <w:pPr>
      <w:spacing w:after="0" w:line="100" w:lineRule="atLeast"/>
      <w:ind/>
      <w:jc w:val="both"/>
    </w:pPr>
    <w:rPr>
      <w:rFonts w:ascii="Times New Roman" w:hAnsi="Times New Roman"/>
      <w:sz w:val="20"/>
    </w:rPr>
  </w:style>
  <w:style w:styleId="Style_26_ch" w:type="character">
    <w:name w:val="Без интервала1"/>
    <w:link w:val="Style_26"/>
    <w:rPr>
      <w:rFonts w:ascii="Times New Roman" w:hAnsi="Times New Roman"/>
      <w:sz w:val="20"/>
    </w:rPr>
  </w:style>
  <w:style w:styleId="Style_27" w:type="paragraph">
    <w:name w:val="ConsPlusNormal"/>
    <w:link w:val="Style_27_ch"/>
    <w:pPr>
      <w:widowControl w:val="0"/>
      <w:spacing w:after="0" w:line="240" w:lineRule="auto"/>
      <w:ind w:firstLine="720" w:left="0"/>
    </w:pPr>
    <w:rPr>
      <w:rFonts w:ascii="Arial" w:hAnsi="Arial"/>
      <w:sz w:val="20"/>
    </w:rPr>
  </w:style>
  <w:style w:styleId="Style_27_ch" w:type="character">
    <w:name w:val="ConsPlusNormal"/>
    <w:link w:val="Style_27"/>
    <w:rPr>
      <w:rFonts w:ascii="Arial" w:hAnsi="Arial"/>
      <w:sz w:val="20"/>
    </w:rPr>
  </w:style>
  <w:style w:styleId="Style_28" w:type="paragraph">
    <w:name w:val="Контракт-подпункт"/>
    <w:basedOn w:val="Style_12"/>
    <w:link w:val="Style_28_ch"/>
    <w:pPr>
      <w:numPr>
        <w:ilvl w:val="2"/>
        <w:numId w:val="3"/>
      </w:numPr>
      <w:tabs>
        <w:tab w:leader="none" w:pos="170" w:val="clear"/>
        <w:tab w:leader="none" w:pos="851" w:val="left"/>
      </w:tabs>
      <w:spacing w:after="0"/>
      <w:ind w:hanging="851" w:left="851"/>
    </w:pPr>
  </w:style>
  <w:style w:styleId="Style_28_ch" w:type="character">
    <w:name w:val="Контракт-подпункт"/>
    <w:basedOn w:val="Style_12_ch"/>
    <w:link w:val="Style_28"/>
  </w:style>
  <w:style w:styleId="Style_29" w:type="paragraph">
    <w:name w:val="heading 5"/>
    <w:next w:val="Style_12"/>
    <w:link w:val="Style_29_ch"/>
    <w:uiPriority w:val="9"/>
    <w:qFormat/>
    <w:pPr>
      <w:spacing w:after="120" w:before="120"/>
      <w:ind/>
      <w:jc w:val="both"/>
      <w:outlineLvl w:val="4"/>
    </w:pPr>
    <w:rPr>
      <w:rFonts w:ascii="XO Thames" w:hAnsi="XO Thames"/>
      <w:b w:val="1"/>
    </w:rPr>
  </w:style>
  <w:style w:styleId="Style_29_ch" w:type="character">
    <w:name w:val="heading 5"/>
    <w:link w:val="Style_29"/>
    <w:rPr>
      <w:rFonts w:ascii="XO Thames" w:hAnsi="XO Thames"/>
      <w:b w:val="1"/>
    </w:rPr>
  </w:style>
  <w:style w:styleId="Style_30" w:type="paragraph">
    <w:name w:val="heading 1"/>
    <w:basedOn w:val="Style_12"/>
    <w:next w:val="Style_12"/>
    <w:link w:val="Style_30_ch"/>
    <w:uiPriority w:val="9"/>
    <w:qFormat/>
    <w:pPr>
      <w:keepNext w:val="1"/>
      <w:numPr>
        <w:numId w:val="2"/>
      </w:numPr>
      <w:spacing w:before="240"/>
      <w:ind/>
      <w:jc w:val="center"/>
      <w:outlineLvl w:val="0"/>
    </w:pPr>
    <w:rPr>
      <w:b w:val="1"/>
      <w:sz w:val="36"/>
    </w:rPr>
  </w:style>
  <w:style w:styleId="Style_30_ch" w:type="character">
    <w:name w:val="heading 1"/>
    <w:basedOn w:val="Style_12_ch"/>
    <w:link w:val="Style_30"/>
    <w:rPr>
      <w:b w:val="1"/>
      <w:sz w:val="36"/>
    </w:rPr>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styleId="Style_31" w:type="paragraph">
    <w:name w:val="List 2"/>
    <w:basedOn w:val="Style_12"/>
    <w:link w:val="Style_31_ch"/>
    <w:pPr>
      <w:spacing w:after="0"/>
      <w:ind w:hanging="283" w:left="566"/>
      <w:jc w:val="left"/>
    </w:pPr>
  </w:style>
  <w:style w:styleId="Style_31_ch" w:type="character">
    <w:name w:val="List 2"/>
    <w:basedOn w:val="Style_12_ch"/>
    <w:link w:val="Style_31"/>
  </w:style>
  <w:style w:styleId="Style_2" w:type="paragraph">
    <w:name w:val="Номер страницы1"/>
    <w:link w:val="Style_2_ch"/>
  </w:style>
  <w:style w:styleId="Style_2_ch" w:type="character">
    <w:name w:val="Номер страницы1"/>
    <w:link w:val="Style_2"/>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link w:val="Style_33_ch"/>
    <w:pPr>
      <w:ind w:firstLine="851" w:left="0"/>
      <w:jc w:val="both"/>
    </w:pPr>
    <w:rPr>
      <w:rFonts w:ascii="XO Thames" w:hAnsi="XO Thames"/>
    </w:rPr>
  </w:style>
  <w:style w:styleId="Style_33_ch" w:type="character">
    <w:name w:val="Footnote"/>
    <w:link w:val="Style_33"/>
    <w:rPr>
      <w:rFonts w:ascii="XO Thames" w:hAnsi="XO Thames"/>
    </w:rPr>
  </w:style>
  <w:style w:styleId="Style_34" w:type="paragraph">
    <w:name w:val="toc 1"/>
    <w:next w:val="Style_12"/>
    <w:link w:val="Style_34_ch"/>
    <w:uiPriority w:val="39"/>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Font Style45"/>
    <w:link w:val="Style_36_ch"/>
    <w:rPr>
      <w:rFonts w:ascii="Times New Roman" w:hAnsi="Times New Roman"/>
    </w:rPr>
  </w:style>
  <w:style w:styleId="Style_36_ch" w:type="character">
    <w:name w:val="Font Style45"/>
    <w:link w:val="Style_36"/>
    <w:rPr>
      <w:rFonts w:ascii="Times New Roman" w:hAnsi="Times New Roman"/>
    </w:rPr>
  </w:style>
  <w:style w:styleId="Style_37" w:type="paragraph">
    <w:name w:val="toc 9"/>
    <w:next w:val="Style_12"/>
    <w:link w:val="Style_37_ch"/>
    <w:uiPriority w:val="39"/>
    <w:pPr>
      <w:ind w:firstLine="0" w:left="1600"/>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12"/>
    <w:link w:val="Style_38_ch"/>
    <w:uiPriority w:val="39"/>
    <w:pPr>
      <w:ind w:firstLine="0" w:left="1400"/>
    </w:pPr>
    <w:rPr>
      <w:rFonts w:ascii="XO Thames" w:hAnsi="XO Thames"/>
      <w:sz w:val="28"/>
    </w:rPr>
  </w:style>
  <w:style w:styleId="Style_38_ch" w:type="character">
    <w:name w:val="toc 8"/>
    <w:link w:val="Style_38"/>
    <w:rPr>
      <w:rFonts w:ascii="XO Thames" w:hAnsi="XO Thames"/>
      <w:sz w:val="28"/>
    </w:rPr>
  </w:style>
  <w:style w:styleId="Style_4" w:type="paragraph">
    <w:name w:val="Гипертекстовая ссылка"/>
    <w:basedOn w:val="Style_18"/>
    <w:link w:val="Style_4_ch"/>
    <w:rPr>
      <w:color w:val="106BBE"/>
    </w:rPr>
  </w:style>
  <w:style w:styleId="Style_4_ch" w:type="character">
    <w:name w:val="Гипертекстовая ссылка"/>
    <w:basedOn w:val="Style_18_ch"/>
    <w:link w:val="Style_4"/>
    <w:rPr>
      <w:color w:val="106BBE"/>
    </w:rPr>
  </w:style>
  <w:style w:styleId="Style_10" w:type="paragraph">
    <w:name w:val="Без интервала1"/>
    <w:link w:val="Style_10_ch"/>
    <w:pPr>
      <w:spacing w:after="0" w:line="100" w:lineRule="atLeast"/>
      <w:ind/>
      <w:jc w:val="both"/>
    </w:pPr>
    <w:rPr>
      <w:rFonts w:ascii="Times New Roman" w:hAnsi="Times New Roman"/>
      <w:sz w:val="20"/>
    </w:rPr>
  </w:style>
  <w:style w:styleId="Style_10_ch" w:type="character">
    <w:name w:val="Без интервала1"/>
    <w:link w:val="Style_10"/>
    <w:rPr>
      <w:rFonts w:ascii="Times New Roman" w:hAnsi="Times New Roman"/>
      <w:sz w:val="20"/>
    </w:rPr>
  </w:style>
  <w:style w:styleId="Style_39" w:type="paragraph">
    <w:name w:val="Контракт-раздел"/>
    <w:basedOn w:val="Style_12"/>
    <w:next w:val="Style_21"/>
    <w:link w:val="Style_39_ch"/>
    <w:pPr>
      <w:keepNext w:val="1"/>
      <w:numPr>
        <w:numId w:val="3"/>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39_ch" w:type="character">
    <w:name w:val="Контракт-раздел"/>
    <w:basedOn w:val="Style_12_ch"/>
    <w:link w:val="Style_39"/>
    <w:rPr>
      <w:b w:val="1"/>
      <w:caps w:val="1"/>
      <w:smallCaps w:val="1"/>
    </w:rPr>
  </w:style>
  <w:style w:styleId="Style_40" w:type="paragraph">
    <w:name w:val="toc 5"/>
    <w:next w:val="Style_12"/>
    <w:link w:val="Style_40_ch"/>
    <w:uiPriority w:val="39"/>
    <w:pPr>
      <w:ind w:firstLine="0" w:left="800"/>
    </w:pPr>
    <w:rPr>
      <w:rFonts w:ascii="XO Thames" w:hAnsi="XO Thames"/>
      <w:sz w:val="28"/>
    </w:rPr>
  </w:style>
  <w:style w:styleId="Style_40_ch" w:type="character">
    <w:name w:val="toc 5"/>
    <w:link w:val="Style_40"/>
    <w:rPr>
      <w:rFonts w:ascii="XO Thames" w:hAnsi="XO Thames"/>
      <w:sz w:val="28"/>
    </w:rPr>
  </w:style>
  <w:style w:styleId="Style_41" w:type="paragraph">
    <w:name w:val="Контракт-подподпункт"/>
    <w:basedOn w:val="Style_12"/>
    <w:link w:val="Style_41_ch"/>
    <w:pPr>
      <w:numPr>
        <w:ilvl w:val="3"/>
        <w:numId w:val="3"/>
      </w:numPr>
      <w:tabs>
        <w:tab w:leader="none" w:pos="864" w:val="clear"/>
        <w:tab w:leader="none" w:pos="1418" w:val="left"/>
      </w:tabs>
      <w:spacing w:after="0"/>
      <w:ind w:hanging="567" w:left="1418"/>
    </w:pPr>
  </w:style>
  <w:style w:styleId="Style_41_ch" w:type="character">
    <w:name w:val="Контракт-подподпункт"/>
    <w:basedOn w:val="Style_12_ch"/>
    <w:link w:val="Style_41"/>
  </w:style>
  <w:style w:styleId="Style_5" w:type="paragraph">
    <w:name w:val="Гиперссылка1"/>
    <w:basedOn w:val="Style_18"/>
    <w:link w:val="Style_5_ch"/>
    <w:rPr>
      <w:color w:val="0000FF"/>
      <w:u w:val="single"/>
    </w:rPr>
  </w:style>
  <w:style w:styleId="Style_5_ch" w:type="character">
    <w:name w:val="Гиперссылка1"/>
    <w:basedOn w:val="Style_18_ch"/>
    <w:link w:val="Style_5"/>
    <w:rPr>
      <w:color w:val="0000FF"/>
      <w:u w:val="single"/>
    </w:rPr>
  </w:style>
  <w:style w:styleId="Style_8" w:type="paragraph">
    <w:name w:val="Standard"/>
    <w:link w:val="Style_8_ch"/>
    <w:pPr>
      <w:spacing w:after="60" w:line="240" w:lineRule="auto"/>
      <w:ind/>
      <w:jc w:val="both"/>
    </w:pPr>
    <w:rPr>
      <w:rFonts w:ascii="Times New Roman" w:hAnsi="Times New Roman"/>
      <w:sz w:val="24"/>
    </w:rPr>
  </w:style>
  <w:style w:styleId="Style_8_ch" w:type="character">
    <w:name w:val="Standard"/>
    <w:link w:val="Style_8"/>
    <w:rPr>
      <w:rFonts w:ascii="Times New Roman" w:hAnsi="Times New Roman"/>
      <w:sz w:val="24"/>
    </w:rPr>
  </w:style>
  <w:style w:styleId="Style_42" w:type="paragraph">
    <w:name w:val="Обычный1"/>
    <w:link w:val="Style_42_ch"/>
    <w:rPr>
      <w:rFonts w:ascii="Times New Roman" w:hAnsi="Times New Roman"/>
      <w:sz w:val="24"/>
    </w:rPr>
  </w:style>
  <w:style w:styleId="Style_42_ch" w:type="character">
    <w:name w:val="Обычный1"/>
    <w:link w:val="Style_42"/>
    <w:rPr>
      <w:rFonts w:ascii="Times New Roman" w:hAnsi="Times New Roman"/>
      <w:sz w:val="24"/>
    </w:rPr>
  </w:style>
  <w:style w:styleId="Style_43" w:type="paragraph">
    <w:name w:val="Subtitle"/>
    <w:next w:val="Style_12"/>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44" w:type="paragraph">
    <w:name w:val="Title"/>
    <w:next w:val="Style_12"/>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12"/>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6" w:type="paragraph">
    <w:name w:val="heading 2"/>
    <w:basedOn w:val="Style_12"/>
    <w:next w:val="Style_12"/>
    <w:link w:val="Style_46_ch"/>
    <w:uiPriority w:val="9"/>
    <w:qFormat/>
    <w:pPr>
      <w:keepNext w:val="1"/>
      <w:numPr>
        <w:ilvl w:val="1"/>
        <w:numId w:val="2"/>
      </w:numPr>
      <w:ind/>
      <w:jc w:val="center"/>
      <w:outlineLvl w:val="1"/>
    </w:pPr>
    <w:rPr>
      <w:b w:val="1"/>
      <w:sz w:val="30"/>
    </w:rPr>
  </w:style>
  <w:style w:styleId="Style_46_ch" w:type="character">
    <w:name w:val="heading 2"/>
    <w:basedOn w:val="Style_12_ch"/>
    <w:link w:val="Style_46"/>
    <w:rPr>
      <w:b w:val="1"/>
      <w:sz w:val="30"/>
    </w:rPr>
  </w:style>
  <w:style w:styleId="Style_47" w:type="paragraph">
    <w:name w:val="Дата1"/>
    <w:basedOn w:val="Style_12"/>
    <w:next w:val="Style_12"/>
    <w:link w:val="Style_47_ch"/>
  </w:style>
  <w:style w:styleId="Style_47_ch" w:type="character">
    <w:name w:val="Дата1"/>
    <w:basedOn w:val="Style_12_ch"/>
    <w:link w:val="Style_47"/>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2026-05-18T13:16:35Z</dcterms:modified>
</cp:coreProperties>
</file>