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ind w:firstLine="0"/>
        <w:jc w:val="center"/>
        <w:spacing w:line="240" w:lineRule="auto"/>
        <w:rPr>
          <w:rFonts w:eastAsia="Times New Roman"/>
          <w:b/>
          <w:color w:val="0d0d0d"/>
          <w:spacing w:val="0"/>
          <w:szCs w:val="24"/>
          <w:lang w:eastAsia="ru-RU"/>
        </w:rPr>
      </w:pPr>
      <w:r/>
      <w:bookmarkStart w:id="0" w:name="_Toc448149724"/>
      <w:r/>
      <w:bookmarkStart w:id="1" w:name="_Toc426640475"/>
      <w:r/>
      <w:bookmarkStart w:id="2" w:name="_Toc401332659"/>
      <w:r>
        <w:rPr>
          <w:rFonts w:eastAsia="Times New Roman"/>
          <w:b/>
          <w:color w:val="0d0d0d"/>
          <w:spacing w:val="0"/>
          <w:szCs w:val="24"/>
          <w:lang w:eastAsia="ru-RU"/>
        </w:rPr>
        <w:t xml:space="preserve">ТЕХНИЧЕСКОЕ ЗАДАНИЕ</w:t>
      </w:r>
      <w:r>
        <w:rPr>
          <w:rFonts w:eastAsia="Times New Roman"/>
          <w:b/>
          <w:color w:val="0d0d0d"/>
          <w:spacing w:val="0"/>
          <w:szCs w:val="24"/>
          <w:lang w:eastAsia="ru-RU"/>
        </w:rPr>
      </w:r>
    </w:p>
    <w:p>
      <w:pPr>
        <w:contextualSpacing w:val="0"/>
        <w:ind w:firstLine="0"/>
        <w:jc w:val="center"/>
        <w:spacing w:line="240" w:lineRule="auto"/>
        <w:rPr>
          <w:b/>
          <w:bCs/>
          <w:szCs w:val="24"/>
        </w:rPr>
        <w:suppressLineNumbers/>
      </w:pPr>
      <w:r>
        <w:rPr>
          <w:b/>
          <w:bCs/>
          <w:szCs w:val="24"/>
        </w:rPr>
        <w:t xml:space="preserve">на поставку многофункционального устройства (МФУ), принтеров и картриджей</w:t>
      </w:r>
      <w:r>
        <w:rPr>
          <w:b/>
          <w:bCs/>
          <w:szCs w:val="24"/>
        </w:rPr>
      </w:r>
    </w:p>
    <w:p>
      <w:pPr>
        <w:contextualSpacing w:val="0"/>
        <w:ind w:firstLine="0"/>
        <w:jc w:val="right"/>
        <w:spacing w:line="240" w:lineRule="auto"/>
        <w:rPr>
          <w:spacing w:val="0"/>
          <w:sz w:val="12"/>
          <w:szCs w:val="12"/>
        </w:rPr>
        <w:suppressLineNumbers/>
      </w:pPr>
      <w:r>
        <w:rPr>
          <w:spacing w:val="0"/>
          <w:sz w:val="12"/>
          <w:szCs w:val="12"/>
        </w:rPr>
      </w:r>
      <w:r>
        <w:rPr>
          <w:spacing w:val="0"/>
          <w:sz w:val="12"/>
          <w:szCs w:val="12"/>
        </w:rPr>
      </w:r>
    </w:p>
    <w:p>
      <w:pPr>
        <w:numPr>
          <w:ilvl w:val="0"/>
          <w:numId w:val="2"/>
        </w:numPr>
        <w:contextualSpacing w:val="0"/>
        <w:ind w:left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0"/>
      </w:pPr>
      <w:r>
        <w:rPr>
          <w:rFonts w:eastAsia="Times New Roman"/>
          <w:b/>
          <w:spacing w:val="0"/>
          <w:szCs w:val="24"/>
          <w:lang w:eastAsia="ru-RU"/>
        </w:rPr>
        <w:t xml:space="preserve">Общие положения</w:t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numPr>
          <w:ilvl w:val="1"/>
          <w:numId w:val="2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eastAsia="Times New Roman"/>
          <w:b/>
          <w:spacing w:val="0"/>
          <w:szCs w:val="24"/>
          <w:lang w:eastAsia="ru-RU"/>
        </w:rPr>
        <w:t xml:space="preserve">Наименование объекта закупки</w:t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pStyle w:val="855"/>
        <w:numPr>
          <w:ilvl w:val="0"/>
          <w:numId w:val="0"/>
        </w:numPr>
        <w:ind w:right="-6"/>
        <w:jc w:val="left"/>
        <w:spacing w:line="240" w:lineRule="auto"/>
        <w:widowControl w:val="off"/>
        <w:rPr>
          <w:color w:val="000000"/>
          <w:spacing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pacing w:val="0"/>
          <w:szCs w:val="24"/>
        </w:rPr>
        <w:t xml:space="preserve">Поставка </w:t>
      </w:r>
      <w:r>
        <w:rPr>
          <w:color w:val="000000"/>
          <w:spacing w:val="0"/>
          <w:szCs w:val="24"/>
        </w:rPr>
        <w:t xml:space="preserve">многофункционального устройства (МФУ), принтеров и картриджей</w:t>
      </w:r>
      <w:r>
        <w:rPr>
          <w:color w:val="000000"/>
          <w:spacing w:val="0"/>
          <w:szCs w:val="24"/>
        </w:rPr>
      </w:r>
    </w:p>
    <w:p>
      <w:pPr>
        <w:pStyle w:val="855"/>
        <w:numPr>
          <w:ilvl w:val="0"/>
          <w:numId w:val="0"/>
        </w:numPr>
        <w:ind w:right="-6"/>
        <w:jc w:val="left"/>
        <w:spacing w:line="240" w:lineRule="auto"/>
        <w:widowControl w:val="off"/>
        <w:rPr>
          <w:color w:val="000000"/>
          <w:spacing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pacing w:val="0"/>
          <w:szCs w:val="24"/>
        </w:rPr>
        <w:t xml:space="preserve">КТРУ: 26.20.18.000-00000068 - Многофункциональное устройство (МФУ)</w:t>
      </w:r>
      <w:r>
        <w:rPr>
          <w:color w:val="000000"/>
          <w:spacing w:val="0"/>
        </w:rPr>
      </w:r>
    </w:p>
    <w:p>
      <w:pPr>
        <w:pStyle w:val="855"/>
        <w:numPr>
          <w:ilvl w:val="0"/>
          <w:numId w:val="0"/>
        </w:numPr>
        <w:ind w:right="-6"/>
        <w:jc w:val="left"/>
        <w:spacing w:line="240" w:lineRule="auto"/>
        <w:widowControl w:val="off"/>
        <w:rPr>
          <w:color w:val="000000"/>
          <w:spacing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pacing w:val="0"/>
        </w:rPr>
        <w:t xml:space="preserve">ОКПД2: 28.99.40.110 – Комплектующие (запасные части) печатного оборудования, не имеющие самостоятельных группировок </w:t>
      </w:r>
      <w:r>
        <w:rPr>
          <w:color w:val="000000"/>
          <w:spacing w:val="0"/>
        </w:rPr>
      </w:r>
    </w:p>
    <w:p>
      <w:pPr>
        <w:numPr>
          <w:ilvl w:val="1"/>
          <w:numId w:val="2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eastAsia="Times New Roman"/>
          <w:b/>
          <w:spacing w:val="0"/>
          <w:szCs w:val="24"/>
          <w:lang w:eastAsia="ru-RU"/>
        </w:rPr>
        <w:t xml:space="preserve">Источник финансирования</w:t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ind w:firstLine="0"/>
        <w:spacing w:line="240" w:lineRule="auto"/>
        <w:rPr>
          <w:color w:val="000000"/>
          <w:spacing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pacing w:val="0"/>
          <w:szCs w:val="24"/>
        </w:rPr>
        <w:t xml:space="preserve">Источником финансирования являются средства субсидии федерального бюджета Российской Федерации, предоставленной в соответствии с абзацем вторым пункта 1 статьи 78.1 Бюджетного кодекса Российской Федерации (</w:t>
      </w:r>
      <w:r>
        <w:rPr>
          <w:color w:val="000000" w:themeColor="text1"/>
          <w:highlight w:val="white"/>
        </w:rPr>
        <w:t xml:space="preserve">КВР – 244, код цели </w:t>
      </w:r>
      <w:r>
        <w:rPr>
          <w:color w:val="000000" w:themeColor="text1"/>
        </w:rPr>
      </w:r>
      <w:r>
        <w:rPr>
          <w:color w:val="000000" w:themeColor="text1"/>
        </w:rPr>
        <w:t xml:space="preserve">08-18-Т8 73520</w:t>
      </w:r>
      <w:r/>
      <w:r>
        <w:rPr>
          <w:color w:val="000000" w:themeColor="text1"/>
        </w:rPr>
      </w:r>
      <w:r>
        <w:rPr>
          <w:color w:val="000000"/>
          <w:spacing w:val="0"/>
          <w:szCs w:val="24"/>
        </w:rPr>
        <w:t xml:space="preserve">).</w:t>
      </w:r>
      <w:r>
        <w:rPr>
          <w:color w:val="000000"/>
          <w:spacing w:val="0"/>
          <w:szCs w:val="24"/>
        </w:rPr>
      </w:r>
    </w:p>
    <w:p>
      <w:pPr>
        <w:numPr>
          <w:ilvl w:val="1"/>
          <w:numId w:val="2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/>
      <w:bookmarkStart w:id="3" w:name="_30j0zll"/>
      <w:r/>
      <w:bookmarkStart w:id="4" w:name="_1fob9te"/>
      <w:r/>
      <w:bookmarkStart w:id="5" w:name="_3znysh7"/>
      <w:r/>
      <w:bookmarkEnd w:id="3"/>
      <w:r/>
      <w:bookmarkEnd w:id="4"/>
      <w:r/>
      <w:bookmarkEnd w:id="5"/>
      <w:r>
        <w:rPr>
          <w:rFonts w:eastAsia="Times New Roman"/>
          <w:b/>
          <w:spacing w:val="0"/>
          <w:szCs w:val="24"/>
          <w:lang w:eastAsia="ru-RU"/>
        </w:rPr>
        <w:t xml:space="preserve">Срок поставки Товара</w:t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contextualSpacing w:val="0"/>
        <w:ind w:firstLine="0"/>
        <w:jc w:val="left"/>
        <w:spacing w:line="240" w:lineRule="auto"/>
        <w:rPr>
          <w:rFonts w:eastAsia="Times New Roman"/>
          <w:color w:val="000000"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Поставка в течение 20 (двадцати) рабочих дней с даты заключения Контракта.</w:t>
      </w:r>
      <w:r>
        <w:rPr>
          <w:rFonts w:eastAsia="Times New Roman"/>
          <w:color w:val="000000"/>
          <w:spacing w:val="0"/>
          <w:szCs w:val="24"/>
          <w:lang w:eastAsia="ru-RU"/>
        </w:rPr>
      </w:r>
    </w:p>
    <w:p>
      <w:pPr>
        <w:numPr>
          <w:ilvl w:val="1"/>
          <w:numId w:val="2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/>
      <w:bookmarkStart w:id="6" w:name="_2et92p0"/>
      <w:r/>
      <w:bookmarkEnd w:id="6"/>
      <w:r>
        <w:rPr>
          <w:rFonts w:eastAsia="Times New Roman"/>
          <w:b/>
          <w:spacing w:val="0"/>
          <w:szCs w:val="24"/>
          <w:lang w:eastAsia="ru-RU"/>
        </w:rPr>
        <w:t xml:space="preserve">Место поставки Товара</w:t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ind w:firstLine="0"/>
        <w:jc w:val="left"/>
        <w:rPr>
          <w:color w:val="000000" w:themeColor="text1"/>
        </w:rPr>
      </w:pPr>
      <w:r>
        <w:rPr>
          <w:color w:val="000000" w:themeColor="text1"/>
          <w:highlight w:val="white"/>
        </w:rPr>
        <w:t xml:space="preserve">105082, г. Москва, ул. Большая Почтовая, д. 26</w:t>
      </w:r>
      <w:r>
        <w:rPr>
          <w:color w:val="000000" w:themeColor="text1"/>
        </w:rPr>
        <w:t xml:space="preserve">, стр. 1.</w:t>
      </w:r>
      <w:r>
        <w:rPr>
          <w:color w:val="000000" w:themeColor="text1"/>
        </w:rPr>
      </w:r>
    </w:p>
    <w:p>
      <w:pPr>
        <w:numPr>
          <w:ilvl w:val="0"/>
          <w:numId w:val="2"/>
        </w:numPr>
        <w:contextualSpacing w:val="0"/>
        <w:ind w:left="0" w:right="-6"/>
        <w:jc w:val="left"/>
        <w:spacing w:line="240" w:lineRule="auto"/>
        <w:widowControl w:val="off"/>
        <w:rPr>
          <w:rFonts w:eastAsia="Times New Roman"/>
          <w:b/>
          <w:bCs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b/>
          <w:bCs/>
          <w:color w:val="000000"/>
          <w:spacing w:val="0"/>
          <w:szCs w:val="24"/>
          <w:lang w:eastAsia="ru-RU"/>
        </w:rPr>
        <w:t xml:space="preserve">Порядок поставки Товара</w:t>
      </w:r>
      <w:r>
        <w:rPr>
          <w:rFonts w:eastAsia="Times New Roman"/>
          <w:b/>
          <w:bCs/>
          <w:spacing w:val="0"/>
          <w:szCs w:val="24"/>
          <w:lang w:eastAsia="ru-RU"/>
        </w:rPr>
      </w:r>
    </w:p>
    <w:p>
      <w:pPr>
        <w:numPr>
          <w:ilvl w:val="1"/>
          <w:numId w:val="2"/>
        </w:numPr>
        <w:contextualSpacing w:val="0"/>
        <w:spacing w:line="240" w:lineRule="auto"/>
        <w:rPr>
          <w:rFonts w:eastAsia="Times New Roman"/>
          <w:color w:val="040404"/>
          <w:spacing w:val="0"/>
          <w:szCs w:val="24"/>
        </w:rPr>
      </w:pPr>
      <w:r>
        <w:rPr>
          <w:rFonts w:eastAsia="Times New Roman"/>
          <w:color w:val="040404"/>
          <w:spacing w:val="0"/>
          <w:szCs w:val="24"/>
          <w:lang w:eastAsia="ru-RU"/>
        </w:rPr>
        <w:t xml:space="preserve">Товар должен быть поставлен и разгружен в период исполн</w:t>
      </w:r>
      <w:r>
        <w:rPr>
          <w:rFonts w:eastAsia="Times New Roman"/>
          <w:color w:val="040404"/>
          <w:spacing w:val="0"/>
          <w:szCs w:val="24"/>
          <w:lang w:eastAsia="ru-RU"/>
        </w:rPr>
        <w:t xml:space="preserve">ения Контракта в рабочие часы Заказчика с понедельника по четверг с 09.00 до 18.00 часов, в пятницу с 09.00 до 16.45 часов (за исключением выходных дней и дней общегосударственных праздников), в соответствии с требованиями Таблицы № 1 настоящего документа.</w:t>
      </w:r>
      <w:r>
        <w:rPr>
          <w:rFonts w:eastAsia="Times New Roman"/>
          <w:color w:val="040404"/>
          <w:spacing w:val="0"/>
          <w:szCs w:val="24"/>
        </w:rPr>
      </w:r>
    </w:p>
    <w:p>
      <w:pPr>
        <w:numPr>
          <w:ilvl w:val="1"/>
          <w:numId w:val="2"/>
        </w:numPr>
        <w:contextualSpacing w:val="0"/>
        <w:spacing w:line="240" w:lineRule="auto"/>
        <w:rPr>
          <w:rFonts w:eastAsia="Times New Roman"/>
          <w:color w:val="040404"/>
          <w:spacing w:val="0"/>
          <w:szCs w:val="24"/>
          <w:lang w:eastAsia="ru-RU"/>
        </w:rP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Весь Товар должен быть поставлен Заказчику единовременно в срок, указанный                                        в   п. 1.3. Технического задания, в соответствии с наименованием, количеством и характеристиками Товара.</w:t>
      </w:r>
      <w:r>
        <w:rPr>
          <w:rFonts w:eastAsia="Times New Roman"/>
          <w:color w:val="040404"/>
          <w:spacing w:val="0"/>
          <w:szCs w:val="24"/>
          <w:lang w:eastAsia="ru-RU"/>
        </w:rPr>
        <w:t xml:space="preserve"> </w:t>
      </w:r>
      <w:r>
        <w:rPr>
          <w:rFonts w:eastAsia="Times New Roman"/>
          <w:color w:val="040404"/>
          <w:spacing w:val="0"/>
          <w:szCs w:val="24"/>
          <w:lang w:eastAsia="ru-RU"/>
        </w:rPr>
      </w:r>
    </w:p>
    <w:p>
      <w:pPr>
        <w:numPr>
          <w:ilvl w:val="0"/>
          <w:numId w:val="2"/>
        </w:numPr>
        <w:contextualSpacing w:val="0"/>
        <w:ind w:left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</w:pPr>
      <w:r>
        <w:rPr>
          <w:rFonts w:eastAsia="Times New Roman"/>
          <w:b/>
          <w:spacing w:val="0"/>
          <w:szCs w:val="24"/>
          <w:lang w:eastAsia="ru-RU"/>
        </w:rPr>
        <w:t xml:space="preserve">Требования к поставляемому Товару</w:t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contextualSpacing w:val="0"/>
        <w:ind w:firstLine="0"/>
        <w:spacing w:line="240" w:lineRule="auto"/>
        <w:rPr>
          <w:rFonts w:eastAsia="Times New Roman"/>
          <w:spacing w:val="0"/>
          <w:szCs w:val="24"/>
          <w:lang w:eastAsia="ru-RU"/>
        </w:rPr>
      </w:pPr>
      <w:r>
        <w:rPr>
          <w:rFonts w:eastAsia="Times New Roman"/>
          <w:spacing w:val="0"/>
          <w:szCs w:val="24"/>
          <w:lang w:eastAsia="ru-RU"/>
        </w:rPr>
        <w:tab/>
        <w:t xml:space="preserve">Товар должен быть новым (Товаром, который не был в употреблении, в ремонте, в том числе котор</w:t>
      </w:r>
      <w:r>
        <w:rPr>
          <w:rFonts w:eastAsia="Times New Roman"/>
          <w:spacing w:val="0"/>
          <w:szCs w:val="24"/>
          <w:lang w:eastAsia="ru-RU"/>
        </w:rPr>
        <w:t xml:space="preserve">ый не был восстановлен, у которого не была осуществлена замена составных частей, не были восстановлены потребительские свойства), серийно выпускаемым, не имеющим дефектов, связанных с конструкцией, материалами или функционированием в процессе эксплуатации.</w:t>
      </w:r>
      <w:r>
        <w:rPr>
          <w:rFonts w:eastAsia="Times New Roman"/>
          <w:spacing w:val="0"/>
          <w:szCs w:val="24"/>
          <w:lang w:eastAsia="ru-RU"/>
        </w:rPr>
      </w:r>
    </w:p>
    <w:p>
      <w:pPr>
        <w:pStyle w:val="855"/>
        <w:numPr>
          <w:ilvl w:val="0"/>
          <w:numId w:val="0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suppressLineNumbers/>
      </w:pPr>
      <w:r>
        <w:rPr>
          <w:rFonts w:eastAsia="Times New Roman"/>
          <w:b/>
          <w:spacing w:val="0"/>
          <w:szCs w:val="24"/>
          <w:lang w:eastAsia="ru-RU"/>
        </w:rPr>
        <w:t xml:space="preserve">4. Гарантийные обязательства</w:t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ind w:right="-6" w:firstLine="0"/>
        <w:spacing w:line="240" w:lineRule="auto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4.1. </w:t>
      </w:r>
      <w:r>
        <w:rPr>
          <w:color w:val="000000"/>
        </w:rPr>
        <w:t xml:space="preserve">Гарантийный срок на поставляемый Товар устанавливается заводом-изготовителем, составляет не менее 12 (двенадцати) месяцев и исчисляется со дня подписания Заказчиком документа о приемке в соответствии с Контрактом.</w:t>
      </w:r>
      <w:r>
        <w:rPr>
          <w:color w:val="000000"/>
        </w:rPr>
      </w:r>
    </w:p>
    <w:p>
      <w:pPr>
        <w:ind w:right="-6" w:firstLine="0"/>
        <w:spacing w:line="240" w:lineRule="auto"/>
        <w:rPr>
          <w:color w:val="000000"/>
          <w:lang w:bidi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</w:rPr>
        <w:t xml:space="preserve">4.2. Гарантийное обслуживание осуществляется путем ремонта или замены поставленного Товара (при отсутствии механических повреждений и соблюдения Заказчиком требований инструкций по эксплуатации).</w:t>
      </w:r>
      <w:r>
        <w:rPr>
          <w:color w:val="000000"/>
          <w:spacing w:val="0"/>
          <w:szCs w:val="24"/>
          <w:lang w:eastAsia="ru-RU" w:bidi="ru-RU"/>
        </w:rPr>
        <w:t xml:space="preserve"> </w:t>
      </w:r>
      <w:r>
        <w:rPr>
          <w:color w:val="000000"/>
          <w:lang w:bidi="ru-RU"/>
        </w:rPr>
      </w:r>
    </w:p>
    <w:p>
      <w:pPr>
        <w:contextualSpacing w:val="0"/>
        <w:ind w:firstLine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0"/>
      </w:pPr>
      <w:r>
        <w:rPr>
          <w:rFonts w:eastAsia="Times New Roman"/>
          <w:b/>
          <w:spacing w:val="0"/>
          <w:szCs w:val="24"/>
          <w:lang w:eastAsia="ru-RU"/>
        </w:rPr>
        <w:t xml:space="preserve">5. Требования к упаковке Товара</w:t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contextualSpacing w:val="0"/>
        <w:ind w:firstLine="0"/>
        <w:spacing w:line="240" w:lineRule="auto"/>
        <w:rPr>
          <w:rFonts w:eastAsia="Times New Roman"/>
          <w:color w:val="000000"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5.1. Товар должен поставляться в оригинальной заводской упаковке, соответствующей характеру поставляе</w:t>
      </w:r>
      <w:r>
        <w:rPr>
          <w:rFonts w:eastAsia="Times New Roman"/>
          <w:color w:val="000000"/>
          <w:spacing w:val="0"/>
          <w:szCs w:val="24"/>
          <w:lang w:eastAsia="ru-RU"/>
        </w:rPr>
        <w:t xml:space="preserve">мого Товара и способу транспортировки, обеспечивающей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работах. Упаковка товара возврату Поставщику не подлежит.</w:t>
      </w:r>
      <w:bookmarkEnd w:id="0"/>
      <w:r/>
      <w:bookmarkEnd w:id="1"/>
      <w:r/>
      <w:bookmarkEnd w:id="2"/>
      <w:r/>
      <w:r>
        <w:rPr>
          <w:rFonts w:eastAsia="Times New Roman"/>
          <w:color w:val="000000"/>
          <w:spacing w:val="0"/>
          <w:szCs w:val="24"/>
          <w:lang w:eastAsia="ru-RU"/>
        </w:rPr>
      </w:r>
    </w:p>
    <w:p>
      <w:pPr>
        <w:contextualSpacing w:val="0"/>
        <w:ind w:firstLine="0"/>
        <w:jc w:val="right"/>
        <w:spacing w:line="240" w:lineRule="auto"/>
        <w:rPr>
          <w:rFonts w:eastAsia="Times New Roman"/>
          <w:spacing w:val="0"/>
          <w:szCs w:val="24"/>
          <w:lang w:eastAsia="ru-RU"/>
        </w:rPr>
      </w:pPr>
      <w:r>
        <w:rPr>
          <w:rFonts w:eastAsia="Times New Roman"/>
          <w:spacing w:val="0"/>
          <w:szCs w:val="24"/>
          <w:lang w:eastAsia="ru-RU"/>
        </w:rPr>
        <w:t xml:space="preserve">Таблица № 1</w:t>
      </w:r>
      <w:r>
        <w:rPr>
          <w:rFonts w:eastAsia="Times New Roman"/>
          <w:spacing w:val="0"/>
          <w:szCs w:val="24"/>
          <w:lang w:eastAsia="ru-RU"/>
        </w:rPr>
      </w:r>
    </w:p>
    <w:tbl>
      <w:tblPr>
        <w:tblW w:w="103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2272"/>
        <w:gridCol w:w="3685"/>
        <w:gridCol w:w="1276"/>
        <w:gridCol w:w="1843"/>
        <w:gridCol w:w="850"/>
      </w:tblGrid>
      <w:tr>
        <w:tblPrEx/>
        <w:trPr>
          <w:trHeight w:val="20"/>
        </w:trPr>
        <w:tc>
          <w:tcPr>
            <w:shd w:val="clear" w:color="auto" w:fill="auto"/>
            <w:tcW w:w="417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2272" w:type="dxa"/>
            <w:textDirection w:val="lrTb"/>
            <w:noWrap w:val="false"/>
          </w:tcPr>
          <w:p>
            <w:pPr>
              <w:ind w:left="18" w:firstLine="0"/>
              <w:jc w:val="center"/>
              <w:spacing w:line="240" w:lineRule="auto"/>
              <w:rPr>
                <w:rFonts w:eastAsia="Times New Roman"/>
                <w:b/>
                <w:bCs/>
                <w:spacing w:val="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pacing w:val="0"/>
                <w:sz w:val="20"/>
                <w:szCs w:val="20"/>
              </w:rPr>
              <w:t xml:space="preserve">Наименование Товара</w:t>
            </w:r>
            <w:r>
              <w:rPr>
                <w:rFonts w:eastAsia="Times New Roman"/>
                <w:b/>
                <w:bCs/>
                <w:spacing w:val="0"/>
                <w:sz w:val="20"/>
                <w:szCs w:val="20"/>
              </w:rPr>
            </w:r>
          </w:p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i/>
                <w:spacing w:val="0"/>
                <w:sz w:val="20"/>
                <w:szCs w:val="20"/>
                <w:highlight w:val="lightGray"/>
              </w:rPr>
              <w:t xml:space="preserve">Участник закупки дополнительно указывает в заявке: марку, модель, страну происхождения товара</w:t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Наименование характеристики</w:t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Единица измерения характеристики</w:t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ind w:left="18" w:firstLine="0"/>
              <w:jc w:val="center"/>
              <w:spacing w:line="240" w:lineRule="auto"/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  <w:t xml:space="preserve">Значение характеристики </w:t>
            </w:r>
            <w:r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</w:r>
          </w:p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i/>
                <w:spacing w:val="0"/>
                <w:sz w:val="20"/>
                <w:szCs w:val="20"/>
                <w:highlight w:val="lightGray"/>
              </w:rPr>
              <w:t xml:space="preserve">Участник закупки указывает в заявке конкретные характеристики предлагаемого к поставке Товара</w:t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left="18" w:firstLine="0"/>
              <w:jc w:val="center"/>
              <w:spacing w:line="240" w:lineRule="auto"/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  <w:t xml:space="preserve">Кол-во, ед. изм.</w:t>
            </w:r>
            <w:r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417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2272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Многофункциональное устройство (МФУ)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Товарный знак (марка, модель): 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val="en-US" w:eastAsia="ru-RU"/>
              </w:rPr>
              <w:t xml:space="preserve">Kyocera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.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Страна происхождения товара: 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Вьетнам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.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КТРУ: 26.20.18.000-00000068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Цветность печати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Цветная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Возможность автоматической двухсторонней печати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Да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Возможность двухстороннего сканирования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Да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Возможность сканирования в форматах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A4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Время выхода из спящего режима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Секунда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6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Время выхода первого цветного отпечатка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Секунда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5,7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Время выхода первого черно-белого отпечатка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Секунда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5,7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Время выхода первой копии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Секунда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6,1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Класс энергетической эффективности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A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Количество печати страниц в месяц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Штука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100000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Количество ядер процессора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Штука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2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Максимальное разрешение сканирования по вертикали, dpi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600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Максимальное разрешение сканирования по горизонтали, dpi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600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Максимальное разрешение цветной печати по вертикали, dpi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1200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Максимальное разрешение цветной печати по горизонтали, dpi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1200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Максимальное разрешение черно-белой печати по вертикали, dpi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1200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Максимальное разрешение черно-белой печати по горизонтали, dpi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1200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Максимальный формат печати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А4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Наличие ЖК-дисплея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Да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Наличие в комплекте поставки оригинального стартового фотобарабана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Да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Наличие в комплекте поставки оригинального стартового черно-белого картриджа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Да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Наличие в комплекте поставки оригинальных стартовых цветных картриджей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Да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Наличие интерфейсного кабеля для подключения к компьютеру в комплекте поставки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Да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Наличие кабеля электропитания для подключения к сети 220В в комплекте поставки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Да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Наличие обходного лотка подачи бумаги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Да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Наличие разъема USB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Да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Наличие устройства автоподачи сканера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Да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Объем установленной оперативной памяти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Мегабайт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500</w:t>
            </w:r>
            <w:r>
              <w:rPr>
                <w:sz w:val="20"/>
                <w:szCs w:val="20"/>
              </w:rPr>
            </w:r>
          </w:p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</w:rPr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Поддерживаемая предельная плотность бумаги, г/м2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2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2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0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Режим сканирования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В сетевую папку, На электронную почту, На USB-накопитель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Скорость цветного копирования в формате А4, стр/мин</w:t>
            </w:r>
            <w:r>
              <w:rPr>
                <w:rFonts w:eastAsia="Times New Roman"/>
                <w:spacing w:val="0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highlight w:val="yellow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35</w:t>
            </w:r>
            <w:r>
              <w:rPr>
                <w:rFonts w:eastAsia="Times New Roman"/>
                <w:spacing w:val="0"/>
                <w:sz w:val="20"/>
                <w:szCs w:val="20"/>
                <w:highlight w:val="yellow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Скорость копирования в формате А4, стр/мин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35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Совместимость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Windows, MacOS, Linux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Способ подключения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 w:eastAsia="ru-RU"/>
              </w:rPr>
              <w:t xml:space="preserve">Ethernet (RJ-45), LAN,  USB </w:t>
            </w:r>
            <w:r>
              <w:rPr>
                <w:rFonts w:eastAsia="Times New Roman"/>
                <w:spacing w:val="0"/>
                <w:sz w:val="20"/>
                <w:szCs w:val="20"/>
                <w:lang w:val="en-US"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val="en-US"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val="en-US"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val="en-US"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val="en-US"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val="en-US"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val="en-US"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Суммарная емкость выходных лотков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Лист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250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Суммарная емкость устройства автоподачи сканера оригиналов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Лист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100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Технология печати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Электрографическая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Тип системы печати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Двухкомпонентная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Тип сканирования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Планшетный, Протяжный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Частота процессора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Мегагерц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1200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417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2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Картридж цветной совместимый с МФУ, указанным в п.1, черный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Товарный знак (марка, модель): </w:t>
            </w:r>
            <w:r>
              <w:rPr>
                <w:sz w:val="20"/>
                <w:szCs w:val="20"/>
              </w:rPr>
              <w:t xml:space="preserve">Cactus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 товара: </w:t>
            </w:r>
            <w:r>
              <w:rPr>
                <w:sz w:val="20"/>
                <w:szCs w:val="20"/>
              </w:rPr>
              <w:t xml:space="preserve">Китай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ОКПД2: 28.99.40.110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Совместимые модели печатающих устройств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 МФУ, указанным в п.1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Цвет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черный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Тип расходного материала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картридж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Ресурс картриджа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18 500</w:t>
            </w:r>
            <w:r>
              <w:rPr>
                <w:sz w:val="20"/>
                <w:szCs w:val="20"/>
              </w:rPr>
              <w:t xml:space="preserve"> при 5% заполнении листа А4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Картридж цветной совместимый с МФУ, указанным в п.1, желтый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Товарный знак (марка, модель): </w:t>
            </w:r>
            <w:r>
              <w:rPr>
                <w:sz w:val="20"/>
                <w:szCs w:val="20"/>
              </w:rPr>
              <w:t xml:space="preserve">COPYRITE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 товара: </w:t>
            </w:r>
            <w:r>
              <w:rPr>
                <w:sz w:val="20"/>
                <w:szCs w:val="20"/>
              </w:rPr>
              <w:t xml:space="preserve">Российская Федерация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ОКПД2: 28.99.40.110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Совместимые модели печатающих устройств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 МФУ, указанным в п.1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Цвет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желтый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Тип расходного материала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картридж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Ресурс картриджа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10000 при 5% заполнении листа А4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4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Картридж цветной совместимый с МФУ, указанным в п.1, голубой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Товарный знак (марка, модель): </w:t>
            </w:r>
            <w:r>
              <w:rPr>
                <w:sz w:val="20"/>
                <w:szCs w:val="20"/>
              </w:rPr>
              <w:t xml:space="preserve">COPYRITE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 товара: </w:t>
            </w:r>
            <w:r>
              <w:rPr>
                <w:sz w:val="20"/>
                <w:szCs w:val="20"/>
              </w:rPr>
              <w:t xml:space="preserve">Российская Федерация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ОКПД2: 28.99.40.110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Совместимые модели печатающих устройств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 МФУ, указанным в п.1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Цвет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голубой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Тип расходного материала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картридж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Ресурс картриджа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10000 при 5% заполнении листа А4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5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Картридж цветной совместимый с МФУ, указанным в п.1, пурпурный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Товарный знак (марка, модель): </w:t>
            </w:r>
            <w:r>
              <w:rPr>
                <w:sz w:val="20"/>
                <w:szCs w:val="20"/>
              </w:rPr>
              <w:t xml:space="preserve">COPYRITE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 товара: </w:t>
            </w:r>
            <w:r>
              <w:rPr>
                <w:sz w:val="20"/>
                <w:szCs w:val="20"/>
              </w:rPr>
              <w:t xml:space="preserve">Российская Федерация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ОКПД2: 28.99.40.110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Совместимые модели печатающих устройств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 МФУ, указанным в п.1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Цвет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пурпурный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Тип расходного материала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картридж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Ресурс картриджа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10000 при 5% заполнении листа А4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Принтер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Товарный знак (марка, модель): 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Катюша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.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Страна происхождения товара: </w:t>
            </w:r>
            <w:r>
              <w:rPr>
                <w:sz w:val="20"/>
                <w:szCs w:val="20"/>
              </w:rPr>
              <w:t xml:space="preserve">Российская Федерация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.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КТРУ: </w:t>
            </w:r>
            <w:hyperlink r:id="rId9" w:tooltip="https://zakupki.gov.ru/epz/ktru/ktruCard/ktru-description.html?itemId=26.20.16.120-00000101&amp;backUrl=" w:history="1">
              <w:r>
                <w:rPr>
                  <w:rFonts w:eastAsia="Times New Roman"/>
                  <w:color w:val="000000"/>
                  <w:spacing w:val="0"/>
                  <w:sz w:val="20"/>
                  <w:szCs w:val="20"/>
                  <w:lang w:eastAsia="ru-RU"/>
                </w:rPr>
                <w:t xml:space="preserve">26.20.16.120-00000101</w:t>
              </w:r>
            </w:hyperlink>
            <w:r/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Максимальный формат печати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А4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Способ подключения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Ethernet (RJ-45)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USB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Технология печати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Электрографическая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Цветность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Черно-Белая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Максимальное разрешение черно-белой печати по вертикали, dpi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1200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Максимальное разрешение черно-белой печати по горизонтали, dpi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1200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Наличие автоматической двусторонней печати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Да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Наличие в комплекте поставки кабеля питания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Да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Объем установленной оперативной памяти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Мегабайт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256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Картридж совместимый с принтером, указанным в п.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, черный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Товарный знак (марка, модель): </w:t>
            </w:r>
            <w:r>
              <w:rPr>
                <w:sz w:val="20"/>
                <w:szCs w:val="20"/>
              </w:rPr>
              <w:t xml:space="preserve">NV Print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 товара: </w:t>
            </w:r>
            <w:r>
              <w:rPr>
                <w:sz w:val="20"/>
                <w:szCs w:val="20"/>
              </w:rPr>
              <w:t xml:space="preserve">Китай</w:t>
            </w:r>
            <w:bookmarkStart w:id="7" w:name="_GoBack"/>
            <w:r/>
            <w:bookmarkEnd w:id="7"/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ОКПД2: 28.99.40.110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расходного материала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Тонер-картридж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Цвет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черный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страниц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3000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567" w:right="56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russianLower"/>
      <w:pStyle w:val="855"/>
      <w:isLgl w:val="false"/>
      <w:suff w:val="tab"/>
      <w:lvlText w:val="%1)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778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"/>
      <w:lvlJc w:val="left"/>
      <w:pPr>
        <w:ind w:left="2487" w:hanging="360"/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350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2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4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6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8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04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370" w:firstLine="0"/>
      </w:pPr>
      <w:rPr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0"/>
      </w:pPr>
      <w:rPr>
        <w:b w:val="0"/>
        <w:i w:val="0"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915" w:hanging="504"/>
      </w:pPr>
      <w:rPr>
        <w:rFonts w:hint="default" w:ascii="Times New Roman" w:hAnsi="Times New Roman" w:cs="Times New Roman"/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76" w:hanging="647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380" w:hanging="792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4" w:hanging="935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388" w:hanging="1080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892" w:hanging="1224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68" w:hanging="144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7">
    <w:name w:val="Caption Char"/>
    <w:basedOn w:val="667"/>
    <w:link w:val="709"/>
    <w:uiPriority w:val="35"/>
    <w:rPr>
      <w:b/>
      <w:bCs/>
      <w:color w:val="4f81bd" w:themeColor="accent1"/>
      <w:sz w:val="18"/>
      <w:szCs w:val="18"/>
    </w:rPr>
  </w:style>
  <w:style w:type="paragraph" w:styleId="657" w:default="1">
    <w:name w:val="Normal"/>
    <w:qFormat/>
    <w:pPr>
      <w:contextualSpacing/>
      <w:ind w:firstLine="709"/>
      <w:jc w:val="both"/>
      <w:spacing w:after="0" w:line="360" w:lineRule="exact"/>
    </w:pPr>
    <w:rPr>
      <w:rFonts w:ascii="Times New Roman" w:hAnsi="Times New Roman" w:eastAsia="Calibri" w:cs="Times New Roman"/>
      <w:spacing w:val="2"/>
      <w:sz w:val="24"/>
    </w:rPr>
  </w:style>
  <w:style w:type="paragraph" w:styleId="658">
    <w:name w:val="Heading 1"/>
    <w:basedOn w:val="657"/>
    <w:next w:val="657"/>
    <w:link w:val="68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9">
    <w:name w:val="Heading 2"/>
    <w:basedOn w:val="657"/>
    <w:next w:val="657"/>
    <w:link w:val="68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0">
    <w:name w:val="Heading 3"/>
    <w:basedOn w:val="657"/>
    <w:next w:val="657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1">
    <w:name w:val="Heading 4"/>
    <w:basedOn w:val="657"/>
    <w:next w:val="657"/>
    <w:link w:val="69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657"/>
    <w:next w:val="657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Cs w:val="24"/>
    </w:rPr>
  </w:style>
  <w:style w:type="paragraph" w:styleId="663">
    <w:name w:val="Heading 6"/>
    <w:basedOn w:val="657"/>
    <w:next w:val="657"/>
    <w:link w:val="69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</w:rPr>
  </w:style>
  <w:style w:type="paragraph" w:styleId="664">
    <w:name w:val="Heading 7"/>
    <w:basedOn w:val="657"/>
    <w:next w:val="657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665">
    <w:name w:val="Heading 8"/>
    <w:basedOn w:val="657"/>
    <w:next w:val="657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</w:rPr>
  </w:style>
  <w:style w:type="paragraph" w:styleId="666">
    <w:name w:val="Heading 9"/>
    <w:basedOn w:val="657"/>
    <w:next w:val="657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7" w:default="1">
    <w:name w:val="Default Paragraph Font"/>
    <w:uiPriority w:val="1"/>
    <w:semiHidden/>
    <w:unhideWhenUsed/>
  </w:style>
  <w:style w:type="table" w:styleId="6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9" w:default="1">
    <w:name w:val="No List"/>
    <w:uiPriority w:val="99"/>
    <w:semiHidden/>
    <w:unhideWhenUsed/>
  </w:style>
  <w:style w:type="character" w:styleId="670" w:customStyle="1">
    <w:name w:val="Heading 1 Char"/>
    <w:basedOn w:val="667"/>
    <w:uiPriority w:val="9"/>
    <w:rPr>
      <w:rFonts w:ascii="Arial" w:hAnsi="Arial" w:eastAsia="Arial" w:cs="Arial"/>
      <w:sz w:val="40"/>
      <w:szCs w:val="40"/>
    </w:rPr>
  </w:style>
  <w:style w:type="character" w:styleId="671" w:customStyle="1">
    <w:name w:val="Heading 2 Char"/>
    <w:basedOn w:val="667"/>
    <w:uiPriority w:val="9"/>
    <w:rPr>
      <w:rFonts w:ascii="Arial" w:hAnsi="Arial" w:eastAsia="Arial" w:cs="Arial"/>
      <w:sz w:val="34"/>
    </w:rPr>
  </w:style>
  <w:style w:type="character" w:styleId="672" w:customStyle="1">
    <w:name w:val="Heading 3 Char"/>
    <w:basedOn w:val="667"/>
    <w:uiPriority w:val="9"/>
    <w:rPr>
      <w:rFonts w:ascii="Arial" w:hAnsi="Arial" w:eastAsia="Arial" w:cs="Arial"/>
      <w:sz w:val="30"/>
      <w:szCs w:val="30"/>
    </w:rPr>
  </w:style>
  <w:style w:type="character" w:styleId="673" w:customStyle="1">
    <w:name w:val="Heading 4 Char"/>
    <w:basedOn w:val="667"/>
    <w:uiPriority w:val="9"/>
    <w:rPr>
      <w:rFonts w:ascii="Arial" w:hAnsi="Arial" w:eastAsia="Arial" w:cs="Arial"/>
      <w:b/>
      <w:bCs/>
      <w:sz w:val="26"/>
      <w:szCs w:val="26"/>
    </w:rPr>
  </w:style>
  <w:style w:type="character" w:styleId="674" w:customStyle="1">
    <w:name w:val="Heading 5 Char"/>
    <w:basedOn w:val="667"/>
    <w:uiPriority w:val="9"/>
    <w:rPr>
      <w:rFonts w:ascii="Arial" w:hAnsi="Arial" w:eastAsia="Arial" w:cs="Arial"/>
      <w:b/>
      <w:bCs/>
      <w:sz w:val="24"/>
      <w:szCs w:val="24"/>
    </w:rPr>
  </w:style>
  <w:style w:type="character" w:styleId="675" w:customStyle="1">
    <w:name w:val="Heading 6 Char"/>
    <w:basedOn w:val="667"/>
    <w:uiPriority w:val="9"/>
    <w:rPr>
      <w:rFonts w:ascii="Arial" w:hAnsi="Arial" w:eastAsia="Arial" w:cs="Arial"/>
      <w:b/>
      <w:bCs/>
      <w:sz w:val="22"/>
      <w:szCs w:val="22"/>
    </w:rPr>
  </w:style>
  <w:style w:type="character" w:styleId="676" w:customStyle="1">
    <w:name w:val="Heading 7 Char"/>
    <w:basedOn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7" w:customStyle="1">
    <w:name w:val="Heading 8 Char"/>
    <w:basedOn w:val="667"/>
    <w:uiPriority w:val="9"/>
    <w:rPr>
      <w:rFonts w:ascii="Arial" w:hAnsi="Arial" w:eastAsia="Arial" w:cs="Arial"/>
      <w:i/>
      <w:iCs/>
      <w:sz w:val="22"/>
      <w:szCs w:val="22"/>
    </w:rPr>
  </w:style>
  <w:style w:type="character" w:styleId="678" w:customStyle="1">
    <w:name w:val="Heading 9 Char"/>
    <w:basedOn w:val="667"/>
    <w:uiPriority w:val="9"/>
    <w:rPr>
      <w:rFonts w:ascii="Arial" w:hAnsi="Arial" w:eastAsia="Arial" w:cs="Arial"/>
      <w:i/>
      <w:iCs/>
      <w:sz w:val="21"/>
      <w:szCs w:val="21"/>
    </w:rPr>
  </w:style>
  <w:style w:type="character" w:styleId="679" w:customStyle="1">
    <w:name w:val="Title Char"/>
    <w:basedOn w:val="667"/>
    <w:uiPriority w:val="10"/>
    <w:rPr>
      <w:sz w:val="48"/>
      <w:szCs w:val="48"/>
    </w:rPr>
  </w:style>
  <w:style w:type="character" w:styleId="680" w:customStyle="1">
    <w:name w:val="Subtitle Char"/>
    <w:basedOn w:val="667"/>
    <w:uiPriority w:val="11"/>
    <w:rPr>
      <w:sz w:val="24"/>
      <w:szCs w:val="24"/>
    </w:rPr>
  </w:style>
  <w:style w:type="character" w:styleId="681" w:customStyle="1">
    <w:name w:val="Quote Char"/>
    <w:uiPriority w:val="29"/>
    <w:rPr>
      <w:i/>
    </w:rPr>
  </w:style>
  <w:style w:type="character" w:styleId="682" w:customStyle="1">
    <w:name w:val="Intense Quote Char"/>
    <w:uiPriority w:val="30"/>
    <w:rPr>
      <w:i/>
    </w:rPr>
  </w:style>
  <w:style w:type="character" w:styleId="683" w:customStyle="1">
    <w:name w:val="Header Char"/>
    <w:basedOn w:val="667"/>
    <w:uiPriority w:val="99"/>
  </w:style>
  <w:style w:type="character" w:styleId="684" w:customStyle="1">
    <w:name w:val="Название объекта Знак"/>
    <w:link w:val="709"/>
    <w:uiPriority w:val="99"/>
  </w:style>
  <w:style w:type="character" w:styleId="685" w:customStyle="1">
    <w:name w:val="Footnote Text Char"/>
    <w:uiPriority w:val="99"/>
    <w:rPr>
      <w:sz w:val="18"/>
    </w:rPr>
  </w:style>
  <w:style w:type="character" w:styleId="686" w:customStyle="1">
    <w:name w:val="Endnote Text Char"/>
    <w:uiPriority w:val="99"/>
    <w:rPr>
      <w:sz w:val="20"/>
    </w:rPr>
  </w:style>
  <w:style w:type="character" w:styleId="687" w:customStyle="1">
    <w:name w:val="Заголовок 1 Знак"/>
    <w:basedOn w:val="667"/>
    <w:link w:val="658"/>
    <w:uiPriority w:val="9"/>
    <w:rPr>
      <w:rFonts w:ascii="Arial" w:hAnsi="Arial" w:eastAsia="Arial" w:cs="Arial"/>
      <w:sz w:val="40"/>
      <w:szCs w:val="40"/>
    </w:rPr>
  </w:style>
  <w:style w:type="character" w:styleId="688" w:customStyle="1">
    <w:name w:val="Заголовок 2 Знак"/>
    <w:basedOn w:val="667"/>
    <w:link w:val="659"/>
    <w:uiPriority w:val="9"/>
    <w:rPr>
      <w:rFonts w:ascii="Arial" w:hAnsi="Arial" w:eastAsia="Arial" w:cs="Arial"/>
      <w:sz w:val="34"/>
    </w:rPr>
  </w:style>
  <w:style w:type="character" w:styleId="689" w:customStyle="1">
    <w:name w:val="Заголовок 3 Знак"/>
    <w:basedOn w:val="667"/>
    <w:link w:val="660"/>
    <w:uiPriority w:val="9"/>
    <w:rPr>
      <w:rFonts w:ascii="Arial" w:hAnsi="Arial" w:eastAsia="Arial" w:cs="Arial"/>
      <w:sz w:val="30"/>
      <w:szCs w:val="30"/>
    </w:rPr>
  </w:style>
  <w:style w:type="character" w:styleId="690" w:customStyle="1">
    <w:name w:val="Заголовок 4 Знак"/>
    <w:basedOn w:val="667"/>
    <w:link w:val="661"/>
    <w:uiPriority w:val="9"/>
    <w:rPr>
      <w:rFonts w:ascii="Arial" w:hAnsi="Arial" w:eastAsia="Arial" w:cs="Arial"/>
      <w:b/>
      <w:bCs/>
      <w:sz w:val="26"/>
      <w:szCs w:val="26"/>
    </w:rPr>
  </w:style>
  <w:style w:type="character" w:styleId="691" w:customStyle="1">
    <w:name w:val="Заголовок 5 Знак"/>
    <w:basedOn w:val="667"/>
    <w:link w:val="662"/>
    <w:uiPriority w:val="9"/>
    <w:rPr>
      <w:rFonts w:ascii="Arial" w:hAnsi="Arial" w:eastAsia="Arial" w:cs="Arial"/>
      <w:b/>
      <w:bCs/>
      <w:sz w:val="24"/>
      <w:szCs w:val="24"/>
    </w:rPr>
  </w:style>
  <w:style w:type="character" w:styleId="692" w:customStyle="1">
    <w:name w:val="Заголовок 6 Знак"/>
    <w:basedOn w:val="667"/>
    <w:link w:val="663"/>
    <w:uiPriority w:val="9"/>
    <w:rPr>
      <w:rFonts w:ascii="Arial" w:hAnsi="Arial" w:eastAsia="Arial" w:cs="Arial"/>
      <w:b/>
      <w:bCs/>
      <w:sz w:val="22"/>
      <w:szCs w:val="22"/>
    </w:rPr>
  </w:style>
  <w:style w:type="character" w:styleId="693" w:customStyle="1">
    <w:name w:val="Заголовок 7 Знак"/>
    <w:basedOn w:val="667"/>
    <w:link w:val="6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4" w:customStyle="1">
    <w:name w:val="Заголовок 8 Знак"/>
    <w:basedOn w:val="667"/>
    <w:link w:val="665"/>
    <w:uiPriority w:val="9"/>
    <w:rPr>
      <w:rFonts w:ascii="Arial" w:hAnsi="Arial" w:eastAsia="Arial" w:cs="Arial"/>
      <w:i/>
      <w:iCs/>
      <w:sz w:val="22"/>
      <w:szCs w:val="22"/>
    </w:rPr>
  </w:style>
  <w:style w:type="character" w:styleId="695" w:customStyle="1">
    <w:name w:val="Заголовок 9 Знак"/>
    <w:basedOn w:val="667"/>
    <w:link w:val="666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No Spacing"/>
    <w:uiPriority w:val="1"/>
    <w:qFormat/>
    <w:pPr>
      <w:spacing w:after="0" w:line="240" w:lineRule="auto"/>
    </w:pPr>
  </w:style>
  <w:style w:type="paragraph" w:styleId="697">
    <w:name w:val="Title"/>
    <w:basedOn w:val="657"/>
    <w:next w:val="657"/>
    <w:link w:val="698"/>
    <w:uiPriority w:val="10"/>
    <w:qFormat/>
    <w:pPr>
      <w:spacing w:before="300" w:after="200"/>
    </w:pPr>
    <w:rPr>
      <w:sz w:val="48"/>
      <w:szCs w:val="48"/>
    </w:rPr>
  </w:style>
  <w:style w:type="character" w:styleId="698" w:customStyle="1">
    <w:name w:val="Заголовок Знак"/>
    <w:basedOn w:val="667"/>
    <w:link w:val="697"/>
    <w:uiPriority w:val="10"/>
    <w:rPr>
      <w:sz w:val="48"/>
      <w:szCs w:val="48"/>
    </w:rPr>
  </w:style>
  <w:style w:type="paragraph" w:styleId="699">
    <w:name w:val="Subtitle"/>
    <w:basedOn w:val="657"/>
    <w:next w:val="657"/>
    <w:link w:val="700"/>
    <w:uiPriority w:val="11"/>
    <w:qFormat/>
    <w:pPr>
      <w:spacing w:before="200" w:after="200"/>
    </w:pPr>
    <w:rPr>
      <w:szCs w:val="24"/>
    </w:rPr>
  </w:style>
  <w:style w:type="character" w:styleId="700" w:customStyle="1">
    <w:name w:val="Подзаголовок Знак"/>
    <w:basedOn w:val="667"/>
    <w:link w:val="699"/>
    <w:uiPriority w:val="11"/>
    <w:rPr>
      <w:sz w:val="24"/>
      <w:szCs w:val="24"/>
    </w:rPr>
  </w:style>
  <w:style w:type="paragraph" w:styleId="701">
    <w:name w:val="Quote"/>
    <w:basedOn w:val="657"/>
    <w:next w:val="657"/>
    <w:link w:val="702"/>
    <w:uiPriority w:val="29"/>
    <w:qFormat/>
    <w:pPr>
      <w:ind w:left="720" w:right="720"/>
    </w:pPr>
    <w:rPr>
      <w:i/>
    </w:rPr>
  </w:style>
  <w:style w:type="character" w:styleId="702" w:customStyle="1">
    <w:name w:val="Цитата 2 Знак"/>
    <w:link w:val="701"/>
    <w:uiPriority w:val="29"/>
    <w:rPr>
      <w:i/>
    </w:rPr>
  </w:style>
  <w:style w:type="paragraph" w:styleId="703">
    <w:name w:val="Intense Quote"/>
    <w:basedOn w:val="657"/>
    <w:next w:val="657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 w:customStyle="1">
    <w:name w:val="Выделенная цитата Знак"/>
    <w:link w:val="703"/>
    <w:uiPriority w:val="30"/>
    <w:rPr>
      <w:i/>
    </w:rPr>
  </w:style>
  <w:style w:type="paragraph" w:styleId="705">
    <w:name w:val="Header"/>
    <w:basedOn w:val="657"/>
    <w:link w:val="706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706" w:customStyle="1">
    <w:name w:val="Верхний колонтитул Знак"/>
    <w:basedOn w:val="667"/>
    <w:link w:val="705"/>
    <w:uiPriority w:val="99"/>
  </w:style>
  <w:style w:type="paragraph" w:styleId="707">
    <w:name w:val="Footer"/>
    <w:basedOn w:val="657"/>
    <w:link w:val="710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708" w:customStyle="1">
    <w:name w:val="Footer Char"/>
    <w:basedOn w:val="667"/>
    <w:uiPriority w:val="99"/>
  </w:style>
  <w:style w:type="paragraph" w:styleId="709">
    <w:name w:val="Caption"/>
    <w:basedOn w:val="657"/>
    <w:next w:val="657"/>
    <w:link w:val="684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10" w:customStyle="1">
    <w:name w:val="Нижний колонтитул Знак"/>
    <w:link w:val="707"/>
    <w:uiPriority w:val="99"/>
  </w:style>
  <w:style w:type="table" w:styleId="711">
    <w:name w:val="Table Grid"/>
    <w:basedOn w:val="66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2" w:customStyle="1">
    <w:name w:val="Table Grid Light"/>
    <w:basedOn w:val="66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3">
    <w:name w:val="Plain Table 1"/>
    <w:basedOn w:val="66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basedOn w:val="66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 w:customStyle="1">
    <w:name w:val="Grid Table 4 - Accent 1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41" w:customStyle="1">
    <w:name w:val="Grid Table 4 - Accent 2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2" w:customStyle="1">
    <w:name w:val="Grid Table 4 - Accent 3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3" w:customStyle="1">
    <w:name w:val="Grid Table 4 - Accent 4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4" w:customStyle="1">
    <w:name w:val="Grid Table 4 - Accent 5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45" w:customStyle="1">
    <w:name w:val="Grid Table 4 - Accent 6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6">
    <w:name w:val="Grid Table 5 Dark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3">
    <w:name w:val="Grid Table 6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4" w:customStyle="1">
    <w:name w:val="Grid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55" w:customStyle="1">
    <w:name w:val="Grid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6" w:customStyle="1">
    <w:name w:val="Grid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7" w:customStyle="1">
    <w:name w:val="Grid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8" w:customStyle="1">
    <w:name w:val="Grid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59" w:customStyle="1">
    <w:name w:val="Grid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60">
    <w:name w:val="Grid Table 7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>
    <w:name w:val="List Table 1 Light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1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2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3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4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5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6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>
    <w:name w:val="List Table 6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3" w:customStyle="1">
    <w:name w:val="List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04" w:customStyle="1">
    <w:name w:val="List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5" w:customStyle="1">
    <w:name w:val="List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6" w:customStyle="1">
    <w:name w:val="List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7" w:customStyle="1">
    <w:name w:val="List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08" w:customStyle="1">
    <w:name w:val="List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9">
    <w:name w:val="List Table 7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ned - Accent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7" w:customStyle="1">
    <w:name w:val="Lined - Accent 1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18" w:customStyle="1">
    <w:name w:val="Lined - Accent 2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9" w:customStyle="1">
    <w:name w:val="Lined - Accent 3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0" w:customStyle="1">
    <w:name w:val="Lined - Accent 4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1" w:customStyle="1">
    <w:name w:val="Lined - Accent 5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2" w:customStyle="1">
    <w:name w:val="Lined - Accent 6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3" w:customStyle="1">
    <w:name w:val="Bordered &amp; Lined - Accent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4" w:customStyle="1">
    <w:name w:val="Bordered &amp; Lined - Accent 1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25" w:customStyle="1">
    <w:name w:val="Bordered &amp; Lined - Accent 2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6" w:customStyle="1">
    <w:name w:val="Bordered &amp; Lined - Accent 3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7" w:customStyle="1">
    <w:name w:val="Bordered &amp; Lined - Accent 4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8" w:customStyle="1">
    <w:name w:val="Bordered &amp; Lined - Accent 5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9" w:customStyle="1">
    <w:name w:val="Bordered &amp; Lined - Accent 6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0" w:customStyle="1">
    <w:name w:val="Bordered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1" w:customStyle="1">
    <w:name w:val="Bordered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32" w:customStyle="1">
    <w:name w:val="Bordered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3" w:customStyle="1">
    <w:name w:val="Bordered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4" w:customStyle="1">
    <w:name w:val="Bordered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5" w:customStyle="1">
    <w:name w:val="Bordered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36" w:customStyle="1">
    <w:name w:val="Bordered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563c1" w:themeColor="hyperlink"/>
      <w:u w:val="single"/>
    </w:rPr>
  </w:style>
  <w:style w:type="paragraph" w:styleId="838">
    <w:name w:val="footnote text"/>
    <w:basedOn w:val="657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 w:customStyle="1">
    <w:name w:val="Текст сноски Знак"/>
    <w:link w:val="838"/>
    <w:uiPriority w:val="99"/>
    <w:rPr>
      <w:sz w:val="18"/>
    </w:rPr>
  </w:style>
  <w:style w:type="character" w:styleId="840">
    <w:name w:val="footnote reference"/>
    <w:basedOn w:val="667"/>
    <w:uiPriority w:val="99"/>
    <w:unhideWhenUsed/>
    <w:rPr>
      <w:vertAlign w:val="superscript"/>
    </w:rPr>
  </w:style>
  <w:style w:type="paragraph" w:styleId="841">
    <w:name w:val="endnote text"/>
    <w:basedOn w:val="657"/>
    <w:link w:val="842"/>
    <w:uiPriority w:val="99"/>
    <w:semiHidden/>
    <w:unhideWhenUsed/>
    <w:pPr>
      <w:spacing w:line="240" w:lineRule="auto"/>
    </w:pPr>
    <w:rPr>
      <w:sz w:val="20"/>
    </w:rPr>
  </w:style>
  <w:style w:type="character" w:styleId="842" w:customStyle="1">
    <w:name w:val="Текст концевой сноски Знак"/>
    <w:link w:val="841"/>
    <w:uiPriority w:val="99"/>
    <w:rPr>
      <w:sz w:val="20"/>
    </w:rPr>
  </w:style>
  <w:style w:type="character" w:styleId="843">
    <w:name w:val="endnote reference"/>
    <w:basedOn w:val="667"/>
    <w:uiPriority w:val="99"/>
    <w:semiHidden/>
    <w:unhideWhenUsed/>
    <w:rPr>
      <w:vertAlign w:val="superscript"/>
    </w:rPr>
  </w:style>
  <w:style w:type="paragraph" w:styleId="844">
    <w:name w:val="toc 1"/>
    <w:basedOn w:val="657"/>
    <w:next w:val="657"/>
    <w:uiPriority w:val="39"/>
    <w:unhideWhenUsed/>
    <w:pPr>
      <w:ind w:firstLine="0"/>
      <w:spacing w:after="57"/>
    </w:pPr>
  </w:style>
  <w:style w:type="paragraph" w:styleId="845">
    <w:name w:val="toc 2"/>
    <w:basedOn w:val="657"/>
    <w:next w:val="657"/>
    <w:uiPriority w:val="39"/>
    <w:unhideWhenUsed/>
    <w:pPr>
      <w:ind w:left="283" w:firstLine="0"/>
      <w:spacing w:after="57"/>
    </w:pPr>
  </w:style>
  <w:style w:type="paragraph" w:styleId="846">
    <w:name w:val="toc 3"/>
    <w:basedOn w:val="657"/>
    <w:next w:val="657"/>
    <w:uiPriority w:val="39"/>
    <w:unhideWhenUsed/>
    <w:pPr>
      <w:ind w:left="567" w:firstLine="0"/>
      <w:spacing w:after="57"/>
    </w:pPr>
  </w:style>
  <w:style w:type="paragraph" w:styleId="847">
    <w:name w:val="toc 4"/>
    <w:basedOn w:val="657"/>
    <w:next w:val="657"/>
    <w:uiPriority w:val="39"/>
    <w:unhideWhenUsed/>
    <w:pPr>
      <w:ind w:left="850" w:firstLine="0"/>
      <w:spacing w:after="57"/>
    </w:pPr>
  </w:style>
  <w:style w:type="paragraph" w:styleId="848">
    <w:name w:val="toc 5"/>
    <w:basedOn w:val="657"/>
    <w:next w:val="657"/>
    <w:uiPriority w:val="39"/>
    <w:unhideWhenUsed/>
    <w:pPr>
      <w:ind w:left="1134" w:firstLine="0"/>
      <w:spacing w:after="57"/>
    </w:pPr>
  </w:style>
  <w:style w:type="paragraph" w:styleId="849">
    <w:name w:val="toc 6"/>
    <w:basedOn w:val="657"/>
    <w:next w:val="657"/>
    <w:uiPriority w:val="39"/>
    <w:unhideWhenUsed/>
    <w:pPr>
      <w:ind w:left="1417" w:firstLine="0"/>
      <w:spacing w:after="57"/>
    </w:pPr>
  </w:style>
  <w:style w:type="paragraph" w:styleId="850">
    <w:name w:val="toc 7"/>
    <w:basedOn w:val="657"/>
    <w:next w:val="657"/>
    <w:uiPriority w:val="39"/>
    <w:unhideWhenUsed/>
    <w:pPr>
      <w:ind w:left="1701" w:firstLine="0"/>
      <w:spacing w:after="57"/>
    </w:pPr>
  </w:style>
  <w:style w:type="paragraph" w:styleId="851">
    <w:name w:val="toc 8"/>
    <w:basedOn w:val="657"/>
    <w:next w:val="657"/>
    <w:uiPriority w:val="39"/>
    <w:unhideWhenUsed/>
    <w:pPr>
      <w:ind w:left="1984" w:firstLine="0"/>
      <w:spacing w:after="57"/>
    </w:pPr>
  </w:style>
  <w:style w:type="paragraph" w:styleId="852">
    <w:name w:val="toc 9"/>
    <w:basedOn w:val="657"/>
    <w:next w:val="657"/>
    <w:uiPriority w:val="39"/>
    <w:unhideWhenUsed/>
    <w:pPr>
      <w:ind w:left="2268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657"/>
    <w:next w:val="657"/>
    <w:uiPriority w:val="99"/>
    <w:unhideWhenUsed/>
  </w:style>
  <w:style w:type="paragraph" w:styleId="855">
    <w:name w:val="List Paragraph"/>
    <w:basedOn w:val="657"/>
    <w:link w:val="856"/>
    <w:uiPriority w:val="34"/>
    <w:qFormat/>
    <w:pPr>
      <w:numPr>
        <w:ilvl w:val="0"/>
        <w:numId w:val="1"/>
      </w:numPr>
    </w:pPr>
  </w:style>
  <w:style w:type="character" w:styleId="856" w:customStyle="1">
    <w:name w:val="Абзац списка Знак"/>
    <w:link w:val="855"/>
    <w:uiPriority w:val="34"/>
    <w:qFormat/>
    <w:rPr>
      <w:rFonts w:ascii="Times New Roman" w:hAnsi="Times New Roman" w:eastAsia="Calibri" w:cs="Times New Roman"/>
      <w:spacing w:val="2"/>
      <w:sz w:val="24"/>
    </w:rPr>
  </w:style>
  <w:style w:type="character" w:styleId="857" w:customStyle="1">
    <w:name w:val="es7ht5z5"/>
    <w:basedOn w:val="667"/>
  </w:style>
  <w:style w:type="character" w:styleId="858" w:customStyle="1">
    <w:name w:val="es7ht5z6"/>
    <w:basedOn w:val="667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zakupki.gov.ru/epz/ktru/ktruCard/ktru-description.html?itemId=26.20.16.120-00000101&amp;backUrl=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 Ch.</dc:creator>
  <cp:keywords/>
  <dc:description/>
  <cp:lastModifiedBy>p.mukhin</cp:lastModifiedBy>
  <cp:revision>3</cp:revision>
  <dcterms:created xsi:type="dcterms:W3CDTF">2026-07-23T14:43:00Z</dcterms:created>
  <dcterms:modified xsi:type="dcterms:W3CDTF">2026-07-23T15:01:00Z</dcterms:modified>
</cp:coreProperties>
</file>