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eastAsia="Times New Roman" w:cs="Times New Roman"/>
          <w:b/>
          <w:bCs/>
          <w:kern w:val="0"/>
          <w:sz w:val="27"/>
          <w:szCs w:val="27"/>
          <w:lang w:eastAsia="ru-RU"/>
        </w:rPr>
      </w:pPr>
      <w:bookmarkStart w:id="0" w:name="_Hlk234999805"/>
      <w:r>
        <w:rPr>
          <w:rFonts w:eastAsia="Times New Roman" w:cs="Times New Roman"/>
          <w:b/>
          <w:bCs/>
          <w:kern w:val="0"/>
          <w:sz w:val="27"/>
          <w:szCs w:val="27"/>
          <w:lang w:eastAsia="ru-RU"/>
        </w:rPr>
        <w:t>Техническое задание</w:t>
      </w:r>
    </w:p>
    <w:p>
      <w:pPr>
        <w:pStyle w:val="Normal"/>
        <w:jc w:val="center"/>
        <w:rPr>
          <w:rFonts w:eastAsia="Times New Roman" w:cs="Times New Roman"/>
          <w:b/>
          <w:bCs/>
          <w:kern w:val="0"/>
          <w:sz w:val="27"/>
          <w:szCs w:val="27"/>
          <w:lang w:eastAsia="ru-RU"/>
        </w:rPr>
      </w:pPr>
      <w:r>
        <w:rPr>
          <w:rFonts w:eastAsia="Times New Roman" w:cs="Times New Roman"/>
          <w:b/>
          <w:bCs/>
          <w:kern w:val="0"/>
          <w:sz w:val="27"/>
          <w:szCs w:val="27"/>
          <w:lang w:eastAsia="ru-RU"/>
        </w:rPr>
        <w:t>на закупку настенной ключницы</w:t>
      </w:r>
    </w:p>
    <w:p>
      <w:pPr>
        <w:pStyle w:val="Normal"/>
        <w:numPr>
          <w:ilvl w:val="0"/>
          <w:numId w:val="0"/>
        </w:numPr>
        <w:spacing w:beforeAutospacing="1" w:afterAutospacing="1"/>
        <w:outlineLvl w:val="3"/>
        <w:rPr>
          <w:rFonts w:eastAsia="Times New Roman" w:cs="Times New Roman"/>
          <w:b/>
          <w:bCs/>
          <w:kern w:val="0"/>
          <w:lang w:eastAsia="ru-RU"/>
        </w:rPr>
      </w:pPr>
      <w:r>
        <w:rPr>
          <w:rFonts w:eastAsia="Times New Roman" w:cs="Times New Roman"/>
          <w:b/>
          <w:bCs/>
          <w:kern w:val="0"/>
          <w:lang w:eastAsia="ru-RU"/>
        </w:rPr>
        <w:t>1. Наименование и количество</w:t>
      </w:r>
    </w:p>
    <w:p>
      <w:pPr>
        <w:pStyle w:val="Normal"/>
        <w:spacing w:beforeAutospacing="1" w:afterAutospacing="1"/>
        <w:rPr>
          <w:rFonts w:eastAsia="Times New Roman" w:cs="Times New Roman"/>
          <w:kern w:val="0"/>
          <w:lang w:eastAsia="ru-RU"/>
        </w:rPr>
      </w:pPr>
      <w:r>
        <w:rPr>
          <w:rFonts w:eastAsia="Times New Roman" w:cs="Times New Roman"/>
          <w:kern w:val="0"/>
          <w:lang w:eastAsia="ru-RU"/>
        </w:rPr>
        <w:t>Наименование товара: настенная закрытая ключница для организованного хранения ключей с электронным замком.</w:t>
      </w:r>
    </w:p>
    <w:p>
      <w:pPr>
        <w:pStyle w:val="Normal"/>
        <w:spacing w:beforeAutospacing="1" w:afterAutospacing="1"/>
        <w:rPr>
          <w:rFonts w:eastAsia="Times New Roman" w:cs="Times New Roman"/>
          <w:kern w:val="0"/>
          <w:lang w:eastAsia="ru-RU"/>
        </w:rPr>
      </w:pPr>
      <w:r>
        <w:rPr>
          <w:rFonts w:eastAsia="Times New Roman" w:cs="Times New Roman"/>
          <w:kern w:val="0"/>
          <w:lang w:eastAsia="ru-RU"/>
        </w:rPr>
        <w:t xml:space="preserve">Количество: 1 шт. </w:t>
      </w:r>
    </w:p>
    <w:p>
      <w:pPr>
        <w:pStyle w:val="Normal"/>
        <w:numPr>
          <w:ilvl w:val="0"/>
          <w:numId w:val="0"/>
        </w:numPr>
        <w:spacing w:beforeAutospacing="1" w:afterAutospacing="1"/>
        <w:outlineLvl w:val="3"/>
        <w:rPr>
          <w:rFonts w:eastAsia="Times New Roman" w:cs="Times New Roman"/>
          <w:b/>
          <w:bCs/>
          <w:kern w:val="0"/>
          <w:lang w:eastAsia="ru-RU"/>
        </w:rPr>
      </w:pPr>
      <w:r>
        <w:rPr>
          <w:rFonts w:eastAsia="Times New Roman" w:cs="Times New Roman"/>
          <w:b/>
          <w:bCs/>
          <w:kern w:val="0"/>
          <w:lang w:eastAsia="ru-RU"/>
        </w:rPr>
        <w:t>2. Цель закупки</w:t>
      </w:r>
    </w:p>
    <w:p>
      <w:pPr>
        <w:pStyle w:val="Normal"/>
        <w:spacing w:beforeAutospacing="1" w:afterAutospacing="1"/>
        <w:rPr>
          <w:rFonts w:eastAsia="Times New Roman" w:cs="Times New Roman"/>
          <w:kern w:val="0"/>
          <w:lang w:eastAsia="ru-RU"/>
        </w:rPr>
      </w:pPr>
      <w:r>
        <w:rPr>
          <w:rFonts w:eastAsia="Times New Roman" w:cs="Times New Roman"/>
          <w:kern w:val="0"/>
          <w:lang w:eastAsia="ru-RU"/>
        </w:rPr>
        <w:t>Обеспечение систематизированного хранения ключей в помещениях организации (офисы, склады, производственные и служебные помещения) с целью:</w:t>
      </w:r>
    </w:p>
    <w:p>
      <w:pPr>
        <w:pStyle w:val="Normal"/>
        <w:numPr>
          <w:ilvl w:val="0"/>
          <w:numId w:val="1"/>
        </w:numPr>
        <w:suppressAutoHyphens w:val="false"/>
        <w:overflowPunct w:val="false"/>
        <w:spacing w:beforeAutospacing="1" w:after="0"/>
        <w:rPr>
          <w:rFonts w:eastAsia="Times New Roman" w:cs="Times New Roman"/>
          <w:kern w:val="0"/>
          <w:lang w:eastAsia="ru-RU"/>
        </w:rPr>
      </w:pPr>
      <w:r>
        <w:rPr>
          <w:rFonts w:eastAsia="Times New Roman" w:cs="Times New Roman"/>
          <w:kern w:val="0"/>
          <w:lang w:eastAsia="ru-RU"/>
        </w:rPr>
        <w:t>упорядочивания доступа к ключам;</w:t>
      </w:r>
    </w:p>
    <w:p>
      <w:pPr>
        <w:pStyle w:val="Normal"/>
        <w:numPr>
          <w:ilvl w:val="0"/>
          <w:numId w:val="1"/>
        </w:numPr>
        <w:suppressAutoHyphens w:val="false"/>
        <w:overflowPunct w:val="false"/>
        <w:spacing w:before="0" w:after="0"/>
        <w:rPr>
          <w:rFonts w:eastAsia="Times New Roman" w:cs="Times New Roman"/>
          <w:kern w:val="0"/>
          <w:lang w:eastAsia="ru-RU"/>
        </w:rPr>
      </w:pPr>
      <w:r>
        <w:rPr>
          <w:rFonts w:eastAsia="Times New Roman" w:cs="Times New Roman"/>
          <w:kern w:val="0"/>
          <w:lang w:eastAsia="ru-RU"/>
        </w:rPr>
        <w:t>контроля выдачи и возврата ключей;</w:t>
      </w:r>
    </w:p>
    <w:p>
      <w:pPr>
        <w:pStyle w:val="Normal"/>
        <w:numPr>
          <w:ilvl w:val="0"/>
          <w:numId w:val="1"/>
        </w:numPr>
        <w:suppressAutoHyphens w:val="false"/>
        <w:overflowPunct w:val="false"/>
        <w:spacing w:before="0" w:after="0"/>
        <w:rPr>
          <w:rFonts w:eastAsia="Times New Roman" w:cs="Times New Roman"/>
          <w:kern w:val="0"/>
          <w:lang w:eastAsia="ru-RU"/>
        </w:rPr>
      </w:pPr>
      <w:r>
        <w:rPr>
          <w:rFonts w:eastAsia="Times New Roman" w:cs="Times New Roman"/>
          <w:kern w:val="0"/>
          <w:lang w:eastAsia="ru-RU"/>
        </w:rPr>
        <w:t>предотвращения потери ключей;</w:t>
      </w:r>
    </w:p>
    <w:p>
      <w:pPr>
        <w:pStyle w:val="Normal"/>
        <w:numPr>
          <w:ilvl w:val="0"/>
          <w:numId w:val="1"/>
        </w:numPr>
        <w:suppressAutoHyphens w:val="false"/>
        <w:overflowPunct w:val="false"/>
        <w:spacing w:before="0" w:after="0"/>
        <w:rPr>
          <w:rFonts w:eastAsia="Times New Roman" w:cs="Times New Roman"/>
          <w:kern w:val="0"/>
          <w:lang w:eastAsia="ru-RU"/>
        </w:rPr>
      </w:pPr>
      <w:r>
        <w:rPr>
          <w:rFonts w:eastAsia="Times New Roman" w:cs="Times New Roman"/>
          <w:kern w:val="0"/>
          <w:lang w:eastAsia="ru-RU"/>
        </w:rPr>
        <w:t>обеспечения их сохранности;</w:t>
      </w:r>
    </w:p>
    <w:p>
      <w:pPr>
        <w:pStyle w:val="Normal"/>
        <w:numPr>
          <w:ilvl w:val="0"/>
          <w:numId w:val="1"/>
        </w:numPr>
        <w:suppressAutoHyphens w:val="false"/>
        <w:overflowPunct w:val="false"/>
        <w:spacing w:before="0" w:afterAutospacing="1"/>
        <w:rPr>
          <w:rFonts w:eastAsia="Times New Roman" w:cs="Times New Roman"/>
          <w:kern w:val="0"/>
          <w:lang w:eastAsia="ru-RU"/>
        </w:rPr>
      </w:pPr>
      <w:r>
        <w:rPr>
          <w:rFonts w:eastAsia="Times New Roman" w:cs="Times New Roman"/>
          <w:kern w:val="0"/>
          <w:lang w:eastAsia="ru-RU"/>
        </w:rPr>
        <w:t>ограничения доступа с помощью электронной системы идентификации.</w:t>
      </w:r>
    </w:p>
    <w:p>
      <w:pPr>
        <w:pStyle w:val="Normal"/>
        <w:numPr>
          <w:ilvl w:val="0"/>
          <w:numId w:val="0"/>
        </w:numPr>
        <w:spacing w:beforeAutospacing="1" w:afterAutospacing="1"/>
        <w:outlineLvl w:val="3"/>
        <w:rPr>
          <w:rFonts w:eastAsia="Times New Roman" w:cs="Times New Roman"/>
          <w:b/>
          <w:bCs/>
          <w:kern w:val="0"/>
          <w:lang w:val="en-US" w:eastAsia="ru-RU"/>
        </w:rPr>
      </w:pPr>
      <w:r>
        <w:rPr>
          <w:rFonts w:eastAsia="Times New Roman" w:cs="Times New Roman"/>
          <w:b/>
          <w:bCs/>
          <w:kern w:val="0"/>
          <w:lang w:eastAsia="ru-RU"/>
        </w:rPr>
        <w:t>3. Технические характеристики</w:t>
      </w:r>
    </w:p>
    <w:tbl>
      <w:tblPr>
        <w:tblW w:w="10830" w:type="dxa"/>
        <w:jc w:val="start"/>
        <w:tblInd w:w="-689" w:type="dxa"/>
        <w:tblLayout w:type="fixed"/>
        <w:tblCellMar>
          <w:top w:w="15" w:type="dxa"/>
          <w:start w:w="15" w:type="dxa"/>
          <w:bottom w:w="15" w:type="dxa"/>
          <w:end w:w="15" w:type="dxa"/>
        </w:tblCellMar>
        <w:tblLook w:noHBand="0" w:noVBand="1" w:firstColumn="1" w:lastRow="0" w:lastColumn="0" w:firstRow="1" w:val="04a0"/>
      </w:tblPr>
      <w:tblGrid>
        <w:gridCol w:w="3225"/>
        <w:gridCol w:w="7605"/>
      </w:tblGrid>
      <w:tr>
        <w:trPr>
          <w:tblHeader w:val="true"/>
        </w:trPr>
        <w:tc>
          <w:tcPr>
            <w:tcW w:w="32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Times New Roman" w:cs="Times New Roman"/>
                <w:b/>
                <w:bCs/>
                <w:kern w:val="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kern w:val="0"/>
                <w:lang w:eastAsia="ru-RU"/>
              </w:rPr>
              <w:t>Параметр</w:t>
            </w:r>
          </w:p>
        </w:tc>
        <w:tc>
          <w:tcPr>
            <w:tcW w:w="76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eastAsia="Times New Roman" w:cs="Times New Roman"/>
                <w:b/>
                <w:bCs/>
                <w:kern w:val="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kern w:val="0"/>
                <w:lang w:eastAsia="ru-RU"/>
              </w:rPr>
              <w:t>Требуемое значение</w:t>
            </w:r>
          </w:p>
        </w:tc>
      </w:tr>
      <w:tr>
        <w:trPr/>
        <w:tc>
          <w:tcPr>
            <w:tcW w:w="32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eastAsia="Times New Roman" w:cs="Times New Roman"/>
                <w:kern w:val="0"/>
                <w:lang w:eastAsia="ru-RU"/>
              </w:rPr>
            </w:pPr>
            <w:r>
              <w:rPr>
                <w:rFonts w:eastAsia="Times New Roman" w:cs="Times New Roman"/>
                <w:kern w:val="0"/>
                <w:lang w:eastAsia="ru-RU"/>
              </w:rPr>
              <w:t>Тип</w:t>
            </w:r>
          </w:p>
        </w:tc>
        <w:tc>
          <w:tcPr>
            <w:tcW w:w="76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eastAsia="Times New Roman" w:cs="Times New Roman"/>
                <w:kern w:val="0"/>
                <w:lang w:eastAsia="ru-RU"/>
              </w:rPr>
            </w:pPr>
            <w:r>
              <w:rPr>
                <w:rFonts w:eastAsia="Times New Roman" w:cs="Times New Roman"/>
                <w:kern w:val="0"/>
                <w:lang w:eastAsia="ru-RU"/>
              </w:rPr>
              <w:t>настенная, закрытая (с дверцей и электронным замком)</w:t>
            </w:r>
          </w:p>
        </w:tc>
      </w:tr>
      <w:tr>
        <w:trPr/>
        <w:tc>
          <w:tcPr>
            <w:tcW w:w="32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eastAsia="Times New Roman" w:cs="Times New Roman"/>
                <w:kern w:val="0"/>
                <w:lang w:eastAsia="ru-RU"/>
              </w:rPr>
            </w:pPr>
            <w:r>
              <w:rPr>
                <w:rFonts w:eastAsia="Times New Roman" w:cs="Times New Roman"/>
                <w:kern w:val="0"/>
                <w:lang w:eastAsia="ru-RU"/>
              </w:rPr>
              <w:t>Материал корпуса</w:t>
            </w:r>
          </w:p>
        </w:tc>
        <w:tc>
          <w:tcPr>
            <w:tcW w:w="76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eastAsia="Times New Roman" w:cs="Times New Roman"/>
                <w:kern w:val="0"/>
                <w:lang w:eastAsia="ru-RU"/>
              </w:rPr>
            </w:pPr>
            <w:r>
              <w:rPr>
                <w:rFonts w:eastAsia="Times New Roman" w:cs="Times New Roman"/>
                <w:kern w:val="0"/>
                <w:lang w:eastAsia="ru-RU"/>
              </w:rPr>
              <w:t>сталь</w:t>
            </w:r>
          </w:p>
        </w:tc>
      </w:tr>
      <w:tr>
        <w:trPr/>
        <w:tc>
          <w:tcPr>
            <w:tcW w:w="32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eastAsia="Times New Roman" w:cs="Times New Roman"/>
                <w:kern w:val="0"/>
                <w:lang w:eastAsia="ru-RU"/>
              </w:rPr>
            </w:pPr>
            <w:r>
              <w:rPr>
                <w:rFonts w:eastAsia="Times New Roman" w:cs="Times New Roman"/>
                <w:kern w:val="0"/>
                <w:lang w:eastAsia="ru-RU"/>
              </w:rPr>
              <w:t>Толщина металла корпуса</w:t>
            </w:r>
          </w:p>
        </w:tc>
        <w:tc>
          <w:tcPr>
            <w:tcW w:w="76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eastAsia="Times New Roman" w:cs="Times New Roman"/>
                <w:kern w:val="0"/>
                <w:lang w:eastAsia="ru-RU"/>
              </w:rPr>
            </w:pPr>
            <w:r>
              <w:rPr>
                <w:rFonts w:eastAsia="Times New Roman" w:cs="Times New Roman"/>
                <w:kern w:val="0"/>
                <w:lang w:eastAsia="ru-RU"/>
              </w:rPr>
              <w:t>не менее 1,2 мм</w:t>
            </w:r>
          </w:p>
        </w:tc>
      </w:tr>
      <w:tr>
        <w:trPr/>
        <w:tc>
          <w:tcPr>
            <w:tcW w:w="32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eastAsia="Times New Roman" w:cs="Times New Roman"/>
                <w:kern w:val="0"/>
                <w:lang w:eastAsia="ru-RU"/>
              </w:rPr>
            </w:pPr>
            <w:r>
              <w:rPr>
                <w:rFonts w:eastAsia="Times New Roman" w:cs="Times New Roman"/>
                <w:kern w:val="0"/>
                <w:lang w:eastAsia="ru-RU"/>
              </w:rPr>
              <w:t>Покрытие</w:t>
            </w:r>
          </w:p>
        </w:tc>
        <w:tc>
          <w:tcPr>
            <w:tcW w:w="76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eastAsia="Times New Roman" w:cs="Times New Roman"/>
                <w:kern w:val="0"/>
                <w:lang w:eastAsia="ru-RU"/>
              </w:rPr>
            </w:pPr>
            <w:r>
              <w:rPr>
                <w:rFonts w:eastAsia="Times New Roman" w:cs="Times New Roman"/>
                <w:kern w:val="0"/>
                <w:lang w:eastAsia="ru-RU"/>
              </w:rPr>
              <w:t>порошковое антикоррозийное</w:t>
            </w:r>
          </w:p>
        </w:tc>
      </w:tr>
      <w:tr>
        <w:trPr/>
        <w:tc>
          <w:tcPr>
            <w:tcW w:w="32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eastAsia="Times New Roman" w:cs="Times New Roman"/>
                <w:kern w:val="0"/>
                <w:lang w:eastAsia="ru-RU"/>
              </w:rPr>
            </w:pPr>
            <w:r>
              <w:rPr>
                <w:rFonts w:eastAsia="Times New Roman" w:cs="Times New Roman"/>
                <w:kern w:val="0"/>
                <w:lang w:eastAsia="ru-RU"/>
              </w:rPr>
              <w:t>Цвет</w:t>
            </w:r>
          </w:p>
        </w:tc>
        <w:tc>
          <w:tcPr>
            <w:tcW w:w="76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eastAsia="Times New Roman" w:cs="Times New Roman"/>
                <w:kern w:val="0"/>
                <w:lang w:eastAsia="ru-RU"/>
              </w:rPr>
            </w:pPr>
            <w:r>
              <w:rPr>
                <w:rFonts w:eastAsia="Times New Roman" w:cs="Times New Roman"/>
                <w:kern w:val="0"/>
                <w:lang w:eastAsia="ru-RU"/>
              </w:rPr>
              <w:t>серый (RAL 7035) или иной стандартный цвет производителя (согласовывается при поставке)</w:t>
            </w:r>
          </w:p>
        </w:tc>
      </w:tr>
      <w:tr>
        <w:trPr/>
        <w:tc>
          <w:tcPr>
            <w:tcW w:w="32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eastAsia="Times New Roman" w:cs="Times New Roman"/>
                <w:kern w:val="0"/>
                <w:lang w:eastAsia="ru-RU"/>
              </w:rPr>
            </w:pPr>
            <w:r>
              <w:rPr>
                <w:rFonts w:eastAsia="Times New Roman" w:cs="Times New Roman"/>
                <w:kern w:val="0"/>
                <w:lang w:eastAsia="ru-RU"/>
              </w:rPr>
              <w:t>Количество крючков</w:t>
            </w:r>
          </w:p>
        </w:tc>
        <w:tc>
          <w:tcPr>
            <w:tcW w:w="76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eastAsia="Times New Roman" w:cs="Times New Roman"/>
                <w:kern w:val="0"/>
                <w:lang w:eastAsia="ru-RU"/>
              </w:rPr>
            </w:pPr>
            <w:r>
              <w:rPr>
                <w:rFonts w:eastAsia="Times New Roman" w:cs="Times New Roman"/>
                <w:kern w:val="0"/>
                <w:lang w:eastAsia="ru-RU"/>
              </w:rPr>
              <w:t>200 шт.</w:t>
            </w:r>
          </w:p>
        </w:tc>
      </w:tr>
      <w:tr>
        <w:trPr/>
        <w:tc>
          <w:tcPr>
            <w:tcW w:w="32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eastAsia="Times New Roman" w:cs="Times New Roman"/>
                <w:kern w:val="0"/>
                <w:lang w:eastAsia="ru-RU"/>
              </w:rPr>
            </w:pPr>
            <w:r>
              <w:rPr>
                <w:rFonts w:eastAsia="Times New Roman" w:cs="Times New Roman"/>
                <w:kern w:val="0"/>
                <w:lang w:eastAsia="ru-RU"/>
              </w:rPr>
              <w:t>Конструкция крючков</w:t>
            </w:r>
          </w:p>
        </w:tc>
        <w:tc>
          <w:tcPr>
            <w:tcW w:w="76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eastAsia="Times New Roman" w:cs="Times New Roman"/>
                <w:kern w:val="0"/>
                <w:lang w:eastAsia="ru-RU"/>
              </w:rPr>
            </w:pPr>
            <w:r>
              <w:rPr>
                <w:rFonts w:eastAsia="Times New Roman" w:cs="Times New Roman"/>
                <w:kern w:val="0"/>
                <w:lang w:eastAsia="ru-RU"/>
              </w:rPr>
              <w:t>индивидуальные, с фиксацией ключа (исключающей самопроизвольное выпадение)</w:t>
            </w:r>
          </w:p>
        </w:tc>
      </w:tr>
      <w:tr>
        <w:trPr/>
        <w:tc>
          <w:tcPr>
            <w:tcW w:w="32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eastAsia="Times New Roman" w:cs="Times New Roman"/>
                <w:kern w:val="0"/>
                <w:lang w:eastAsia="ru-RU"/>
              </w:rPr>
            </w:pPr>
            <w:r>
              <w:rPr>
                <w:rFonts w:eastAsia="Times New Roman" w:cs="Times New Roman"/>
                <w:kern w:val="0"/>
                <w:lang w:eastAsia="ru-RU"/>
              </w:rPr>
              <w:t>Дверца</w:t>
            </w:r>
          </w:p>
        </w:tc>
        <w:tc>
          <w:tcPr>
            <w:tcW w:w="76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eastAsia="Times New Roman" w:cs="Times New Roman"/>
                <w:kern w:val="0"/>
                <w:lang w:eastAsia="ru-RU"/>
              </w:rPr>
            </w:pPr>
            <w:r>
              <w:rPr>
                <w:rFonts w:eastAsia="Times New Roman" w:cs="Times New Roman"/>
                <w:kern w:val="0"/>
                <w:lang w:eastAsia="ru-RU"/>
              </w:rPr>
              <w:t>с электронным запирающим устройством</w:t>
            </w:r>
          </w:p>
        </w:tc>
      </w:tr>
      <w:tr>
        <w:trPr/>
        <w:tc>
          <w:tcPr>
            <w:tcW w:w="32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eastAsia="Times New Roman" w:cs="Times New Roman"/>
                <w:kern w:val="0"/>
                <w:lang w:eastAsia="ru-RU"/>
              </w:rPr>
            </w:pPr>
            <w:r>
              <w:rPr>
                <w:rFonts w:eastAsia="Times New Roman" w:cs="Times New Roman"/>
                <w:kern w:val="0"/>
                <w:lang w:eastAsia="ru-RU"/>
              </w:rPr>
              <w:t>Тип замка</w:t>
            </w:r>
          </w:p>
        </w:tc>
        <w:tc>
          <w:tcPr>
            <w:tcW w:w="76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eastAsia="Times New Roman" w:cs="Times New Roman"/>
                <w:kern w:val="0"/>
                <w:lang w:eastAsia="ru-RU"/>
              </w:rPr>
            </w:pPr>
            <w:r>
              <w:rPr>
                <w:rFonts w:eastAsia="Times New Roman" w:cs="Times New Roman"/>
                <w:kern w:val="0"/>
                <w:lang w:eastAsia="ru-RU"/>
              </w:rPr>
              <w:t>электронный кодовый или с RFID</w:t>
              <w:noBreakHyphen/>
              <w:t>идентификацией (бесконтактные карты/брелоки)</w:t>
            </w:r>
          </w:p>
        </w:tc>
      </w:tr>
      <w:tr>
        <w:trPr/>
        <w:tc>
          <w:tcPr>
            <w:tcW w:w="32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eastAsia="Times New Roman" w:cs="Times New Roman"/>
                <w:kern w:val="0"/>
                <w:lang w:eastAsia="ru-RU"/>
              </w:rPr>
            </w:pPr>
            <w:r>
              <w:rPr>
                <w:rFonts w:eastAsia="Times New Roman" w:cs="Times New Roman"/>
                <w:kern w:val="0"/>
                <w:lang w:eastAsia="ru-RU"/>
              </w:rPr>
              <w:t>Требования к замку</w:t>
            </w:r>
          </w:p>
        </w:tc>
        <w:tc>
          <w:tcPr>
            <w:tcW w:w="76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eastAsia="Times New Roman" w:cs="Times New Roman"/>
                <w:kern w:val="0"/>
                <w:lang w:eastAsia="ru-RU"/>
              </w:rPr>
            </w:pPr>
            <w:r>
              <w:rPr>
                <w:rFonts w:eastAsia="Times New Roman" w:cs="Times New Roman"/>
                <w:kern w:val="0"/>
                <w:lang w:eastAsia="ru-RU"/>
              </w:rPr>
              <w:t>соответствие ГОСТ Р 51053</w:t>
              <w:noBreakHyphen/>
              <w:t>97, класс А; не менее 10 000 уникальных комбинаций/кодов</w:t>
            </w:r>
          </w:p>
        </w:tc>
      </w:tr>
      <w:tr>
        <w:trPr/>
        <w:tc>
          <w:tcPr>
            <w:tcW w:w="32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eastAsia="Times New Roman" w:cs="Times New Roman"/>
                <w:kern w:val="0"/>
                <w:lang w:eastAsia="ru-RU"/>
              </w:rPr>
            </w:pPr>
            <w:r>
              <w:rPr>
                <w:rFonts w:eastAsia="Times New Roman" w:cs="Times New Roman"/>
                <w:kern w:val="0"/>
                <w:lang w:eastAsia="ru-RU"/>
              </w:rPr>
              <w:t>Резервное открытие</w:t>
            </w:r>
          </w:p>
        </w:tc>
        <w:tc>
          <w:tcPr>
            <w:tcW w:w="76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eastAsia="Times New Roman" w:cs="Times New Roman"/>
                <w:kern w:val="0"/>
                <w:lang w:eastAsia="ru-RU"/>
              </w:rPr>
            </w:pPr>
            <w:r>
              <w:rPr>
                <w:rFonts w:eastAsia="Times New Roman" w:cs="Times New Roman"/>
                <w:kern w:val="0"/>
                <w:lang w:eastAsia="ru-RU"/>
              </w:rPr>
              <w:t>наличие механического аварийного ключа или альтернативного способа открытия при разряде элементов питания</w:t>
            </w:r>
          </w:p>
        </w:tc>
      </w:tr>
      <w:tr>
        <w:trPr/>
        <w:tc>
          <w:tcPr>
            <w:tcW w:w="32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eastAsia="Times New Roman" w:cs="Times New Roman"/>
                <w:kern w:val="0"/>
                <w:lang w:eastAsia="ru-RU"/>
              </w:rPr>
            </w:pPr>
            <w:r>
              <w:rPr>
                <w:rFonts w:eastAsia="Times New Roman" w:cs="Times New Roman"/>
                <w:kern w:val="0"/>
                <w:lang w:eastAsia="ru-RU"/>
              </w:rPr>
              <w:t>Источник питания замка</w:t>
            </w:r>
          </w:p>
        </w:tc>
        <w:tc>
          <w:tcPr>
            <w:tcW w:w="76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eastAsia="Times New Roman" w:cs="Times New Roman"/>
                <w:kern w:val="0"/>
                <w:lang w:eastAsia="ru-RU"/>
              </w:rPr>
            </w:pPr>
            <w:r>
              <w:rPr>
                <w:rFonts w:eastAsia="Times New Roman" w:cs="Times New Roman"/>
                <w:kern w:val="0"/>
                <w:lang w:eastAsia="ru-RU"/>
              </w:rPr>
              <w:t>автономные элементы питания (батарейки), срок работы от одного комплекта — не менее 1 года</w:t>
            </w:r>
          </w:p>
        </w:tc>
      </w:tr>
      <w:tr>
        <w:trPr/>
        <w:tc>
          <w:tcPr>
            <w:tcW w:w="32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eastAsia="Times New Roman" w:cs="Times New Roman"/>
                <w:kern w:val="0"/>
                <w:lang w:eastAsia="ru-RU"/>
              </w:rPr>
            </w:pPr>
            <w:r>
              <w:rPr>
                <w:rFonts w:eastAsia="Times New Roman" w:cs="Times New Roman"/>
                <w:kern w:val="0"/>
                <w:lang w:eastAsia="ru-RU"/>
              </w:rPr>
              <w:t>Индикация</w:t>
            </w:r>
          </w:p>
        </w:tc>
        <w:tc>
          <w:tcPr>
            <w:tcW w:w="76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eastAsia="Times New Roman" w:cs="Times New Roman"/>
                <w:kern w:val="0"/>
                <w:lang w:eastAsia="ru-RU"/>
              </w:rPr>
            </w:pPr>
            <w:r>
              <w:rPr>
                <w:rFonts w:eastAsia="Times New Roman" w:cs="Times New Roman"/>
                <w:kern w:val="0"/>
                <w:lang w:eastAsia="ru-RU"/>
              </w:rPr>
              <w:t>светодиодная индикация состояния замка (открыто/закрыто, низкий заряд батареи)</w:t>
            </w:r>
          </w:p>
        </w:tc>
      </w:tr>
      <w:tr>
        <w:trPr/>
        <w:tc>
          <w:tcPr>
            <w:tcW w:w="32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eastAsia="Times New Roman" w:cs="Times New Roman"/>
                <w:kern w:val="0"/>
                <w:lang w:eastAsia="ru-RU"/>
              </w:rPr>
            </w:pPr>
            <w:r>
              <w:rPr>
                <w:rFonts w:eastAsia="Times New Roman" w:cs="Times New Roman"/>
                <w:kern w:val="0"/>
                <w:lang w:eastAsia="ru-RU"/>
              </w:rPr>
              <w:t>Габаритные размеры (В × Ш × Г)</w:t>
            </w:r>
          </w:p>
        </w:tc>
        <w:tc>
          <w:tcPr>
            <w:tcW w:w="76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eastAsia="Times New Roman" w:cs="Times New Roman"/>
                <w:kern w:val="0"/>
                <w:lang w:eastAsia="ru-RU"/>
              </w:rPr>
            </w:pPr>
            <w:r>
              <w:rPr>
                <w:rFonts w:eastAsia="Times New Roman" w:cs="Times New Roman"/>
                <w:kern w:val="0"/>
                <w:lang w:eastAsia="ru-RU"/>
              </w:rPr>
              <w:t>не более 1000 × 800 × 150 мм</w:t>
            </w:r>
          </w:p>
        </w:tc>
      </w:tr>
      <w:tr>
        <w:trPr/>
        <w:tc>
          <w:tcPr>
            <w:tcW w:w="32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eastAsia="Times New Roman" w:cs="Times New Roman"/>
                <w:kern w:val="0"/>
                <w:lang w:eastAsia="ru-RU"/>
              </w:rPr>
            </w:pPr>
            <w:r>
              <w:rPr>
                <w:rFonts w:eastAsia="Times New Roman" w:cs="Times New Roman"/>
                <w:kern w:val="0"/>
                <w:lang w:eastAsia="ru-RU"/>
              </w:rPr>
              <w:t>Способ крепления к стене</w:t>
            </w:r>
          </w:p>
        </w:tc>
        <w:tc>
          <w:tcPr>
            <w:tcW w:w="76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eastAsia="Times New Roman" w:cs="Times New Roman"/>
                <w:kern w:val="0"/>
                <w:lang w:eastAsia="ru-RU"/>
              </w:rPr>
            </w:pPr>
            <w:r>
              <w:rPr>
                <w:rFonts w:eastAsia="Times New Roman" w:cs="Times New Roman"/>
                <w:kern w:val="0"/>
                <w:lang w:eastAsia="ru-RU"/>
              </w:rPr>
              <w:t>монтаж на анкеры или дюбели</w:t>
            </w:r>
          </w:p>
        </w:tc>
      </w:tr>
      <w:tr>
        <w:trPr/>
        <w:tc>
          <w:tcPr>
            <w:tcW w:w="32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eastAsia="Times New Roman" w:cs="Times New Roman"/>
                <w:kern w:val="0"/>
                <w:lang w:eastAsia="ru-RU"/>
              </w:rPr>
            </w:pPr>
            <w:r>
              <w:rPr>
                <w:rFonts w:eastAsia="Times New Roman" w:cs="Times New Roman"/>
                <w:kern w:val="0"/>
                <w:lang w:eastAsia="ru-RU"/>
              </w:rPr>
              <w:t>Комплектация крепёжом</w:t>
            </w:r>
          </w:p>
        </w:tc>
        <w:tc>
          <w:tcPr>
            <w:tcW w:w="760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eastAsia="Times New Roman" w:cs="Times New Roman"/>
                <w:kern w:val="0"/>
                <w:lang w:eastAsia="ru-RU"/>
              </w:rPr>
            </w:pPr>
            <w:r>
              <w:rPr>
                <w:rFonts w:eastAsia="Times New Roman" w:cs="Times New Roman"/>
                <w:kern w:val="0"/>
                <w:lang w:eastAsia="ru-RU"/>
              </w:rPr>
              <w:t>полный комплект крепёжных элементов для монтажа в комплекте поставки</w:t>
            </w:r>
          </w:p>
        </w:tc>
      </w:tr>
    </w:tbl>
    <w:p>
      <w:pPr>
        <w:pStyle w:val="Normal"/>
        <w:numPr>
          <w:ilvl w:val="0"/>
          <w:numId w:val="0"/>
        </w:numPr>
        <w:spacing w:beforeAutospacing="1" w:afterAutospacing="1"/>
        <w:outlineLvl w:val="3"/>
        <w:rPr>
          <w:rFonts w:eastAsia="Times New Roman" w:cs="Times New Roman"/>
          <w:b/>
          <w:bCs/>
          <w:kern w:val="0"/>
          <w:lang w:eastAsia="ru-RU"/>
        </w:rPr>
      </w:pPr>
      <w:r>
        <w:rPr>
          <w:rFonts w:eastAsia="Times New Roman" w:cs="Times New Roman"/>
          <w:b/>
          <w:bCs/>
          <w:kern w:val="0"/>
          <w:lang w:eastAsia="ru-RU"/>
        </w:rPr>
      </w:r>
    </w:p>
    <w:p>
      <w:pPr>
        <w:pStyle w:val="Normal"/>
        <w:numPr>
          <w:ilvl w:val="0"/>
          <w:numId w:val="0"/>
        </w:numPr>
        <w:spacing w:beforeAutospacing="1" w:afterAutospacing="1"/>
        <w:outlineLvl w:val="3"/>
        <w:rPr>
          <w:rFonts w:eastAsia="Times New Roman" w:cs="Times New Roman"/>
          <w:b/>
          <w:bCs/>
          <w:kern w:val="0"/>
          <w:lang w:eastAsia="ru-RU"/>
        </w:rPr>
      </w:pPr>
      <w:r>
        <w:rPr>
          <w:rFonts w:eastAsia="Times New Roman" w:cs="Times New Roman"/>
          <w:b/>
          <w:bCs/>
          <w:kern w:val="0"/>
          <w:lang w:eastAsia="ru-RU"/>
        </w:rPr>
        <w:t>4. Требования к качеству и безопасности</w:t>
      </w:r>
    </w:p>
    <w:p>
      <w:pPr>
        <w:pStyle w:val="Normal"/>
        <w:numPr>
          <w:ilvl w:val="0"/>
          <w:numId w:val="2"/>
        </w:numPr>
        <w:suppressAutoHyphens w:val="false"/>
        <w:overflowPunct w:val="false"/>
        <w:spacing w:beforeAutospacing="1" w:after="0"/>
        <w:rPr>
          <w:rFonts w:eastAsia="Times New Roman" w:cs="Times New Roman"/>
          <w:kern w:val="0"/>
          <w:lang w:eastAsia="ru-RU"/>
        </w:rPr>
      </w:pPr>
      <w:r>
        <w:rPr>
          <w:rFonts w:eastAsia="Times New Roman" w:cs="Times New Roman"/>
          <w:kern w:val="0"/>
          <w:lang w:eastAsia="ru-RU"/>
        </w:rPr>
        <w:t>Соответствие ГОСТ 16371</w:t>
        <w:noBreakHyphen/>
        <w:t>2014 «Мебель. Общие технические условия» и иным применимым стандартам.</w:t>
      </w:r>
    </w:p>
    <w:p>
      <w:pPr>
        <w:pStyle w:val="Normal"/>
        <w:numPr>
          <w:ilvl w:val="0"/>
          <w:numId w:val="2"/>
        </w:numPr>
        <w:suppressAutoHyphens w:val="false"/>
        <w:overflowPunct w:val="false"/>
        <w:spacing w:before="0" w:after="0"/>
        <w:rPr>
          <w:rFonts w:eastAsia="Times New Roman" w:cs="Times New Roman"/>
          <w:kern w:val="0"/>
          <w:lang w:eastAsia="ru-RU"/>
        </w:rPr>
      </w:pPr>
      <w:r>
        <w:rPr>
          <w:rFonts w:eastAsia="Times New Roman" w:cs="Times New Roman"/>
          <w:kern w:val="0"/>
          <w:lang w:eastAsia="ru-RU"/>
        </w:rPr>
        <w:t>Отсутствие острых кромок, заусенцев и иных травмоопасных элементов.</w:t>
      </w:r>
    </w:p>
    <w:p>
      <w:pPr>
        <w:pStyle w:val="Normal"/>
        <w:numPr>
          <w:ilvl w:val="0"/>
          <w:numId w:val="2"/>
        </w:numPr>
        <w:suppressAutoHyphens w:val="false"/>
        <w:overflowPunct w:val="false"/>
        <w:spacing w:before="0" w:after="0"/>
        <w:rPr>
          <w:rFonts w:eastAsia="Times New Roman" w:cs="Times New Roman"/>
          <w:kern w:val="0"/>
          <w:lang w:eastAsia="ru-RU"/>
        </w:rPr>
      </w:pPr>
      <w:r>
        <w:rPr>
          <w:rFonts w:eastAsia="Times New Roman" w:cs="Times New Roman"/>
          <w:kern w:val="0"/>
          <w:lang w:eastAsia="ru-RU"/>
        </w:rPr>
        <w:t>Ровное и прочное лакокрасочное покрытие без сколов, царапин, вздутий и отслоений.</w:t>
      </w:r>
    </w:p>
    <w:p>
      <w:pPr>
        <w:pStyle w:val="Normal"/>
        <w:numPr>
          <w:ilvl w:val="0"/>
          <w:numId w:val="2"/>
        </w:numPr>
        <w:suppressAutoHyphens w:val="false"/>
        <w:overflowPunct w:val="false"/>
        <w:spacing w:before="0" w:after="0"/>
        <w:rPr>
          <w:rFonts w:eastAsia="Times New Roman" w:cs="Times New Roman"/>
          <w:kern w:val="0"/>
          <w:lang w:eastAsia="ru-RU"/>
        </w:rPr>
      </w:pPr>
      <w:r>
        <w:rPr>
          <w:rFonts w:eastAsia="Times New Roman" w:cs="Times New Roman"/>
          <w:kern w:val="0"/>
          <w:lang w:eastAsia="ru-RU"/>
        </w:rPr>
        <w:t>Плавный ход дверцы без заеданий, надёжная фиксация в закрытом положении.</w:t>
      </w:r>
    </w:p>
    <w:p>
      <w:pPr>
        <w:pStyle w:val="Normal"/>
        <w:numPr>
          <w:ilvl w:val="0"/>
          <w:numId w:val="2"/>
        </w:numPr>
        <w:suppressAutoHyphens w:val="false"/>
        <w:overflowPunct w:val="false"/>
        <w:spacing w:before="0" w:after="0"/>
        <w:rPr>
          <w:rFonts w:eastAsia="Times New Roman" w:cs="Times New Roman"/>
          <w:kern w:val="0"/>
          <w:lang w:eastAsia="ru-RU"/>
        </w:rPr>
      </w:pPr>
      <w:r>
        <w:rPr>
          <w:rFonts w:eastAsia="Times New Roman" w:cs="Times New Roman"/>
          <w:kern w:val="0"/>
          <w:lang w:eastAsia="ru-RU"/>
        </w:rPr>
        <w:t>Устойчивость к коррозии и воздействию влаги (для эксплуатации в помещениях с нормальной влажностью).</w:t>
      </w:r>
    </w:p>
    <w:p>
      <w:pPr>
        <w:pStyle w:val="Normal"/>
        <w:numPr>
          <w:ilvl w:val="0"/>
          <w:numId w:val="2"/>
        </w:numPr>
        <w:suppressAutoHyphens w:val="false"/>
        <w:overflowPunct w:val="false"/>
        <w:spacing w:before="0" w:after="0"/>
        <w:rPr>
          <w:rFonts w:eastAsia="Times New Roman" w:cs="Times New Roman"/>
          <w:kern w:val="0"/>
          <w:lang w:eastAsia="ru-RU"/>
        </w:rPr>
      </w:pPr>
      <w:r>
        <w:rPr>
          <w:rFonts w:eastAsia="Times New Roman" w:cs="Times New Roman"/>
          <w:kern w:val="0"/>
          <w:lang w:eastAsia="ru-RU"/>
        </w:rPr>
        <w:t>Расчётный срок службы — не менее 5 лет при соблюдении условий эксплуатации.</w:t>
      </w:r>
    </w:p>
    <w:p>
      <w:pPr>
        <w:pStyle w:val="Normal"/>
        <w:numPr>
          <w:ilvl w:val="0"/>
          <w:numId w:val="2"/>
        </w:numPr>
        <w:suppressAutoHyphens w:val="false"/>
        <w:overflowPunct w:val="false"/>
        <w:spacing w:before="0" w:after="0"/>
        <w:rPr>
          <w:rFonts w:eastAsia="Times New Roman" w:cs="Times New Roman"/>
          <w:kern w:val="0"/>
          <w:lang w:eastAsia="ru-RU"/>
        </w:rPr>
      </w:pPr>
      <w:r>
        <w:rPr>
          <w:rFonts w:eastAsia="Times New Roman" w:cs="Times New Roman"/>
          <w:kern w:val="0"/>
          <w:lang w:eastAsia="ru-RU"/>
        </w:rPr>
        <w:t>Конструкция должна обеспечивать удобный доступ к каждому крючку и возможность размещения ключей стандартной длины.</w:t>
      </w:r>
    </w:p>
    <w:p>
      <w:pPr>
        <w:pStyle w:val="Normal"/>
        <w:numPr>
          <w:ilvl w:val="0"/>
          <w:numId w:val="2"/>
        </w:numPr>
        <w:suppressAutoHyphens w:val="false"/>
        <w:overflowPunct w:val="false"/>
        <w:spacing w:before="0" w:afterAutospacing="1"/>
        <w:rPr>
          <w:rFonts w:eastAsia="Times New Roman" w:cs="Times New Roman"/>
          <w:kern w:val="0"/>
          <w:lang w:eastAsia="ru-RU"/>
        </w:rPr>
      </w:pPr>
      <w:r>
        <w:rPr>
          <w:rFonts w:eastAsia="Times New Roman" w:cs="Times New Roman"/>
          <w:kern w:val="0"/>
          <w:lang w:eastAsia="ru-RU"/>
        </w:rPr>
        <w:t>Защита электронного замка от несанкционированного вскрытия (в т. ч. от подбора кода, воздействия электромагнитных помех).</w:t>
      </w:r>
    </w:p>
    <w:p>
      <w:pPr>
        <w:pStyle w:val="Normal"/>
        <w:numPr>
          <w:ilvl w:val="0"/>
          <w:numId w:val="0"/>
        </w:numPr>
        <w:spacing w:beforeAutospacing="1" w:afterAutospacing="1"/>
        <w:outlineLvl w:val="3"/>
        <w:rPr>
          <w:rFonts w:eastAsia="Times New Roman" w:cs="Times New Roman"/>
          <w:b/>
          <w:bCs/>
          <w:kern w:val="0"/>
          <w:lang w:eastAsia="ru-RU"/>
        </w:rPr>
      </w:pPr>
      <w:r>
        <w:rPr>
          <w:rFonts w:eastAsia="Times New Roman" w:cs="Times New Roman"/>
          <w:b/>
          <w:bCs/>
          <w:kern w:val="0"/>
          <w:lang w:eastAsia="ru-RU"/>
        </w:rPr>
        <w:t>5. Комплектация</w:t>
      </w:r>
    </w:p>
    <w:p>
      <w:pPr>
        <w:pStyle w:val="Normal"/>
        <w:spacing w:beforeAutospacing="1" w:afterAutospacing="1"/>
        <w:rPr>
          <w:rFonts w:eastAsia="Times New Roman" w:cs="Times New Roman"/>
          <w:kern w:val="0"/>
          <w:lang w:eastAsia="ru-RU"/>
        </w:rPr>
      </w:pPr>
      <w:r>
        <w:rPr>
          <w:rFonts w:eastAsia="Times New Roman" w:cs="Times New Roman"/>
          <w:kern w:val="0"/>
          <w:lang w:eastAsia="ru-RU"/>
        </w:rPr>
        <w:t>В комплект поставки должно входить:</w:t>
      </w:r>
    </w:p>
    <w:p>
      <w:pPr>
        <w:pStyle w:val="Normal"/>
        <w:numPr>
          <w:ilvl w:val="0"/>
          <w:numId w:val="3"/>
        </w:numPr>
        <w:suppressAutoHyphens w:val="false"/>
        <w:overflowPunct w:val="false"/>
        <w:spacing w:beforeAutospacing="1" w:after="0"/>
        <w:rPr>
          <w:rFonts w:eastAsia="Times New Roman" w:cs="Times New Roman"/>
          <w:kern w:val="0"/>
          <w:lang w:eastAsia="ru-RU"/>
        </w:rPr>
      </w:pPr>
      <w:r>
        <w:rPr>
          <w:rFonts w:eastAsia="Times New Roman" w:cs="Times New Roman"/>
          <w:kern w:val="0"/>
          <w:lang w:eastAsia="ru-RU"/>
        </w:rPr>
        <w:t>ключница в сборе — 1 шт.;</w:t>
      </w:r>
    </w:p>
    <w:p>
      <w:pPr>
        <w:pStyle w:val="Normal"/>
        <w:numPr>
          <w:ilvl w:val="0"/>
          <w:numId w:val="3"/>
        </w:numPr>
        <w:suppressAutoHyphens w:val="false"/>
        <w:overflowPunct w:val="false"/>
        <w:spacing w:before="0" w:after="0"/>
        <w:rPr>
          <w:rFonts w:eastAsia="Times New Roman" w:cs="Times New Roman"/>
          <w:kern w:val="0"/>
          <w:lang w:eastAsia="ru-RU"/>
        </w:rPr>
      </w:pPr>
      <w:r>
        <w:rPr>
          <w:rFonts w:eastAsia="Times New Roman" w:cs="Times New Roman"/>
          <w:kern w:val="0"/>
          <w:lang w:eastAsia="ru-RU"/>
        </w:rPr>
        <w:t>бесконтактные карты/брелоки доступа — не менее 5 шт.;</w:t>
      </w:r>
    </w:p>
    <w:p>
      <w:pPr>
        <w:pStyle w:val="Normal"/>
        <w:numPr>
          <w:ilvl w:val="0"/>
          <w:numId w:val="3"/>
        </w:numPr>
        <w:suppressAutoHyphens w:val="false"/>
        <w:overflowPunct w:val="false"/>
        <w:spacing w:before="0" w:after="0"/>
        <w:rPr>
          <w:rFonts w:eastAsia="Times New Roman" w:cs="Times New Roman"/>
          <w:kern w:val="0"/>
          <w:lang w:eastAsia="ru-RU"/>
        </w:rPr>
      </w:pPr>
      <w:r>
        <w:rPr>
          <w:rFonts w:eastAsia="Times New Roman" w:cs="Times New Roman"/>
          <w:kern w:val="0"/>
          <w:lang w:eastAsia="ru-RU"/>
        </w:rPr>
        <w:t>аварийный механический ключ — 2 комплекта;</w:t>
      </w:r>
    </w:p>
    <w:p>
      <w:pPr>
        <w:pStyle w:val="Normal"/>
        <w:numPr>
          <w:ilvl w:val="0"/>
          <w:numId w:val="3"/>
        </w:numPr>
        <w:suppressAutoHyphens w:val="false"/>
        <w:overflowPunct w:val="false"/>
        <w:spacing w:before="0" w:after="0"/>
        <w:rPr>
          <w:rFonts w:eastAsia="Times New Roman" w:cs="Times New Roman"/>
          <w:kern w:val="0"/>
          <w:lang w:eastAsia="ru-RU"/>
        </w:rPr>
      </w:pPr>
      <w:r>
        <w:rPr>
          <w:rFonts w:eastAsia="Times New Roman" w:cs="Times New Roman"/>
          <w:kern w:val="0"/>
          <w:lang w:eastAsia="ru-RU"/>
        </w:rPr>
        <w:t>крепёжные элементы (анкеры/дюбели и саморезы) — полный комплект для монтажа на стену;</w:t>
      </w:r>
    </w:p>
    <w:p>
      <w:pPr>
        <w:pStyle w:val="Normal"/>
        <w:numPr>
          <w:ilvl w:val="0"/>
          <w:numId w:val="3"/>
        </w:numPr>
        <w:suppressAutoHyphens w:val="false"/>
        <w:overflowPunct w:val="false"/>
        <w:spacing w:before="0" w:after="0"/>
        <w:rPr>
          <w:rFonts w:eastAsia="Times New Roman" w:cs="Times New Roman"/>
          <w:kern w:val="0"/>
          <w:lang w:eastAsia="ru-RU"/>
        </w:rPr>
      </w:pPr>
      <w:r>
        <w:rPr>
          <w:rFonts w:eastAsia="Times New Roman" w:cs="Times New Roman"/>
          <w:kern w:val="0"/>
          <w:lang w:eastAsia="ru-RU"/>
        </w:rPr>
        <w:t>элементы питания для замка — предварительно установленные или в комплекте;</w:t>
      </w:r>
    </w:p>
    <w:p>
      <w:pPr>
        <w:pStyle w:val="Normal"/>
        <w:numPr>
          <w:ilvl w:val="0"/>
          <w:numId w:val="3"/>
        </w:numPr>
        <w:suppressAutoHyphens w:val="false"/>
        <w:overflowPunct w:val="false"/>
        <w:spacing w:before="0" w:after="0"/>
        <w:rPr>
          <w:rFonts w:eastAsia="Times New Roman" w:cs="Times New Roman"/>
          <w:kern w:val="0"/>
          <w:lang w:eastAsia="ru-RU"/>
        </w:rPr>
      </w:pPr>
      <w:r>
        <w:rPr>
          <w:rFonts w:eastAsia="Times New Roman" w:cs="Times New Roman"/>
          <w:kern w:val="0"/>
          <w:lang w:eastAsia="ru-RU"/>
        </w:rPr>
        <w:t>инструкция по монтажу, настройке и эксплуатации — 1 экз.;</w:t>
      </w:r>
    </w:p>
    <w:p>
      <w:pPr>
        <w:pStyle w:val="Normal"/>
        <w:numPr>
          <w:ilvl w:val="0"/>
          <w:numId w:val="3"/>
        </w:numPr>
        <w:suppressAutoHyphens w:val="false"/>
        <w:overflowPunct w:val="false"/>
        <w:spacing w:before="0" w:afterAutospacing="1"/>
        <w:rPr>
          <w:rFonts w:eastAsia="Times New Roman" w:cs="Times New Roman"/>
          <w:kern w:val="0"/>
          <w:lang w:eastAsia="ru-RU"/>
        </w:rPr>
      </w:pPr>
      <w:r>
        <w:rPr>
          <w:rFonts w:eastAsia="Times New Roman" w:cs="Times New Roman"/>
          <w:kern w:val="0"/>
          <w:lang w:eastAsia="ru-RU"/>
        </w:rPr>
        <w:t>упаковочная тара, обеспечивающая сохранность изделия при транспортировке и хранении.</w:t>
      </w:r>
    </w:p>
    <w:p>
      <w:pPr>
        <w:pStyle w:val="Normal"/>
        <w:numPr>
          <w:ilvl w:val="0"/>
          <w:numId w:val="0"/>
        </w:numPr>
        <w:spacing w:beforeAutospacing="1" w:afterAutospacing="1"/>
        <w:outlineLvl w:val="3"/>
        <w:rPr>
          <w:rFonts w:eastAsia="Times New Roman" w:cs="Times New Roman"/>
          <w:b/>
          <w:bCs/>
          <w:kern w:val="0"/>
          <w:lang w:eastAsia="ru-RU"/>
        </w:rPr>
      </w:pPr>
      <w:r>
        <w:rPr>
          <w:rFonts w:eastAsia="Times New Roman" w:cs="Times New Roman"/>
          <w:b/>
          <w:bCs/>
          <w:kern w:val="0"/>
          <w:lang w:eastAsia="ru-RU"/>
        </w:rPr>
        <w:t>6. Требования к документации</w:t>
      </w:r>
    </w:p>
    <w:p>
      <w:pPr>
        <w:pStyle w:val="Normal"/>
        <w:spacing w:beforeAutospacing="1" w:afterAutospacing="1"/>
        <w:rPr>
          <w:rFonts w:eastAsia="Times New Roman" w:cs="Times New Roman"/>
          <w:kern w:val="0"/>
          <w:lang w:eastAsia="ru-RU"/>
        </w:rPr>
      </w:pPr>
      <w:r>
        <w:rPr>
          <w:rFonts w:eastAsia="Times New Roman" w:cs="Times New Roman"/>
          <w:kern w:val="0"/>
          <w:lang w:eastAsia="ru-RU"/>
        </w:rPr>
        <w:t>Поставщик обязан предоставить:</w:t>
      </w:r>
    </w:p>
    <w:p>
      <w:pPr>
        <w:pStyle w:val="Normal"/>
        <w:numPr>
          <w:ilvl w:val="0"/>
          <w:numId w:val="4"/>
        </w:numPr>
        <w:suppressAutoHyphens w:val="false"/>
        <w:overflowPunct w:val="false"/>
        <w:spacing w:beforeAutospacing="1" w:after="0"/>
        <w:rPr>
          <w:rFonts w:eastAsia="Times New Roman" w:cs="Times New Roman"/>
          <w:kern w:val="0"/>
          <w:lang w:eastAsia="ru-RU"/>
        </w:rPr>
      </w:pPr>
      <w:r>
        <w:rPr>
          <w:rFonts w:eastAsia="Times New Roman" w:cs="Times New Roman"/>
          <w:kern w:val="0"/>
          <w:lang w:eastAsia="ru-RU"/>
        </w:rPr>
        <w:t>счёт</w:t>
        <w:noBreakHyphen/>
        <w:t>фактуру;</w:t>
      </w:r>
    </w:p>
    <w:p>
      <w:pPr>
        <w:pStyle w:val="Normal"/>
        <w:numPr>
          <w:ilvl w:val="0"/>
          <w:numId w:val="4"/>
        </w:numPr>
        <w:suppressAutoHyphens w:val="false"/>
        <w:overflowPunct w:val="false"/>
        <w:spacing w:before="0" w:after="0"/>
        <w:rPr>
          <w:rFonts w:eastAsia="Times New Roman" w:cs="Times New Roman"/>
          <w:kern w:val="0"/>
          <w:lang w:eastAsia="ru-RU"/>
        </w:rPr>
      </w:pPr>
      <w:r>
        <w:rPr>
          <w:rFonts w:eastAsia="Times New Roman" w:cs="Times New Roman"/>
          <w:kern w:val="0"/>
          <w:lang w:eastAsia="ru-RU"/>
        </w:rPr>
        <w:t>товарную накладную (ТОРГ</w:t>
        <w:noBreakHyphen/>
        <w:t>12) или универсальный передаточный документ (УПД);</w:t>
      </w:r>
    </w:p>
    <w:p>
      <w:pPr>
        <w:pStyle w:val="Normal"/>
        <w:numPr>
          <w:ilvl w:val="0"/>
          <w:numId w:val="4"/>
        </w:numPr>
        <w:suppressAutoHyphens w:val="false"/>
        <w:overflowPunct w:val="false"/>
        <w:spacing w:before="0" w:after="0"/>
        <w:rPr>
          <w:rFonts w:eastAsia="Times New Roman" w:cs="Times New Roman"/>
          <w:kern w:val="0"/>
          <w:lang w:eastAsia="ru-RU"/>
        </w:rPr>
      </w:pPr>
      <w:r>
        <w:rPr>
          <w:rFonts w:eastAsia="Times New Roman" w:cs="Times New Roman"/>
          <w:kern w:val="0"/>
          <w:lang w:eastAsia="ru-RU"/>
        </w:rPr>
        <w:t>паспорт изделия или иной документ, подтверждающий соответствие заявленным характеристикам;</w:t>
      </w:r>
    </w:p>
    <w:p>
      <w:pPr>
        <w:pStyle w:val="Normal"/>
        <w:numPr>
          <w:ilvl w:val="0"/>
          <w:numId w:val="4"/>
        </w:numPr>
        <w:suppressAutoHyphens w:val="false"/>
        <w:overflowPunct w:val="false"/>
        <w:spacing w:before="0" w:after="0"/>
        <w:rPr>
          <w:rFonts w:eastAsia="Times New Roman" w:cs="Times New Roman"/>
          <w:kern w:val="0"/>
          <w:lang w:eastAsia="ru-RU"/>
        </w:rPr>
      </w:pPr>
      <w:r>
        <w:rPr>
          <w:rFonts w:eastAsia="Times New Roman" w:cs="Times New Roman"/>
          <w:kern w:val="0"/>
          <w:lang w:eastAsia="ru-RU"/>
        </w:rPr>
        <w:t>сертификаты соответствия и/или декларации о соответствии (при наличии);</w:t>
      </w:r>
    </w:p>
    <w:p>
      <w:pPr>
        <w:pStyle w:val="Normal"/>
        <w:numPr>
          <w:ilvl w:val="0"/>
          <w:numId w:val="4"/>
        </w:numPr>
        <w:suppressAutoHyphens w:val="false"/>
        <w:overflowPunct w:val="false"/>
        <w:spacing w:before="0" w:afterAutospacing="1"/>
        <w:rPr>
          <w:rFonts w:eastAsia="Times New Roman" w:cs="Times New Roman"/>
          <w:kern w:val="0"/>
          <w:lang w:eastAsia="ru-RU"/>
        </w:rPr>
      </w:pPr>
      <w:r>
        <w:rPr>
          <w:rFonts w:eastAsia="Times New Roman" w:cs="Times New Roman"/>
          <w:kern w:val="0"/>
          <w:lang w:eastAsia="ru-RU"/>
        </w:rPr>
        <w:t>гарантийные обязательства в письменной форме.</w:t>
      </w:r>
    </w:p>
    <w:p>
      <w:pPr>
        <w:pStyle w:val="Normal"/>
        <w:numPr>
          <w:ilvl w:val="0"/>
          <w:numId w:val="0"/>
        </w:numPr>
        <w:spacing w:beforeAutospacing="1" w:afterAutospacing="1"/>
        <w:outlineLvl w:val="3"/>
        <w:rPr>
          <w:rFonts w:eastAsia="Times New Roman" w:cs="Times New Roman"/>
          <w:b/>
          <w:bCs/>
          <w:kern w:val="0"/>
          <w:lang w:eastAsia="ru-RU"/>
        </w:rPr>
      </w:pPr>
      <w:r>
        <w:rPr>
          <w:rFonts w:eastAsia="Times New Roman" w:cs="Times New Roman"/>
          <w:b/>
          <w:bCs/>
          <w:kern w:val="0"/>
          <w:lang w:eastAsia="ru-RU"/>
        </w:rPr>
        <w:t>7. Условия поставки</w:t>
      </w:r>
    </w:p>
    <w:p>
      <w:pPr>
        <w:pStyle w:val="Normal"/>
        <w:numPr>
          <w:ilvl w:val="0"/>
          <w:numId w:val="5"/>
        </w:numPr>
        <w:suppressAutoHyphens w:val="false"/>
        <w:overflowPunct w:val="false"/>
        <w:spacing w:beforeAutospacing="1" w:after="0"/>
        <w:rPr>
          <w:rFonts w:eastAsia="Times New Roman" w:cs="Times New Roman"/>
          <w:kern w:val="0"/>
          <w:lang w:eastAsia="ru-RU"/>
        </w:rPr>
      </w:pPr>
      <w:r>
        <w:rPr>
          <w:rFonts w:eastAsia="Times New Roman" w:cs="Times New Roman"/>
          <w:kern w:val="0"/>
          <w:lang w:eastAsia="ru-RU"/>
        </w:rPr>
        <w:t>Место поставки: г. Рязань, ул. Соборная, стр. 2.</w:t>
      </w:r>
    </w:p>
    <w:p>
      <w:pPr>
        <w:pStyle w:val="Normal"/>
        <w:numPr>
          <w:ilvl w:val="0"/>
          <w:numId w:val="5"/>
        </w:numPr>
        <w:suppressAutoHyphens w:val="false"/>
        <w:overflowPunct w:val="false"/>
        <w:spacing w:before="0" w:after="0"/>
        <w:rPr>
          <w:rFonts w:eastAsia="Times New Roman" w:cs="Times New Roman"/>
          <w:kern w:val="0"/>
          <w:lang w:eastAsia="ru-RU"/>
        </w:rPr>
      </w:pPr>
      <w:r>
        <w:rPr>
          <w:rFonts w:eastAsia="Times New Roman" w:cs="Times New Roman"/>
          <w:kern w:val="0"/>
          <w:lang w:eastAsia="ru-RU"/>
        </w:rPr>
        <w:t>Срок поставки: не позднее 10 календарных дней с момента заключения договора.</w:t>
      </w:r>
    </w:p>
    <w:p>
      <w:pPr>
        <w:pStyle w:val="Normal"/>
        <w:numPr>
          <w:ilvl w:val="0"/>
          <w:numId w:val="5"/>
        </w:numPr>
        <w:suppressAutoHyphens w:val="false"/>
        <w:overflowPunct w:val="false"/>
        <w:spacing w:before="0" w:afterAutospacing="1"/>
        <w:rPr>
          <w:rFonts w:eastAsia="Times New Roman" w:cs="Times New Roman"/>
          <w:kern w:val="0"/>
          <w:lang w:eastAsia="ru-RU"/>
        </w:rPr>
      </w:pPr>
      <w:r>
        <w:rPr>
          <w:rFonts w:eastAsia="Times New Roman" w:cs="Times New Roman"/>
          <w:kern w:val="0"/>
          <w:lang w:eastAsia="ru-RU"/>
        </w:rPr>
        <w:t>Упаковка: заводская, обеспечивающая защиту от повреждений при транспортировке, погрузочно</w:t>
        <w:noBreakHyphen/>
        <w:t>разгрузочных работах и хранении.</w:t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ind w:firstLine="709"/>
        <w:jc w:val="both"/>
        <w:rPr/>
      </w:pPr>
      <w:r>
        <w:rPr/>
      </w:r>
    </w:p>
    <w:p>
      <w:pPr>
        <w:pStyle w:val="Normal"/>
        <w:ind w:firstLine="709"/>
        <w:jc w:val="both"/>
        <w:rPr/>
      </w:pPr>
      <w:r>
        <w:rPr/>
      </w:r>
      <w:bookmarkEnd w:id="0"/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6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oto Serif CJK SC" w:cs="Lohit Devanagari"/>
      <w:color w:val="auto"/>
      <w:kern w:val="2"/>
      <w:sz w:val="24"/>
      <w:szCs w:val="24"/>
      <w:lang w:val="ru-R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Style15" w:customStyle="1">
    <w:name w:val="Указатель"/>
    <w:basedOn w:val="Normal"/>
    <w:qFormat/>
    <w:pPr>
      <w:suppressLineNumbers/>
    </w:pPr>
    <w:rPr/>
  </w:style>
  <w:style w:type="paragraph" w:styleId="1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user" w:customStyle="1">
    <w:name w:val="Содержимое таблицы (user)"/>
    <w:basedOn w:val="Normal"/>
    <w:qFormat/>
    <w:pPr>
      <w:widowControl w:val="false"/>
      <w:suppressLineNumbers/>
    </w:pPr>
    <w:rPr/>
  </w:style>
  <w:style w:type="paragraph" w:styleId="Style1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7" w:customStyle="1">
    <w:name w:val="Заголовок таблицы"/>
    <w:basedOn w:val="Style16"/>
    <w:qFormat/>
    <w:pPr>
      <w:jc w:val="center"/>
    </w:pPr>
    <w:rPr>
      <w:b/>
      <w:bCs/>
    </w:rPr>
  </w:style>
  <w:style w:type="paragraph" w:styleId="user1" w:customStyle="1">
    <w:name w:val="Заголовок таблицы (user)"/>
    <w:basedOn w:val="user"/>
    <w:qFormat/>
    <w:pPr>
      <w:jc w:val="center"/>
    </w:pPr>
    <w:rPr>
      <w:b/>
      <w:bCs/>
    </w:rPr>
  </w:style>
  <w:style w:type="numbering" w:styleId="Style1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LibreOffice/26.2.4.2$Linux_X86_64 LibreOffice_project/620$Build-2</Application>
  <AppVersion>15.0000</AppVersion>
  <Pages>2</Pages>
  <Words>480</Words>
  <Characters>3190</Characters>
  <CharactersWithSpaces>3575</CharactersWithSpaces>
  <Paragraphs>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2026-07-15T06:33:00Z</dcterms:created>
  <dc:creator>А Слегонкин</dc:creator>
  <dc:description/>
  <dc:language>ru-RU</dc:language>
  <cp:lastModifiedBy/>
  <cp:lastPrinted>2026-06-03T08:54:00Z</cp:lastPrinted>
  <dcterms:modified xsi:type="dcterms:W3CDTF">2026-07-23T14:59:37Z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