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keepNext/>
        <w:spacing w:after="0" w:line="240" w:lineRule="auto"/>
        <w:widowControl w:val="off"/>
        <w:rPr>
          <w:rFonts w:ascii="Times New Roman" w:hAnsi="Times New Roman" w:eastAsia="Times New Roman" w:cs="Times New Roman"/>
          <w:bCs/>
          <w:sz w:val="21"/>
          <w:szCs w:val="21"/>
          <w:lang w:eastAsia="ru-RU"/>
        </w:rPr>
        <w:outlineLvl w:val="7"/>
      </w:pPr>
      <w:r>
        <w:rPr>
          <w:rFonts w:ascii="Times New Roman" w:hAnsi="Times New Roman" w:eastAsia="Times New Roman" w:cs="Times New Roman"/>
          <w:bCs/>
          <w:sz w:val="21"/>
          <w:szCs w:val="21"/>
          <w:lang w:eastAsia="ru-RU"/>
        </w:rPr>
        <w:t xml:space="preserve">выялен</w:t>
      </w:r>
      <w:r>
        <w:rPr>
          <w:rFonts w:ascii="Times New Roman" w:hAnsi="Times New Roman" w:eastAsia="Times New Roman" w:cs="Times New Roman"/>
          <w:bCs/>
          <w:sz w:val="21"/>
          <w:szCs w:val="21"/>
          <w:lang w:eastAsia="ru-RU"/>
        </w:rPr>
        <w:t xml:space="preserve">Приложение</w:t>
      </w:r>
      <w:r>
        <w:rPr>
          <w:rFonts w:ascii="Times New Roman" w:hAnsi="Times New Roman" w:eastAsia="Times New Roman" w:cs="Times New Roman"/>
          <w:bCs/>
          <w:sz w:val="21"/>
          <w:szCs w:val="21"/>
          <w:lang w:eastAsia="ru-RU"/>
        </w:rPr>
        <w:t xml:space="preserve"> № 1 к Электронной версии Контракта </w:t>
      </w:r>
      <w:r>
        <w:rPr>
          <w:rFonts w:ascii="Times New Roman" w:hAnsi="Times New Roman" w:eastAsia="Times New Roman" w:cs="Times New Roman"/>
          <w:bCs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bCs/>
          <w:sz w:val="21"/>
          <w:szCs w:val="21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Cs/>
          <w:lang w:eastAsia="ru-RU"/>
        </w:rPr>
      </w:pPr>
      <w:r>
        <w:rPr>
          <w:rFonts w:ascii="Times New Roman" w:hAnsi="Times New Roman" w:eastAsia="Times New Roman" w:cs="Times New Roman"/>
          <w:bCs/>
          <w:lang w:eastAsia="ru-RU"/>
        </w:rPr>
        <w:t xml:space="preserve">от «__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_»_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_________ 2026 г. №________________</w:t>
      </w:r>
      <w:r>
        <w:rPr>
          <w:rFonts w:ascii="Times New Roman" w:hAnsi="Times New Roman" w:eastAsia="Times New Roman" w:cs="Times New Roman"/>
          <w:bCs/>
          <w:lang w:eastAsia="ru-RU"/>
        </w:rPr>
      </w:r>
      <w:r>
        <w:rPr>
          <w:rFonts w:ascii="Times New Roman" w:hAnsi="Times New Roman" w:eastAsia="Times New Roman" w:cs="Times New Roman"/>
          <w:bCs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1"/>
          <w:szCs w:val="21"/>
          <w:lang w:eastAsia="ar-SA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ar-SA"/>
        </w:rPr>
      </w:r>
      <w:r>
        <w:rPr>
          <w:rFonts w:ascii="Times New Roman" w:hAnsi="Times New Roman" w:eastAsia="Times New Roman" w:cs="Times New Roman"/>
          <w:sz w:val="21"/>
          <w:szCs w:val="21"/>
          <w:lang w:eastAsia="ar-SA"/>
        </w:rPr>
      </w:r>
      <w:r>
        <w:rPr>
          <w:rFonts w:ascii="Times New Roman" w:hAnsi="Times New Roman" w:eastAsia="Times New Roman" w:cs="Times New Roman"/>
          <w:sz w:val="21"/>
          <w:szCs w:val="21"/>
          <w:lang w:eastAsia="ar-SA"/>
        </w:rPr>
      </w:r>
    </w:p>
    <w:p>
      <w:pPr>
        <w:spacing w:after="0" w:line="240" w:lineRule="auto"/>
        <w:tabs>
          <w:tab w:val="left" w:pos="5829" w:leader="none"/>
        </w:tabs>
        <w:rPr>
          <w:rFonts w:ascii="Times New Roman" w:hAnsi="Times New Roman" w:eastAsia="Times New Roman" w:cs="Times New Roman"/>
          <w:b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1"/>
          <w:szCs w:val="21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    Предмет Контракта</w:t>
      </w:r>
      <w:r>
        <w:rPr>
          <w:rFonts w:ascii="Times New Roman" w:hAnsi="Times New Roman" w:eastAsia="Times New Roman" w:cs="Times New Roman"/>
          <w:b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  <w:t xml:space="preserve">1.1. </w:t>
      </w:r>
      <w:r>
        <w:rPr>
          <w:rFonts w:ascii="Times New Roman" w:hAnsi="Times New Roman" w:eastAsia="Liberation Serif" w:cs="Times New Roman"/>
          <w:color w:val="000000"/>
          <w:sz w:val="21"/>
          <w:szCs w:val="21"/>
          <w:highlight w:val="white"/>
          <w:lang w:eastAsia="ru-RU"/>
        </w:rPr>
        <w:t xml:space="preserve">Поставщик обязуется </w:t>
      </w:r>
      <w:r>
        <w:rPr>
          <w:rFonts w:ascii="Times New Roman" w:hAnsi="Times New Roman" w:eastAsia="Liberation Serif" w:cs="Times New Roman"/>
          <w:color w:val="000000"/>
          <w:sz w:val="21"/>
          <w:szCs w:val="21"/>
          <w:lang w:eastAsia="ru-RU"/>
        </w:rPr>
        <w:t xml:space="preserve">поставить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 кабел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 управления для серверного оборудования в сфере ИКТ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(далее по тексту – Товар) а </w:t>
      </w:r>
      <w:r>
        <w:rPr>
          <w:rFonts w:ascii="Times New Roman" w:hAnsi="Times New Roman" w:eastAsia="Liberation Serif" w:cs="Times New Roman"/>
          <w:color w:val="000000"/>
          <w:sz w:val="21"/>
          <w:szCs w:val="21"/>
          <w:highlight w:val="white"/>
          <w:lang w:eastAsia="ru-RU"/>
        </w:rPr>
        <w:t xml:space="preserve">Заказчик обязуется принять и оплатить Товар в порядке и на условиях, предусмотренных Контрактом.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  <w:t xml:space="preserve">1.2. Наименование, количество и иные характеристики поставляемого Товара</w:t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  <w:t xml:space="preserve"> указаны в Техническом задании</w:t>
      </w:r>
      <w:r>
        <w:rPr>
          <w:rFonts w:ascii="Times New Roman" w:hAnsi="Times New Roman" w:eastAsia="Times New Roman" w:cs="Times New Roman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Cs/>
          <w:color w:val="7030a0"/>
          <w:sz w:val="21"/>
          <w:szCs w:val="21"/>
          <w:lang w:eastAsia="ru-RU"/>
        </w:rPr>
        <w:t xml:space="preserve">(Приложение № 2 к Электронной версии Контракта), </w:t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  <w:t xml:space="preserve">являющегося неотъемлемой частью настоящего Контракта.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  <w:t xml:space="preserve">1.3.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Идентификационный код закупки: </w:t>
      </w:r>
      <w:r>
        <w:rPr>
          <w:rFonts w:ascii="Times New Roman" w:hAnsi="Times New Roman" w:cs="Times New Roman"/>
          <w:color w:val="0070c0"/>
          <w:sz w:val="21"/>
          <w:szCs w:val="21"/>
        </w:rPr>
        <w:t xml:space="preserve">26 17203406753 720301001 0042 000 0000 000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b/>
          <w:bCs/>
          <w:color w:val="0070c0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1.4. Код бюджетной классификации: </w:t>
      </w:r>
      <w:r>
        <w:rPr>
          <w:rFonts w:ascii="Times New Roman" w:hAnsi="Times New Roman" w:cs="Times New Roman"/>
          <w:color w:val="0070c0"/>
          <w:sz w:val="21"/>
          <w:szCs w:val="21"/>
        </w:rPr>
        <w:t xml:space="preserve">КБК: </w:t>
      </w:r>
      <w:r>
        <w:rPr>
          <w:rFonts w:ascii="Times New Roman" w:hAnsi="Times New Roman" w:cs="Times New Roman"/>
          <w:color w:val="0070c0"/>
          <w:sz w:val="21"/>
          <w:szCs w:val="21"/>
        </w:rPr>
        <w:t xml:space="preserve">157 0113 15 4 07 90019 242</w:t>
      </w:r>
      <w:r>
        <w:rPr>
          <w:rFonts w:ascii="Times New Roman" w:hAnsi="Times New Roman" w:cs="Times New Roman"/>
          <w:color w:val="0070c0"/>
          <w:sz w:val="21"/>
          <w:szCs w:val="21"/>
        </w:rPr>
        <w:t xml:space="preserve">.</w:t>
      </w:r>
      <w:r>
        <w:rPr>
          <w:rFonts w:ascii="Times New Roman" w:hAnsi="Times New Roman" w:cs="Times New Roman"/>
          <w:b/>
          <w:bCs/>
          <w:color w:val="0070c0"/>
          <w:sz w:val="21"/>
          <w:szCs w:val="21"/>
        </w:rPr>
      </w:r>
      <w:r>
        <w:rPr>
          <w:rFonts w:ascii="Times New Roman" w:hAnsi="Times New Roman" w:cs="Times New Roman"/>
          <w:b/>
          <w:bCs/>
          <w:color w:val="0070c0"/>
          <w:sz w:val="21"/>
          <w:szCs w:val="21"/>
        </w:rPr>
      </w:r>
    </w:p>
    <w:p>
      <w:pPr>
        <w:contextualSpacing/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  <w:lang w:eastAsia="ru-RU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1"/>
          <w:szCs w:val="21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val="en-US" w:eastAsia="ru-RU"/>
        </w:rPr>
        <w:t xml:space="preserve">II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    Цена Контракта и порядок расчетов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  <w:t xml:space="preserve">2.1.  Расчеты между Сторонами осуществляются в рублях Российской Федерации.</w:t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  <w:t xml:space="preserve">Цена Контракта составляет __________</w:t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  <w:t xml:space="preserve">_(</w:t>
      </w:r>
      <w:r>
        <w:rPr>
          <w:rFonts w:ascii="Times New Roman" w:hAnsi="Times New Roman" w:eastAsia="Times New Roman" w:cs="Times New Roman"/>
          <w:bCs/>
          <w:i/>
          <w:color w:val="000000"/>
          <w:sz w:val="21"/>
          <w:szCs w:val="21"/>
          <w:lang w:eastAsia="ru-RU"/>
        </w:rPr>
        <w:t xml:space="preserve">указать сумму прописью</w:t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  <w:t xml:space="preserve">) рублей __ копеек, в том числе НДС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vertAlign w:val="superscript"/>
          <w:lang w:eastAsia="ru-RU"/>
        </w:rPr>
        <w:footnoteReference w:id="2"/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  <w:t xml:space="preserve"> – (__%) ______ (</w:t>
      </w:r>
      <w:r>
        <w:rPr>
          <w:rFonts w:ascii="Times New Roman" w:hAnsi="Times New Roman" w:eastAsia="Times New Roman" w:cs="Times New Roman"/>
          <w:bCs/>
          <w:i/>
          <w:color w:val="000000"/>
          <w:sz w:val="21"/>
          <w:szCs w:val="21"/>
          <w:lang w:eastAsia="ru-RU"/>
        </w:rPr>
        <w:t xml:space="preserve">указать сумму прописью</w:t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  <w:t xml:space="preserve">) рублей __ копеек.</w:t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2.2. С</w:t>
      </w:r>
      <w:r>
        <w:rPr>
          <w:rFonts w:ascii="Times New Roman" w:hAnsi="Times New Roman" w:eastAsia="Times New Roman" w:cs="Times New Roman"/>
          <w:iCs/>
          <w:sz w:val="21"/>
          <w:szCs w:val="21"/>
          <w:lang w:eastAsia="ru-RU"/>
        </w:rPr>
        <w:t xml:space="preserve">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</w:t>
      </w:r>
      <w:r>
        <w:rPr>
          <w:rFonts w:ascii="Times New Roman" w:hAnsi="Times New Roman" w:eastAsia="Times New Roman" w:cs="Times New Roman"/>
          <w:iCs/>
          <w:sz w:val="21"/>
          <w:szCs w:val="21"/>
          <w:lang w:eastAsia="ru-RU"/>
        </w:rPr>
        <w:t xml:space="preserve">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2.3. Цена </w:t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  <w:t xml:space="preserve">Контракта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включает в себя: стоимость Товара, рас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  <w:t xml:space="preserve">Контракта.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  <w:lang w:eastAsia="ru-RU"/>
        </w:rPr>
      </w:r>
    </w:p>
    <w:p>
      <w:pPr>
        <w:ind w:firstLine="567"/>
        <w:jc w:val="both"/>
        <w:spacing w:after="0" w:line="240" w:lineRule="auto"/>
        <w:tabs>
          <w:tab w:val="num" w:pos="0" w:leader="none"/>
          <w:tab w:val="left" w:pos="1260" w:leader="none"/>
        </w:tabs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Цена </w:t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  <w:t xml:space="preserve">Контракта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является твердой и определяется на весь срок исполнения </w:t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  <w:t xml:space="preserve">Контракта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 за исключением случаев,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(далее по тексту – Федеральный закон № 44-ФЗ)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и настоящим </w:t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  <w:t xml:space="preserve">Контрактом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. Цена </w:t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  <w:t xml:space="preserve">Контракта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может быть снижена по соглашению Сторон без изменения предусмотренного </w:t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  <w:t xml:space="preserve">Контрактом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количества и качества поставляемого Товара и иных условий </w:t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  <w:t xml:space="preserve">Контракта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vertAlign w:val="superscript"/>
          <w:lang w:eastAsia="ru-RU"/>
        </w:rPr>
        <w:footnoteReference w:id="3"/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color w:val="c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2.4. Источник финансирования </w:t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  <w:t xml:space="preserve">Контракта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средства федерального бюджета.</w:t>
      </w:r>
      <w:r>
        <w:rPr>
          <w:rFonts w:ascii="Times New Roman" w:hAnsi="Times New Roman" w:eastAsia="Times New Roman" w:cs="Times New Roman"/>
          <w:b/>
          <w:bCs/>
          <w:color w:val="c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c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2.5. Расчеты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между Заказчиком и Поставщиком производятся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70c0"/>
          <w:sz w:val="21"/>
          <w:szCs w:val="21"/>
          <w:lang w:eastAsia="ru-RU"/>
        </w:rPr>
        <w:t xml:space="preserve">не позднее 7 (семи) рабочих дней со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дня приемки Товара и подписания Заказчиком товарной (товарно-транспортной) накладной или универсального передаточного документа (далее по тексту – УПД).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2.6. Оплата по Контракту осуществляется по безналичному расчету путем перечисления Заказчиком денежных средств на расчетный счет Поставщика, указанный в настоящем Контракте. В случае изменения расчетного счета Поставщик обязан в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течение 1 (одного) рабочего дня с момента изменения расчетного счета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Поставщика, несет Поставщик.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2.7. Авансирование не предусмотрено.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contextualSpacing/>
        <w:jc w:val="center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III. Порядок, сроки и условия поставки и приемки Товара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70c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3.1. Поставщик самостоятельно доставляет Товар Заказчику по адресу: г. Тюмень, ул. Ленина,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br/>
        <w:t xml:space="preserve"> д. 76,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70c0"/>
          <w:sz w:val="21"/>
          <w:szCs w:val="21"/>
          <w:lang w:eastAsia="ru-RU"/>
        </w:rPr>
        <w:t xml:space="preserve">в течение 1</w:t>
      </w:r>
      <w:r>
        <w:rPr>
          <w:rFonts w:ascii="Times New Roman" w:hAnsi="Times New Roman" w:eastAsia="Times New Roman" w:cs="Times New Roman"/>
          <w:color w:val="0070c0"/>
          <w:sz w:val="21"/>
          <w:szCs w:val="21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color w:val="0070c0"/>
          <w:sz w:val="21"/>
          <w:szCs w:val="21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color w:val="0070c0"/>
          <w:sz w:val="21"/>
          <w:szCs w:val="21"/>
          <w:lang w:eastAsia="ru-RU"/>
        </w:rPr>
        <w:t xml:space="preserve">четырнадцати</w:t>
      </w:r>
      <w:r>
        <w:rPr>
          <w:rFonts w:ascii="Times New Roman" w:hAnsi="Times New Roman" w:eastAsia="Times New Roman" w:cs="Times New Roman"/>
          <w:color w:val="0070c0"/>
          <w:sz w:val="21"/>
          <w:szCs w:val="21"/>
          <w:lang w:eastAsia="ru-RU"/>
        </w:rPr>
        <w:t xml:space="preserve">) рабочих дней с момента заключения Контракта. </w:t>
      </w:r>
      <w:r>
        <w:rPr>
          <w:rFonts w:ascii="Times New Roman" w:hAnsi="Times New Roman" w:eastAsia="Times New Roman" w:cs="Times New Roman"/>
          <w:color w:val="0070c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70c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Поставщик не менее </w:t>
      </w:r>
      <w:r>
        <w:rPr>
          <w:rFonts w:ascii="Times New Roman" w:hAnsi="Times New Roman" w:eastAsia="Times New Roman" w:cs="Times New Roman"/>
          <w:color w:val="0070c0"/>
          <w:sz w:val="21"/>
          <w:szCs w:val="21"/>
          <w:lang w:eastAsia="ru-RU"/>
        </w:rPr>
        <w:t xml:space="preserve">чем за 1 (один) рабочий день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до осуществления поставки Товара направляет в адрес Заказчика уведомление о времени и дате доставки Товара в место доставки.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3.2. Приемка Товара осуществляется путем передачи Поставщиком Товара и документов</w:t>
      </w:r>
      <w:r>
        <w:rPr>
          <w:rFonts w:ascii="Times New Roman" w:hAnsi="Times New Roman" w:eastAsia="Calibri" w:cs="Times New Roma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качество Товара, товарной (товарно-транспортной) накладной с обязательным указанием страны происхождения товара, счета/счета-фактуры или УПД.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3.3. Заказчик проводит проверку соответствия наименования, количества </w:t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  <w:t xml:space="preserve">и иных характеристик поставляемого Товара,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сведениям, содержащимся в сопроводительных документах Поставщика.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1176" w:leader="none"/>
          <w:tab w:val="left" w:pos="2093" w:leader="none"/>
          <w:tab w:val="left" w:pos="3686" w:leader="none"/>
          <w:tab w:val="left" w:pos="5131" w:leader="none"/>
          <w:tab w:val="left" w:pos="7493" w:leader="none"/>
        </w:tabs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3.4. 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Для проверки поставленного Товара в части его соответствия условиям Контракта Заказчик проводит экспертизу. Экспер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тиза поставленного Товара может проводиться Заказчиком своими силами или к её проведению могут привлекаться независимые эксперты (экспертные организации) на основании контрактов, заключенных в соответствии с Федеральным законом от 5 апреля 2013 г. № 44-ФЗ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color w:val="0070c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3.5. При отсутствии у Заказчика замечаний по количеству и качеству поставленного Товара Заказчик в </w:t>
      </w:r>
      <w:r>
        <w:rPr>
          <w:rFonts w:ascii="Times New Roman" w:hAnsi="Times New Roman" w:eastAsia="Times New Roman" w:cs="Times New Roman"/>
          <w:color w:val="0070c0"/>
          <w:sz w:val="21"/>
          <w:szCs w:val="21"/>
          <w:lang w:eastAsia="ru-RU"/>
        </w:rPr>
        <w:t xml:space="preserve">течение 10 (десяти) рабочих дней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со дня получения товарной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(товарно-транспортной) накладной или УПД подписывает товарную накладную или УПД</w:t>
      </w:r>
      <w:r>
        <w:rPr>
          <w:rFonts w:ascii="Times New Roman" w:hAnsi="Times New Roman" w:eastAsia="Times New Roman" w:cs="Times New Roman"/>
          <w:color w:val="0070c0"/>
          <w:sz w:val="21"/>
          <w:szCs w:val="21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70c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70c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3.6. При выявлении несоответствий в поставленном Товаре (наименов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в срок, установленный в пункте 3.5 Контракта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, составляет мотивированный отказ с перечнем выявленных недостатков и указанием сроков их устранения и направляет его Поставщику.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3.7. Поставщик обязан устранить недостатки или заменить Товар ненадлежащего качества </w:t>
      </w:r>
      <w:r>
        <w:rPr>
          <w:rFonts w:ascii="Times New Roman" w:hAnsi="Times New Roman" w:eastAsia="Times New Roman" w:cs="Times New Roman"/>
          <w:color w:val="0070c0"/>
          <w:sz w:val="21"/>
          <w:szCs w:val="21"/>
          <w:lang w:eastAsia="ru-RU"/>
        </w:rPr>
        <w:t xml:space="preserve">в течение </w:t>
      </w:r>
      <w:r>
        <w:rPr>
          <w:rFonts w:ascii="Times New Roman" w:hAnsi="Times New Roman" w:eastAsia="Times New Roman" w:cs="Times New Roman"/>
          <w:color w:val="0070c0"/>
          <w:sz w:val="21"/>
          <w:szCs w:val="21"/>
          <w:lang w:eastAsia="ru-RU"/>
        </w:rPr>
        <w:t xml:space="preserve">10 </w:t>
      </w:r>
      <w:r>
        <w:rPr>
          <w:rFonts w:ascii="Times New Roman" w:hAnsi="Times New Roman" w:eastAsia="Times New Roman" w:cs="Times New Roman"/>
          <w:color w:val="0070c0"/>
          <w:sz w:val="21"/>
          <w:szCs w:val="21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color w:val="0070c0"/>
          <w:sz w:val="21"/>
          <w:szCs w:val="21"/>
          <w:lang w:eastAsia="ru-RU"/>
        </w:rPr>
        <w:t xml:space="preserve">десяти</w:t>
      </w:r>
      <w:r>
        <w:rPr>
          <w:rFonts w:ascii="Times New Roman" w:hAnsi="Times New Roman" w:eastAsia="Times New Roman" w:cs="Times New Roman"/>
          <w:color w:val="0070c0"/>
          <w:sz w:val="21"/>
          <w:szCs w:val="21"/>
          <w:lang w:eastAsia="ru-RU"/>
        </w:rPr>
        <w:t xml:space="preserve">) рабочих дней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 с момента получения мотивированного отказа, указанного в пункте 3.6 Контракта. Выявленные недостатки устраняются Поставщиком за его счет.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3.8. Во всех случаях, влекущих возврат Товара Поставщику, Заказчик обязан обеспечить сохранность этого Товара до моме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3.9. Претензии по скрытым дефектам могут быть заявлены Заказчиком в течение всего срока годности (срока полезного использования) Товара.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3.10.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пункте 3.5 Контракта.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3.11. 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3.12. Стороны вправе установить, что процесс по обмену юридически знач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имыми документами (счет (счет-фактура), универсальный передаточный документ (УПД), товарная (товарно-транспортная) накладная, любые иные документы) в рамках заключенного Контракта, а так же подписание указанных документов осуществляется в электронном виде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по телекоммуникационным каналам связи через оператора электронного документооборота (далее – ЭДО) АО Производственная фирма СКБ «Контур», либо через системы юридически значимого обмена электронными документами других доверенных операторов ЭДО Федеральной н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алоговой службы Российской Федерации, являющихся участниками сети обмена электронными документами оператора ЭДО АО Производственная фирма СКБ «Контур», представленными на официальном сайте https://www.diadoc.ru/roaming/working-with, с соблюдением всех поло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жений Порядка, утвержденного приказом Минфина России от 05.02.2021 № 14н «Об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Докуме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нты, подписанные усиленной квалифицированной электронной подписью, признаются равнозначными документам на бумажном носителе, подписанным собственноручной подписью и заверенным печатью организации, и могут применяться в любых правоотношениях в соответствии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br/>
        <w:t xml:space="preserve">с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3.13. Сверка расчетов по настоящему Контракту проводится между Поставщиком и Заказчиком по инициативе одной из Сторон, пут</w:t>
      </w:r>
      <w:r>
        <w:rPr>
          <w:rFonts w:ascii="Times New Roman" w:hAnsi="Times New Roman" w:cs="Times New Roman"/>
          <w:sz w:val="21"/>
          <w:szCs w:val="21"/>
        </w:rPr>
        <w:t xml:space="preserve">ем составления и подписания Сторонами Акта сверки расчетов, по форме утвержденной приказом Минфина России от 30.09.2024 № 144н «О внесении изменений в приложения № 1, 2, 4 и 5 к приказу Министерства финансов Российской Федерации от 15 апреля 2021 г. № 61н </w:t>
      </w:r>
      <w:r>
        <w:rPr>
          <w:rFonts w:ascii="Times New Roman" w:hAnsi="Times New Roman" w:cs="Times New Roman"/>
          <w:sz w:val="21"/>
          <w:szCs w:val="21"/>
        </w:rPr>
        <w:t xml:space="preserve">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№ 0510477.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Ст</w:t>
      </w:r>
      <w:r>
        <w:rPr>
          <w:rFonts w:ascii="Times New Roman" w:hAnsi="Times New Roman" w:cs="Times New Roman"/>
          <w:sz w:val="21"/>
          <w:szCs w:val="21"/>
        </w:rPr>
        <w:t xml:space="preserve">орона, инициирующая проведение сверки расчетов по настоящему Контракту, направляет другой Стороне Акт сверки взаимных расчетов в 2 (двух) экземплярах, любым доступным способом, предусмотренным настоящим Контрактом, позволяющим подтвердить получение такого.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Подписание Акта сверки расчетов осуществляется Стороной в срок не более 10 (десяти) рабочих дней со дня его получения.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В случае неполучения ответа в течение более 10 (десяти) рабочих дней после направления его Стороне, Акт сверки расчетов считается признанным (согласованным) обеими Сторонами.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jc w:val="center"/>
        <w:spacing w:after="0" w:line="240" w:lineRule="auto"/>
        <w:tabs>
          <w:tab w:val="left" w:pos="1260" w:leader="none"/>
        </w:tabs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IV.   Взаимодействие Сторон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1260" w:leader="none"/>
        </w:tabs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4.1. Поставщик обязан: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1260" w:leader="none"/>
        </w:tabs>
        <w:rPr>
          <w:rFonts w:ascii="Times New Roman" w:hAnsi="Times New Roman" w:eastAsia="Times New Roman" w:cs="Times New Roman"/>
          <w:bCs/>
          <w:color w:val="000000"/>
          <w:sz w:val="21"/>
          <w:szCs w:val="21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4.1.1. поставить Товар в порядке, количестве, в срок и на условиях, предусмотренных Контрактом и</w:t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  <w:t xml:space="preserve"> Техническим заданием;</w:t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  <w:vertAlign w:val="superscript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4.1.2. 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обеспечить соответствие поставляемо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4.1.3. обеспечить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Контрактом;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4.1.4. 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в случае принятия решения об одностороннем отказе от исполнения насто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ящего Контракта не позднее чем в течение 3 (трех)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Заказчика, указанному в настоящем Контракте,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 подтверждения о его вручении Заказчику;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4.1.5.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предоставля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ть Заказчику по его требованию документы, относящиеся к предмету настоящего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Контракта.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4.2. Поставщик вправе: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1260" w:leader="none"/>
        </w:tabs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4.2.1. требовать от Заказчика произвести приемку Товара в порядке и в сроки, предусмотренные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Контрактом;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1260" w:leader="none"/>
        </w:tabs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4.2.2. 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требовать своевременной оплаты на условиях, установленных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Контрактом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, надлежащим образом поставленного и принятого Заказчиком Товара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1260" w:leader="none"/>
        </w:tabs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4.2.3. принять решение об одностороннем отказе от исполнения Контракта в соответствии с действующим законодательством Российской Федерации;</w:t>
      </w:r>
      <w:r>
        <w:rPr>
          <w:rFonts w:ascii="Times New Roman" w:hAnsi="Times New Roman" w:eastAsia="Times New Roman" w:cs="Times New Roman"/>
          <w:sz w:val="21"/>
          <w:szCs w:val="21"/>
          <w:vertAlign w:val="superscript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4.2.4. требовать возмещения убытков, уплаты неустоек (штрафов, пеней) в соответствии с разделом </w:t>
      </w:r>
      <w:r>
        <w:rPr>
          <w:rFonts w:ascii="Times New Roman" w:hAnsi="Times New Roman" w:eastAsia="Times New Roman" w:cs="Times New Roman"/>
          <w:sz w:val="21"/>
          <w:szCs w:val="21"/>
          <w:lang w:val="en-US" w:eastAsia="ru-RU"/>
        </w:rPr>
        <w:t xml:space="preserve">VI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Контракта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4.2.5. </w:t>
      </w:r>
      <w:r>
        <w:rPr>
          <w:rFonts w:ascii="Times New Roman" w:hAnsi="Times New Roman" w:cs="Times New Roman"/>
          <w:sz w:val="21"/>
          <w:szCs w:val="21"/>
        </w:rPr>
        <w:t xml:space="preserve">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которых являются улучшенными по сравн</w:t>
      </w:r>
      <w:r>
        <w:rPr>
          <w:rFonts w:ascii="Times New Roman" w:hAnsi="Times New Roman" w:cs="Times New Roman"/>
          <w:sz w:val="21"/>
          <w:szCs w:val="21"/>
        </w:rPr>
        <w:t xml:space="preserve">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нормативными правовыми актами, принятыми в соответствии со статьей 14 Федерального закона № 44-ФЗ). 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1260" w:leader="none"/>
        </w:tabs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4.3. Заказчик обязуется: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4.3.1.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 </w:t>
      </w:r>
      <w:r>
        <w:rPr>
          <w:rFonts w:ascii="Times New Roman" w:hAnsi="Times New Roman" w:eastAsia="Calibri" w:cs="Times New Roman"/>
          <w:color w:val="000000"/>
          <w:sz w:val="21"/>
          <w:szCs w:val="21"/>
        </w:rPr>
        <w:t xml:space="preserve">обеспечить своевременную приемку и оплату поставленного Товара надлежащего качества в порядке и сроки,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 предусмотренные Контрактом;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4.3.2.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в случае принятия решения об одностороннем отказе от исполнения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Контракта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не позднее чем в течение 3 (трех) рабочих дней с даты принятия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указанного решения направить Поставщику уведомление о принятом решении по почте заказным письмом с уведомлением о вручении по адресу Поставщика, указанному в настоящем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Контракте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</w:t>
      </w:r>
      <w:r>
        <w:rPr>
          <w:rFonts w:ascii="Times New Roman" w:hAnsi="Times New Roman" w:eastAsia="Calibri" w:cs="Times New Roman"/>
          <w:color w:val="000000"/>
          <w:sz w:val="21"/>
          <w:szCs w:val="21"/>
        </w:rPr>
        <w:t xml:space="preserve">;</w:t>
      </w:r>
      <w:r>
        <w:rPr>
          <w:rFonts w:ascii="Times New Roman" w:hAnsi="Times New Roman" w:eastAsia="Calibri" w:cs="Times New Roman"/>
          <w:color w:val="000000"/>
          <w:sz w:val="21"/>
          <w:szCs w:val="21"/>
        </w:rPr>
      </w:r>
      <w:r>
        <w:rPr>
          <w:rFonts w:ascii="Times New Roman" w:hAnsi="Times New Roman" w:eastAsia="Calibri" w:cs="Times New Roman"/>
          <w:color w:val="000000"/>
          <w:sz w:val="21"/>
          <w:szCs w:val="21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1"/>
          <w:szCs w:val="21"/>
        </w:rPr>
        <w:t xml:space="preserve">4.3.3.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требовать уплаты неустоек (штрафов, пеней) в соответствии с разделом </w:t>
      </w:r>
      <w:r>
        <w:rPr>
          <w:rFonts w:ascii="Times New Roman" w:hAnsi="Times New Roman" w:eastAsia="Times New Roman" w:cs="Times New Roman"/>
          <w:sz w:val="21"/>
          <w:szCs w:val="21"/>
          <w:lang w:val="en-US" w:eastAsia="ru-RU"/>
        </w:rPr>
        <w:t xml:space="preserve">VI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Контракта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4.3.4. провести экспертизу поставленного Товара для проверки его соответствия условиям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Контракта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1260" w:leader="none"/>
        </w:tabs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4.4. Заказчик вправе: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1260" w:leader="none"/>
        </w:tabs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4.4.1. требовать от Поставщика надлежащего исполнения обязательств по Контракту;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1260" w:leader="none"/>
        </w:tabs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4.4.2.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требовать от Поставщика своевременного устранения недостатков, выявленных как в ходе приемки, так и в течение гарантийного периода;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4.4.3.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проверять ход и качество выполнения Поставщиком условий настоящего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Контракта без вмешательства в оперативно-хозяйственную деятельность Поставщика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4.4.4.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требовать возмещения убытков в соответствии с разделом </w:t>
      </w:r>
      <w:r>
        <w:rPr>
          <w:rFonts w:ascii="Times New Roman" w:hAnsi="Times New Roman" w:eastAsia="Times New Roman" w:cs="Times New Roman"/>
          <w:sz w:val="21"/>
          <w:szCs w:val="21"/>
          <w:lang w:val="en-US" w:eastAsia="ru-RU"/>
        </w:rPr>
        <w:t xml:space="preserve">VI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Контракта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, причиненных по вине Поставщика;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4.4.5.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предложить увеличить или уменьшить в процессе исполнения настоящего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Контракта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количество Товара, предусмотренного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Контрактом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, не более чем на десять процентов в порядке и на условиях,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нужд»;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1260" w:leader="none"/>
        </w:tabs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4.4.6. отказаться от приемки и оплаты Товара, не соответствующего условиям Контракта;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4.4.7. принять решение об одностороннем отказе от исполнения Контракта в соответствии с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действующим законодательством Российской Федерации, для одностороннего отк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аза от исполнения отдельных видов обязательств в порядке и сроки, определенные статьей 95 Федерального закона № 44-ФЗ «О контрактной системе в сфере закупок товаров, работ, услуг для обеспечения государственных и муниципальных нужд», в том числе в случаях: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-нарушения Поставщиком установленных Контрактом сроков поставки Товара;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-несоблюдения Поставщиком требований к Товару, установленных условиями Контракта, Техническим заданием;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-неустранения Поставщиком в согласованные сроки выявленных недостатков товара;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-в случае уменьшения (в том числе до нуля) объема средств Федерального бюджета, выделенных для финансирования Контракта;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-в иных случаях, предусмотренных действующим законодательством Российской Федерации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vertAlign w:val="superscript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4.4.8. до принятия решения об одностороннем отказе от исполнения Контракта провести экспертизу пост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авленного Товара с привлечением экспертов, экспертных организаций, выбор которых осуществляется в соответствии с Федеральным законом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contextualSpacing/>
        <w:jc w:val="center"/>
        <w:spacing w:after="0" w:line="240" w:lineRule="auto"/>
        <w:tabs>
          <w:tab w:val="left" w:pos="1260" w:leader="none"/>
        </w:tabs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V.    Качество Товара и гарантийные обязательства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5.1. Поставщик гарантирует, что поставляемый Товар является но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Контрактом.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На Товаре не должно быть механических повреждений.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numPr>
          <w:ilvl w:val="1"/>
          <w:numId w:val="2"/>
        </w:numPr>
        <w:contextualSpacing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 Товар должен быть упакован и замаркирован в соответствии с действующими стандартами.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1260" w:leader="none"/>
        </w:tabs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Поставщик поставляет Товар в у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1260" w:leader="none"/>
        </w:tabs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5.4. Гарантийный срок на поставляемый Товар составляет </w:t>
      </w:r>
      <w:r>
        <w:rPr>
          <w:rFonts w:ascii="Times New Roman" w:hAnsi="Times New Roman" w:eastAsia="Times New Roman" w:cs="Times New Roman"/>
          <w:color w:val="0070c0"/>
          <w:sz w:val="21"/>
          <w:szCs w:val="21"/>
          <w:lang w:eastAsia="ru-RU"/>
        </w:rPr>
        <w:t xml:space="preserve">не менее </w:t>
      </w:r>
      <w:r>
        <w:rPr>
          <w:rFonts w:ascii="Times New Roman" w:hAnsi="Times New Roman" w:eastAsia="Times New Roman" w:cs="Times New Roman"/>
          <w:color w:val="0070c0"/>
          <w:sz w:val="21"/>
          <w:szCs w:val="21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color w:val="0070c0"/>
          <w:sz w:val="21"/>
          <w:szCs w:val="21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color w:val="0070c0"/>
          <w:sz w:val="21"/>
          <w:szCs w:val="21"/>
          <w:lang w:eastAsia="ru-RU"/>
        </w:rPr>
        <w:t xml:space="preserve">шести</w:t>
      </w:r>
      <w:r>
        <w:rPr>
          <w:rFonts w:ascii="Times New Roman" w:hAnsi="Times New Roman" w:eastAsia="Times New Roman" w:cs="Times New Roman"/>
          <w:color w:val="0070c0"/>
          <w:sz w:val="21"/>
          <w:szCs w:val="21"/>
          <w:lang w:eastAsia="ru-RU"/>
        </w:rPr>
        <w:t xml:space="preserve">) месяцев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и исчисляется с момента подписания Сторонами документов, указанных в пункте 3.2 Контракта.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1260" w:leader="none"/>
        </w:tabs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Гарантия качества Товара должна распространяться на все составляющие и комплектующие его части. Предоставление гарантии осуществляется вместе с поставкой Товара. 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1260" w:leader="none"/>
        </w:tabs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Гарантийный срок на Товар должен соответствовать гарантийным требованиям, предъявляемым к такого вида товарам.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1260" w:leader="none"/>
        </w:tabs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В период действия гарантийного срока Поставщиком осуществляется гарантийное обслуживание Товара без дополнительной оплаты со стороны Заказчика.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1260" w:leader="none"/>
        </w:tabs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5.5. При обнаружении дефектов Товара в период гарантийного срока, возникших по независящим от Заказчика причинам, Пост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авщик обязан за свой счет устранить дефекты либо заменить Товар ненадлежащего качества новым, в срок 5 рабочих дней с момента получения письменного уведомления от Заказчика (в том числе посредством факсимильной связи с последующим направлением оригинала).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1260" w:leader="none"/>
        </w:tabs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В случае замены или ремон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та какой-либо части Товара, на такую замененную или отремонтированную часть Товара Поставщик предоставляет гарантию. Срок гарантии при этом устанавливается Поставщиком или производителем детали Товара, но не менее срока, указанного в пункте 5.4 Контракта.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1260" w:leader="none"/>
        </w:tabs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Все сопутствующие гарантийному обслуживанию мероприятия (доставка, погрузка, разгрузка) осуществляются силами и за счет Поставщика.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1260" w:leader="none"/>
        </w:tabs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jc w:val="center"/>
        <w:spacing w:after="0" w:line="240" w:lineRule="auto"/>
        <w:tabs>
          <w:tab w:val="left" w:pos="1260" w:leader="none"/>
        </w:tabs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VI. Ответственность Сторон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6.1. 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6.2. В случае полного (частичного) неисполнения условий настоящего Контракта одной из Сторон эта Сторона обязана возместить другой Стороне причиненные убытки в части не покрытой неустойкой.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6.3. В случае просрочки исполнения Поставщиком обязательств, предусмотренных на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стоящим Контрактом, Поставщик уплачивает Заказчику пени. Пеня начисляется за каждый день просрочки исполнения Поставщиком обязательства, предусмотренного настоящим Контрактом, начиная со дня, следующего после дня истечения установленного настоящим Контракт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ом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Контрактом  и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 фактически исполненных Поставщиком.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6.4. За каждый факт неиспо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лнения или ненадлежащего исполнения Поставщиком обязательств, предусмотренных Контрактом, за исключением просрочки Поставщиком обязательств (в том числе гарантийного обязательства), предусмотренных Контрактом, Поставщик уплачивает Заказчику штраф. Размер ш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трафа устанавливается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 г. № 1042 (далее по тексту – Правила) и равен 10 % цены Контракта.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За каждый факт неисполнения или ненадлежащего исполнения Поставщиком обязательств, предусмотренных Контрактом, заключенным по результатам определения поставщика (подрядчика, исполнителя) в соответствии с пунктом 1 части 1 статьи 30 Федерального закона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 № 44-ФЗ,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 в размере 1 процента цены Контракта (этапа), но не более 5 тыс. рублей и не менее 1 тыс. рублей.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6.5. За каждый факт неисполнения или ненадлежащего исполнения Поставщиком обязательств, предусмотренных Контрактом, за исключением просрочки Поставщиком обязательств (в том числе гарантийного обязательства), пре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дусмотренных Контрактом, Поставщик уплачивает Заказчику штраф. Размер штрафа устанавливается в соответствии с Правилами и равен в случае, если цена Контракта не превышает начальную (максимальную) цену Контракта: 10% начальной (максимальной) цены Контракта.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6.6. За каждый факт неисполнения или ненадлежащего исполнен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 1000 рублей, если цена Контракта не превышает 3 млн. рублей.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6.7. В случае просрочки исполнения обязательств Заказчиком, предусмотренных настоящим Контрактом, Поставщик вправе потребовать уплату пени в размере одной трехсотой действующей на дату уплаты пеней ключевой ставки Центрального бан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ка Российской Федерации от не уплаченной в срок суммы.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6.8. За каждый факт неисполнения Заказчиком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обязательств, предусмотренных Контрактом, за исключением просрочки исполнения обязательств, предусмотренных Контрактом, Поставщик вправе потребовать уплату штрафа. Размер штрафа устанавливается в соответствии с Правилами и равен 1000 (Одна тысяча) рублей.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6.9. Применение неустойки (штрафа, пени) не освобождает Стороны от исполнения обязательств по настоящему Контракту.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6.10. Общая сумма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6.11. Общая сумма штрафов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6.12. В случае расторжения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Контракта  в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 связи с односторонним отказом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6.13. Заказчик не несет ответственность за несвоевременную оплату Товара, связанную с несвоевременными поступлениями денежных средств из бюджета.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6.14. За нарушение требований антимоноп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ольного законодательства Российской Федерации о запрете участия в ограничивающих конкуренцию соглашениях, осуществления ограничивающих конкуренцию согласованных действий предусмотрена ответственность в соответствии с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6.15. Ответственность Сторон в иных случаях определяется в соответствии с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contextualSpacing/>
        <w:jc w:val="center"/>
        <w:spacing w:after="0" w:line="240" w:lineRule="auto"/>
        <w:tabs>
          <w:tab w:val="left" w:pos="1260" w:leader="none"/>
        </w:tabs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VII. Обстоятельства непреодолимой силы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7.1. Стороны освобождаются от ответственности за частичное или полное неисполнение обязательств по Контракту, если это неисполнение явилось следствием обстоятельств непреодолимой силы (форс-мажор).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7.2. О наступлении форс-мажорных обстоятельств, а также о предполагаемом сроке их действия Сторона, для которой они наступили, извещает в письменной форме другую Сторону с приложением до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кументов, удостоверяющих факт наступления указанных обстоятельств, не позднее 3 (трех) рабочих дней с момента их наступления. Сроки исполнения обязательств переносятся пропорционально действию форс-мажорных обстоятельств, но не более чем на 2 (два) месяца.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7.3. Не извеще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ние или несвоевременное извещение о наступлении таких обстоятельств лишает права любую из Сторон ссылаться на эти обстоятельства как на основание, освобождающее ее от ответственности за несвоевременное исполнение обязательств по отношению к другой Стороне.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7.4. 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7.5. В случае возникновения обстоятельств непреодолимой силы Стороны вправе расторгнуть настоящий Контракт, и в этом случае ни одна из Сторон не вправе требовать возмещения убытков.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  <w:t xml:space="preserve">VIII. Рассмотрение и разрешение споров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8.1. Все споры и разногласия, возникшие в связи с исполнением Контракта, его изменением, расто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ржением или признанием недействительным, Стороны будут стремиться решить путем переговоров, а достигнутые договоренности оформлять в виде дополнительных соглашений, протоколов или иных документов, подписанных Сторонами и скрепленных печатями (при наличии).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8.2. Претензионный порядок урегулирования спора между Сторонами обязателен. Претензия оформляется в письменной форме. В претензии перечисляются доп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Срок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 рассмотрения претензии не может превышать 10 (десять) рабочих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8.3.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 В случае если ответ по существу претензии не будет дан Стороной, получившей претензию, в указанный в пункте 8.2. Контракта срок, претензионный порядок урегулирования спора считается соблюденным.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8.4. При невозможности разрешения спора путем переговоров и в претензионном порядке любая из Сторон вправе передать спор на рассмотрение в Арбитражный суд Тюменской области.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IX. Срок действия и порядок расторжения Контракта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9.1. Настоящий Контракт вступает в силу с момента его подписания обеими Сторонами и действует </w:t>
      </w:r>
      <w:r>
        <w:rPr>
          <w:rFonts w:ascii="Times New Roman" w:hAnsi="Times New Roman" w:eastAsia="Times New Roman" w:cs="Times New Roman"/>
          <w:b/>
          <w:color w:val="0070c0"/>
          <w:sz w:val="21"/>
          <w:szCs w:val="21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b/>
          <w:color w:val="0070c0"/>
          <w:sz w:val="21"/>
          <w:szCs w:val="21"/>
          <w:lang w:eastAsia="ru-RU"/>
        </w:rPr>
        <w:t xml:space="preserve">31</w:t>
      </w:r>
      <w:r>
        <w:rPr>
          <w:rFonts w:ascii="Times New Roman" w:hAnsi="Times New Roman" w:eastAsia="Times New Roman" w:cs="Times New Roman"/>
          <w:b/>
          <w:color w:val="0070c0"/>
          <w:sz w:val="21"/>
          <w:szCs w:val="2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70c0"/>
          <w:sz w:val="21"/>
          <w:szCs w:val="21"/>
          <w:lang w:eastAsia="ru-RU"/>
        </w:rPr>
        <w:t xml:space="preserve">августа</w:t>
      </w:r>
      <w:r>
        <w:rPr>
          <w:rFonts w:ascii="Times New Roman" w:hAnsi="Times New Roman" w:eastAsia="Times New Roman" w:cs="Times New Roman"/>
          <w:b/>
          <w:color w:val="0070c0"/>
          <w:sz w:val="21"/>
          <w:szCs w:val="21"/>
          <w:lang w:eastAsia="ru-RU"/>
        </w:rPr>
        <w:t xml:space="preserve"> 2026 года</w:t>
      </w:r>
      <w:r>
        <w:rPr>
          <w:rFonts w:ascii="Times New Roman" w:hAnsi="Times New Roman" w:eastAsia="Times New Roman" w:cs="Times New Roman"/>
          <w:color w:val="0070c0"/>
          <w:sz w:val="21"/>
          <w:szCs w:val="21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Окончание срока действия Контракта не влечет прекращения неисполненных обязательств Сторон по Контракту.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9.2. Расторжение Контракта допускается по соглашению Сторон, по решению суда, в случае одностороннего отк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аза Стороны Контракта от исполнения Контракта в соответствии с действующим законодательством Российской Федерации. При этом факт подписания Сторонами соглашения о расторжении Контракта не освобождает Стороны от обязанности урегулирования взаимных расчетов.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9.3. 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contextualSpacing/>
        <w:jc w:val="center"/>
        <w:spacing w:after="0" w:line="240" w:lineRule="auto"/>
        <w:tabs>
          <w:tab w:val="left" w:pos="5103" w:leader="none"/>
        </w:tabs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X. Прочие положения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1260" w:leader="none"/>
        </w:tabs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10.1. Во всем, что не предусмотрено Контрактом, Стороны руководствуются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10.2. 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В случае изменения у какой-либо из Сторон местонахождения, названия, а также в случае реорганизации она обязана в течение 10 (десяти) дней письменно известить об этом другую Сторону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1260" w:leader="none"/>
        </w:tabs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10.3. Изменение существенных условий Контракта при его исполнении не допускается, за исключением их изменения по соглашению Стор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он в случаях и порядке, предусмотренных статьей 95 Федерального закона № 44-ФЗ «О контрактной системе в сфере закупок товаров, работ, услуг для обеспечения государственных и муниципальных нужд» и пункта 6 статьи 161 Бюджетного кодекса Российской Федерации.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1260" w:leader="none"/>
        </w:tabs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10.4. Изменение настоящего Контракта возможно по соглашению Сторон, а также по требованию одной из Сторон судом, если иное не установлено законодательством Российской Федерации. Изменения и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дополнения по основаниям, предусмотренным Контрактом, вносятся по соглашению Сторон, которые оформляются соответствующим Соглашением и является неотъемлемой частью Контракта.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1260" w:leader="none"/>
        </w:tabs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10.5. 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Поставщик соответствует требованиям, установленным статьей 31 Федерального закона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br/>
        <w:t xml:space="preserve"> № 44-ФЗ.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1260" w:leader="none"/>
        </w:tabs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10.6. Поставщик не вправе пе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редавать свои права и обязанности или их часть по настоящему Контракту третьему лицу без письменного согласия Заказчика, за исключением правопреемника Поставщика вследствие реорганизации юридического лица в форме преобразования, слияния или присоединения.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1260" w:leader="none"/>
        </w:tabs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Контракту.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1260" w:leader="none"/>
        </w:tabs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10.7. 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1260" w:leader="none"/>
        </w:tabs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  <w:t xml:space="preserve">10.8. Все приложения к Контракту являются неотъемлемой его частью.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1260" w:leader="none"/>
        </w:tabs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1260" w:leader="none"/>
        </w:tabs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1260" w:leader="none"/>
        </w:tabs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1260" w:leader="none"/>
        </w:tabs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1260" w:leader="none"/>
        </w:tabs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1260" w:leader="none"/>
        </w:tabs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r>
    </w:p>
    <w:p>
      <w:pPr>
        <w:pStyle w:val="918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18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18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18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18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18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18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18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18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18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18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18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18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18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18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18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18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18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18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18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18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18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18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18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18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18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18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18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18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18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18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18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18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18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18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18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18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18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18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18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18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18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8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Приложение № 2 к Электронной версии Контракта 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18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от «__</w:t>
      </w:r>
      <w:r>
        <w:rPr>
          <w:rFonts w:ascii="Times New Roman" w:hAnsi="Times New Roman" w:cs="Times New Roman"/>
          <w:bCs/>
          <w:sz w:val="22"/>
          <w:szCs w:val="22"/>
        </w:rPr>
        <w:t xml:space="preserve">_»_</w:t>
      </w:r>
      <w:r>
        <w:rPr>
          <w:rFonts w:ascii="Times New Roman" w:hAnsi="Times New Roman" w:cs="Times New Roman"/>
          <w:bCs/>
          <w:sz w:val="22"/>
          <w:szCs w:val="22"/>
        </w:rPr>
        <w:t xml:space="preserve">_________ 2026 г. №_________________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918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5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ТЕХНИЧЕСКОЕ ЗАДАНИЕ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57"/>
        <w:numPr>
          <w:ilvl w:val="0"/>
          <w:numId w:val="7"/>
        </w:numPr>
        <w:ind w:left="-142" w:firstLine="709"/>
        <w:jc w:val="both"/>
        <w:spacing w:after="0" w:line="240" w:lineRule="auto"/>
        <w:tabs>
          <w:tab w:val="left" w:pos="284" w:leader="none"/>
          <w:tab w:val="left" w:pos="851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Наименование Заказчика: </w:t>
      </w:r>
      <w:r>
        <w:rPr>
          <w:rFonts w:ascii="Times New Roman" w:hAnsi="Times New Roman" w:cs="Times New Roman"/>
        </w:rPr>
        <w:t xml:space="preserve">Управление Федеральной службы государственной статистики по Тюменской области, Ханты-Мансийскому автономному округу – Югре и Ямало-Ненецкому автономному округу (Тюменьстат), Российская Федерация, 625000, г. Тюмень, ул. Ленина, д.76.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757"/>
        <w:numPr>
          <w:ilvl w:val="0"/>
          <w:numId w:val="7"/>
        </w:numPr>
        <w:ind w:left="-142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Наименование объекта закупки: </w:t>
      </w:r>
      <w:r>
        <w:rPr>
          <w:rFonts w:ascii="Times New Roman" w:hAnsi="Times New Roman" w:cs="Times New Roman"/>
        </w:rPr>
        <w:t xml:space="preserve">Поставка </w:t>
      </w:r>
      <w:r>
        <w:rPr>
          <w:rFonts w:ascii="Times New Roman" w:hAnsi="Times New Roman" w:cs="Times New Roman"/>
          <w:color w:val="000000"/>
        </w:rPr>
        <w:t xml:space="preserve">кабеля управления для серверного оборудования в сфере ИКТ.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7"/>
        </w:numPr>
        <w:ind w:left="284" w:firstLine="283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b/>
        </w:rPr>
        <w:t xml:space="preserve">Единицы измерения: </w:t>
      </w:r>
      <w:r>
        <w:rPr>
          <w:rFonts w:ascii="Times New Roman" w:hAnsi="Times New Roman" w:eastAsia="Calibri" w:cs="Times New Roman"/>
        </w:rPr>
        <w:t xml:space="preserve">Штука.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7"/>
        </w:numPr>
        <w:ind w:left="284" w:firstLine="283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Код ОКПД2:</w:t>
      </w:r>
      <w:r>
        <w:rPr>
          <w:rFonts w:ascii="Times New Roman" w:hAnsi="Times New Roman" w:eastAsia="PT Astra Serif" w:cs="Times New Roman"/>
        </w:rPr>
        <w:t xml:space="preserve"> 27.32.13.141 Кабели управления.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7"/>
        </w:numPr>
        <w:ind w:left="284" w:firstLine="283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PT Astra Serif" w:cs="Times New Roman"/>
          <w:b/>
        </w:rPr>
        <w:t xml:space="preserve">Код КТРУ: </w:t>
      </w:r>
      <w:r>
        <w:rPr>
          <w:rFonts w:ascii="Times New Roman" w:hAnsi="Times New Roman" w:eastAsia="PT Astra Serif" w:cs="Times New Roman"/>
        </w:rPr>
        <w:t xml:space="preserve">Отсутствует.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7"/>
        <w:numPr>
          <w:ilvl w:val="0"/>
          <w:numId w:val="7"/>
        </w:numPr>
        <w:ind w:left="0" w:firstLine="567"/>
        <w:jc w:val="both"/>
        <w:spacing w:after="0" w:line="240" w:lineRule="auto"/>
        <w:tabs>
          <w:tab w:val="left" w:pos="284" w:leader="none"/>
          <w:tab w:val="left" w:pos="85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Общие требования к поставке Товара: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-142" w:firstLine="709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6.1</w:t>
      </w:r>
      <w:r>
        <w:rPr>
          <w:rFonts w:ascii="Times New Roman" w:hAnsi="Times New Roman" w:cs="Times New Roman"/>
        </w:rPr>
        <w:t xml:space="preserve">. </w:t>
      </w:r>
      <w:r>
        <w:rPr>
          <w:rFonts w:ascii="Times New Roman" w:hAnsi="Times New Roman" w:cs="Times New Roman"/>
          <w:color w:val="000000"/>
        </w:rPr>
        <w:t xml:space="preserve">Поставка комплектующих для серверного оборудования (далее - Товар), включая погрузочно-разгрузочные работы, осуществляется   силами и за счет средств Исполнителя. </w:t>
      </w:r>
      <w:r>
        <w:rPr>
          <w:rFonts w:ascii="Times New Roman" w:hAnsi="Times New Roman" w:cs="Times New Roman"/>
          <w:highlight w:val="yellow"/>
        </w:rPr>
      </w:r>
      <w:r>
        <w:rPr>
          <w:rFonts w:ascii="Times New Roman" w:hAnsi="Times New Roman" w:cs="Times New Roman"/>
          <w:highlight w:val="yellow"/>
        </w:rPr>
      </w:r>
    </w:p>
    <w:p>
      <w:pPr>
        <w:pStyle w:val="919"/>
        <w:ind w:left="360" w:firstLine="207"/>
        <w:jc w:val="both"/>
        <w:tabs>
          <w:tab w:val="left" w:pos="567" w:leader="none"/>
          <w:tab w:val="left" w:pos="851" w:leader="none"/>
          <w:tab w:val="left" w:pos="1134" w:leader="none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 Треб</w:t>
      </w:r>
      <w:r>
        <w:rPr>
          <w:b/>
          <w:sz w:val="22"/>
          <w:szCs w:val="22"/>
        </w:rPr>
        <w:t xml:space="preserve">ования к Товару: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9"/>
        <w:ind w:left="360" w:firstLine="207"/>
        <w:jc w:val="both"/>
        <w:tabs>
          <w:tab w:val="left" w:pos="567" w:leader="none"/>
          <w:tab w:val="left" w:pos="851" w:leader="none"/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7.1</w:t>
      </w:r>
      <w:r>
        <w:rPr>
          <w:sz w:val="22"/>
          <w:szCs w:val="22"/>
        </w:rPr>
        <w:t xml:space="preserve">. </w:t>
      </w:r>
      <w:r>
        <w:rPr>
          <w:sz w:val="22"/>
          <w:szCs w:val="22"/>
        </w:rPr>
        <w:t xml:space="preserve">Исполнитель поставляет Товар, в количестве и с характеристиками, не ухудшенными указанным в Таблице 1.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Таблица 1.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Наименование, характеристики и количество Товара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1003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3402"/>
        <w:gridCol w:w="993"/>
        <w:gridCol w:w="849"/>
        <w:gridCol w:w="850"/>
        <w:gridCol w:w="851"/>
        <w:gridCol w:w="17"/>
        <w:gridCol w:w="788"/>
        <w:gridCol w:w="17"/>
      </w:tblGrid>
      <w:tr>
        <w:trPr>
          <w:cantSplit/>
          <w:gridAfter w:val="1"/>
          <w:trHeight w:val="1788"/>
        </w:trPr>
        <w:tc>
          <w:tcPr>
            <w:tcW w:w="56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№ п/п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Наименование  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Товара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3402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Функциональные, технические, качественные, эксплуатационные характеристики Товара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993" w:type="dxa"/>
            <w:textDirection w:val="btLr"/>
            <w:noWrap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Страна происхождения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849" w:type="dxa"/>
            <w:textDirection w:val="btLr"/>
            <w:noWrap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Ед</w:t>
            </w:r>
            <w:r>
              <w:rPr>
                <w:rFonts w:ascii="Times New Roman" w:hAnsi="Times New Roman" w:cs="Times New Roman"/>
                <w:bCs/>
              </w:rPr>
              <w:t xml:space="preserve">иница измерения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850" w:type="dxa"/>
            <w:textDirection w:val="btLr"/>
            <w:noWrap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Кол</w:t>
            </w:r>
            <w:r>
              <w:rPr>
                <w:rFonts w:ascii="Times New Roman" w:hAnsi="Times New Roman" w:cs="Times New Roman"/>
                <w:bCs/>
              </w:rPr>
              <w:t xml:space="preserve">ичество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851" w:type="dxa"/>
            <w:textDirection w:val="btLr"/>
            <w:noWrap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Цена за ед</w:t>
            </w:r>
            <w:r>
              <w:rPr>
                <w:rFonts w:ascii="Times New Roman" w:hAnsi="Times New Roman" w:cs="Times New Roman"/>
                <w:bCs/>
              </w:rPr>
              <w:t xml:space="preserve">иницу, </w:t>
            </w:r>
            <w:r>
              <w:rPr>
                <w:rFonts w:ascii="Times New Roman" w:hAnsi="Times New Roman" w:cs="Times New Roman"/>
                <w:bCs/>
              </w:rPr>
              <w:t xml:space="preserve">руб.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gridSpan w:val="2"/>
            <w:tcW w:w="805" w:type="dxa"/>
            <w:textDirection w:val="btLr"/>
            <w:noWrap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Стоимость итого, руб.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rPr>
          <w:cantSplit/>
          <w:gridAfter w:val="1"/>
          <w:trHeight w:val="409"/>
        </w:trPr>
        <w:tc>
          <w:tcPr>
            <w:tcW w:w="568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vMerge w:val="restart"/>
            <w:textDirection w:val="lrTb"/>
            <w:noWrap/>
          </w:tcPr>
          <w:p>
            <w:pPr>
              <w:pStyle w:val="720"/>
              <w:spacing w:before="0" w:after="300"/>
              <w:shd w:val="clear" w:color="auto" w:fill="ffffff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pStyle w:val="720"/>
              <w:spacing w:before="0" w:after="300"/>
              <w:shd w:val="clear" w:color="auto" w:fill="ffffff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pStyle w:val="720"/>
              <w:spacing w:before="0" w:after="300"/>
              <w:shd w:val="clear" w:color="auto" w:fill="ffffff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pStyle w:val="720"/>
              <w:spacing w:before="0" w:after="300"/>
              <w:shd w:val="clear" w:color="auto" w:fill="ffffff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pStyle w:val="720"/>
              <w:spacing w:before="0" w:after="300"/>
              <w:shd w:val="clear" w:color="auto" w:fill="ffffff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DAC кабель QSFP+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jc w:val="center"/>
              <w:shd w:val="clear" w:color="auto" w:fill="ffffff"/>
              <w:rPr>
                <w:rFonts w:ascii="Times New Roman" w:hAnsi="Times New Roman" w:eastAsia="Calibri" w:cs="Times New Roman"/>
              </w:rPr>
              <w:outlineLvl w:val="0"/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  <w:p>
            <w:pPr>
              <w:jc w:val="center"/>
              <w:shd w:val="clear" w:color="auto" w:fill="ffffff"/>
              <w:rPr>
                <w:rFonts w:ascii="Times New Roman" w:hAnsi="Times New Roman" w:cs="Times New Roman"/>
                <w:b/>
              </w:rPr>
              <w:outlineLvl w:val="0"/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402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Минимальные и (или) максимальные показатели: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Не устанавливаются.</w:t>
            </w: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4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805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gridAfter w:val="1"/>
          <w:trHeight w:val="1505"/>
        </w:trPr>
        <w:tc>
          <w:tcPr>
            <w:tcW w:w="568" w:type="dxa"/>
            <w:vAlign w:val="center"/>
            <w:vMerge w:val="continue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402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Показатели, которые не изменяются: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spacing w:after="0" w:line="36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Тип – Direct </w:t>
            </w:r>
            <w:r>
              <w:rPr>
                <w:rFonts w:ascii="Times New Roman" w:hAnsi="Times New Roman" w:eastAsia="Calibri" w:cs="Times New Roman"/>
              </w:rPr>
              <w:t xml:space="preserve">Attach</w:t>
            </w:r>
            <w:r>
              <w:rPr>
                <w:rFonts w:ascii="Times New Roman" w:hAnsi="Times New Roman" w:eastAsia="Calibri" w:cs="Times New Roman"/>
              </w:rPr>
              <w:t xml:space="preserve"> </w:t>
            </w:r>
            <w:r>
              <w:rPr>
                <w:rFonts w:ascii="Times New Roman" w:hAnsi="Times New Roman" w:eastAsia="Calibri" w:cs="Times New Roman"/>
              </w:rPr>
              <w:t xml:space="preserve">Copper</w:t>
            </w:r>
            <w:r>
              <w:rPr>
                <w:rFonts w:ascii="Times New Roman" w:hAnsi="Times New Roman" w:eastAsia="Calibri" w:cs="Times New Roman"/>
              </w:rPr>
              <w:t xml:space="preserve"> Cable;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  <w:p>
            <w:pPr>
              <w:spacing w:after="0" w:line="36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Форм-фактор - QSFP+;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  <w:p>
            <w:pPr>
              <w:spacing w:after="0" w:line="36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Скорость передачи - 40 Гбит/с;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  <w:p>
            <w:pPr>
              <w:spacing w:after="0" w:line="36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Длина кабеля - 1 м;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993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49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0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1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805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gridAfter w:val="1"/>
          <w:trHeight w:val="701"/>
        </w:trPr>
        <w:tc>
          <w:tcPr>
            <w:tcBorders>
              <w:bottom w:val="single" w:color="auto" w:sz="4" w:space="0"/>
            </w:tcBorders>
            <w:tcW w:w="568" w:type="dxa"/>
            <w:vAlign w:val="center"/>
            <w:vMerge w:val="continue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auto" w:sz="4" w:space="0"/>
            </w:tcBorders>
            <w:tcW w:w="1701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bottom w:val="single" w:color="auto" w:sz="4" w:space="0"/>
            </w:tcBorders>
            <w:tcW w:w="3402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Показатели,  указанные</w:t>
            </w:r>
            <w:r>
              <w:rPr>
                <w:rFonts w:ascii="Times New Roman" w:hAnsi="Times New Roman" w:cs="Times New Roman"/>
                <w:b/>
              </w:rPr>
              <w:t xml:space="preserve"> в диапазоне: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Calibri" w:cs="Times New Roman"/>
              </w:rPr>
              <w:t xml:space="preserve">Рабочая температура - от 0 до 70℃.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bottom w:val="single" w:color="auto" w:sz="4" w:space="0"/>
            </w:tcBorders>
            <w:tcW w:w="993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bottom w:val="single" w:color="auto" w:sz="4" w:space="0"/>
            </w:tcBorders>
            <w:tcW w:w="849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bottom w:val="single" w:color="auto" w:sz="4" w:space="0"/>
            </w:tcBorders>
            <w:tcW w:w="850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auto" w:sz="4" w:space="0"/>
            </w:tcBorders>
            <w:tcW w:w="851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805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312"/>
        </w:trPr>
        <w:tc>
          <w:tcPr>
            <w:gridSpan w:val="8"/>
            <w:tcBorders>
              <w:bottom w:val="single" w:color="auto" w:sz="4" w:space="0"/>
            </w:tcBorders>
            <w:tcW w:w="923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80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19"/>
        <w:jc w:val="both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9"/>
        <w:jc w:val="both"/>
        <w:tabs>
          <w:tab w:val="left" w:pos="-142" w:leader="none"/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7.2. Поставляемый Товар должен: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9"/>
        <w:ind w:left="-142" w:firstLine="710"/>
        <w:jc w:val="both"/>
        <w:tabs>
          <w:tab w:val="left" w:pos="-142" w:leader="none"/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- быть новым, не бывшим в употреблении, не восстановленным, не иметь дефектов, связанных с материалами и/или работой по его изготовлению, либо проявляющихся в результате действия или упущения производителя (поставщика);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9"/>
        <w:ind w:left="-142" w:firstLine="710"/>
        <w:jc w:val="both"/>
        <w:tabs>
          <w:tab w:val="left" w:pos="-142" w:leader="none"/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- соответствовать требованиям ФЗ РФ № 2300-1 «О защите прав потребителей» от 7 февраля 1992 года, подтверждение соответствия которым осуществляется в форме принятия декларации о соответствии;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9"/>
        <w:ind w:left="-142" w:firstLine="710"/>
        <w:jc w:val="both"/>
        <w:tabs>
          <w:tab w:val="left" w:pos="-142" w:leader="none"/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- соответствовать по качеству для данного Товара ТУ и ГОСТам с приложением соответствующих документов (паспортов и сертификатов) при соблюдении Заказчиком правил хранения и/или использования поставляемого Товара.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9"/>
        <w:ind w:left="-142" w:firstLine="710"/>
        <w:jc w:val="both"/>
        <w:tabs>
          <w:tab w:val="left" w:pos="-142" w:leader="none"/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- соответствовать положениям Постановления Правительства РФ о</w:t>
      </w:r>
      <w:r>
        <w:rPr>
          <w:sz w:val="22"/>
          <w:szCs w:val="22"/>
        </w:rPr>
        <w:t xml:space="preserve">т 23.12.2024 N 1875 (ред. от 18.02.2025)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9"/>
        <w:ind w:left="-142" w:firstLine="142"/>
        <w:jc w:val="both"/>
        <w:tabs>
          <w:tab w:val="left" w:pos="-142" w:leader="none"/>
          <w:tab w:val="left" w:pos="567" w:leader="none"/>
        </w:tabs>
        <w:rPr>
          <w:sz w:val="22"/>
          <w:szCs w:val="22"/>
        </w:rPr>
      </w:pPr>
      <w:r>
        <w:rPr>
          <w:bCs/>
          <w:color w:val="auto"/>
          <w:sz w:val="22"/>
          <w:szCs w:val="22"/>
        </w:rPr>
        <w:tab/>
        <w:t xml:space="preserve">7.3. Товар должен поставляться в упаковке, способной предотвратить его повреждение или порчу во время перевозки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9"/>
        <w:ind w:left="-142"/>
        <w:jc w:val="both"/>
        <w:tabs>
          <w:tab w:val="left" w:pos="-142" w:leader="none"/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7.4. Гарантийный срок на поставляемый Товар должен </w:t>
      </w:r>
      <w:r>
        <w:rPr>
          <w:color w:val="0070c0"/>
          <w:sz w:val="22"/>
          <w:szCs w:val="22"/>
        </w:rPr>
        <w:t xml:space="preserve">составлять не менее 6 (шести) месяцев </w:t>
      </w:r>
      <w:r>
        <w:rPr>
          <w:sz w:val="22"/>
          <w:szCs w:val="22"/>
        </w:rPr>
        <w:t xml:space="preserve">и исчисляться с момента подписания Сторонами документов (товарной (товарно-транспортной) накладной, и/или универсального передаточного документа).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9"/>
        <w:numPr>
          <w:ilvl w:val="1"/>
          <w:numId w:val="9"/>
        </w:numPr>
        <w:ind w:left="-142" w:firstLine="709"/>
        <w:jc w:val="both"/>
        <w:tabs>
          <w:tab w:val="left" w:pos="567" w:leader="none"/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В случае выявления недостатков (дефектов) поставленного Товара, его замена на аналогичный, либо устранение недостатков (дефектов), производится Поставщиком за счет собственных средств в </w:t>
      </w:r>
      <w:r>
        <w:rPr>
          <w:color w:val="0070c0"/>
          <w:sz w:val="22"/>
          <w:szCs w:val="22"/>
        </w:rPr>
        <w:t xml:space="preserve">течение 10 рабочих дней с момента </w:t>
      </w:r>
      <w:r>
        <w:rPr>
          <w:sz w:val="22"/>
          <w:szCs w:val="22"/>
        </w:rPr>
        <w:t xml:space="preserve">предъявления соответствующей письменной претензии Заказчиком с указанием недостатков (дефектов), в период предоставления гарантии качества.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9"/>
        <w:numPr>
          <w:ilvl w:val="1"/>
          <w:numId w:val="9"/>
        </w:numPr>
        <w:ind w:left="-142" w:firstLine="709"/>
        <w:jc w:val="both"/>
        <w:tabs>
          <w:tab w:val="left" w:pos="567" w:leader="none"/>
          <w:tab w:val="left" w:pos="993" w:leader="none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</w:t>
      </w:r>
      <w:r>
        <w:rPr>
          <w:b/>
          <w:bCs/>
          <w:sz w:val="22"/>
          <w:szCs w:val="22"/>
        </w:rPr>
        <w:t xml:space="preserve"> </w:t>
      </w:r>
      <w:r>
        <w:rPr>
          <w:b/>
          <w:bCs/>
          <w:sz w:val="22"/>
          <w:szCs w:val="22"/>
        </w:rPr>
        <w:t xml:space="preserve">Место поставки Товара: </w:t>
      </w:r>
      <w:r>
        <w:rPr>
          <w:sz w:val="22"/>
          <w:szCs w:val="22"/>
        </w:rPr>
        <w:t xml:space="preserve">г. Тюмень, ул. Ленина 76.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9"/>
        <w:numPr>
          <w:ilvl w:val="1"/>
          <w:numId w:val="8"/>
        </w:numPr>
        <w:ind w:left="-142" w:firstLine="709"/>
        <w:jc w:val="both"/>
        <w:tabs>
          <w:tab w:val="left" w:pos="567" w:leader="none"/>
          <w:tab w:val="left" w:pos="993" w:leader="none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9.</w:t>
      </w:r>
      <w:r>
        <w:rPr>
          <w:b/>
          <w:bCs/>
          <w:sz w:val="22"/>
          <w:szCs w:val="22"/>
        </w:rPr>
        <w:t xml:space="preserve"> </w:t>
      </w:r>
      <w:r>
        <w:rPr>
          <w:b/>
          <w:bCs/>
          <w:sz w:val="22"/>
          <w:szCs w:val="22"/>
        </w:rPr>
        <w:t xml:space="preserve">Срок поставки Товара: </w:t>
      </w:r>
      <w:r>
        <w:rPr>
          <w:sz w:val="22"/>
          <w:szCs w:val="22"/>
        </w:rPr>
        <w:t xml:space="preserve">в течение 14 рабочих дней с момента </w:t>
      </w:r>
      <w:r>
        <w:rPr>
          <w:sz w:val="22"/>
          <w:szCs w:val="22"/>
        </w:rPr>
        <w:t xml:space="preserve">заключения</w:t>
      </w:r>
      <w:r>
        <w:rPr>
          <w:sz w:val="22"/>
          <w:szCs w:val="22"/>
        </w:rPr>
        <w:t xml:space="preserve"> государственного контракта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9"/>
        <w:jc w:val="both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59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sectPr>
      <w:footerReference w:type="default" r:id="rId9"/>
      <w:footnotePr/>
      <w:endnotePr/>
      <w:type w:val="nextPage"/>
      <w:pgSz w:w="11906" w:h="16838" w:orient="portrait"/>
      <w:pgMar w:top="851" w:right="851" w:bottom="1134" w:left="119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erif">
    <w:panose1 w:val="02020603050405020304"/>
  </w:font>
  <w:font w:name="Times New Roman">
    <w:panose1 w:val="02020603050405020304"/>
  </w:font>
  <w:font w:name="PT Astra Serif">
    <w:panose1 w:val="020B06030308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28322778"/>
      <w:docPartObj>
        <w:docPartGallery w:val="Page Numbers (Bottom of Page)"/>
        <w:docPartUnique w:val="true"/>
      </w:docPartObj>
      <w:rPr/>
    </w:sdtPr>
    <w:sdtContent>
      <w:p>
        <w:pPr>
          <w:pStyle w:val="769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6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5"/>
        <w:jc w:val="both"/>
        <w:rPr>
          <w:sz w:val="16"/>
          <w:szCs w:val="16"/>
        </w:rPr>
      </w:pPr>
      <w:r>
        <w:rPr>
          <w:rStyle w:val="917"/>
          <w:sz w:val="16"/>
          <w:szCs w:val="16"/>
        </w:rPr>
        <w:footnoteRef/>
      </w:r>
      <w:r>
        <w:rPr>
          <w:sz w:val="16"/>
          <w:szCs w:val="16"/>
        </w:rPr>
        <w:t xml:space="preserve"> В случае если цена Контракта налогом на добавленную стоимость не облагается, указывается основание освобождения от уплаты налога.</w:t>
      </w:r>
      <w:r>
        <w:rPr>
          <w:sz w:val="16"/>
          <w:szCs w:val="16"/>
        </w:rPr>
      </w:r>
      <w:r>
        <w:rPr>
          <w:sz w:val="16"/>
          <w:szCs w:val="16"/>
        </w:rPr>
      </w:r>
    </w:p>
  </w:footnote>
  <w:footnote w:id="3">
    <w:p>
      <w:pPr>
        <w:pStyle w:val="915"/>
        <w:jc w:val="both"/>
      </w:pPr>
      <w:r>
        <w:rPr>
          <w:rStyle w:val="917"/>
          <w:sz w:val="16"/>
          <w:szCs w:val="16"/>
        </w:rPr>
        <w:footnoteRef/>
      </w:r>
      <w:r>
        <w:rPr>
          <w:sz w:val="16"/>
          <w:szCs w:val="16"/>
        </w:rPr>
        <w:t xml:space="preserve"> Данный абзац включается в текст государственного (муниципального) контракта (договора) в случае уста</w:t>
      </w:r>
      <w:r>
        <w:rPr>
          <w:sz w:val="16"/>
          <w:szCs w:val="16"/>
        </w:rPr>
        <w:t xml:space="preserve">новления такого права Заказчиком в соответствии с подпунктом 1.1 пункта 1 части 1 статьи 95 Федерального закона от 5 апреля 2013 г. № 44-ФЗ «О контрактной системе в сфере закупок товаров, работ и услуг для обеспечения государственных и муниципальных нужд».</w:t>
      </w:r>
      <w:r>
        <w:t xml:space="preserve">     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">
    <w:multiLevelType w:val="hybridMultilevel"/>
    <w:lvl w:ilvl="0">
      <w:start w:val="7"/>
      <w:numFmt w:val="upperRoman"/>
      <w:isLgl w:val="false"/>
      <w:suff w:val="tab"/>
      <w:lvlText w:val="%1."/>
      <w:lvlJc w:val="left"/>
      <w:pPr>
        <w:ind w:left="252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20" w:hanging="180"/>
      </w:p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92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976" w:hanging="144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3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 w:ascii="Times New Roman" w:hAnsi="Times New Roman" w:cs="Times New Roman"/>
        <w:b w:val="0"/>
      </w:rPr>
    </w:lvl>
    <w:lvl w:ilvl="1">
      <w:start w:val="3"/>
      <w:numFmt w:val="decimal"/>
      <w:isLgl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</w:lvl>
  </w:abstractNum>
  <w:num w:numId="1">
    <w:abstractNumId w:val="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 w:default="1">
    <w:name w:val="Normal"/>
    <w:qFormat/>
  </w:style>
  <w:style w:type="paragraph" w:styleId="720">
    <w:name w:val="Heading 1"/>
    <w:basedOn w:val="719"/>
    <w:next w:val="719"/>
    <w:link w:val="74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21">
    <w:name w:val="Heading 2"/>
    <w:basedOn w:val="719"/>
    <w:next w:val="719"/>
    <w:link w:val="74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22">
    <w:name w:val="Heading 3"/>
    <w:basedOn w:val="719"/>
    <w:next w:val="719"/>
    <w:link w:val="75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23">
    <w:name w:val="Heading 4"/>
    <w:basedOn w:val="719"/>
    <w:next w:val="719"/>
    <w:link w:val="75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4">
    <w:name w:val="Heading 5"/>
    <w:basedOn w:val="719"/>
    <w:next w:val="719"/>
    <w:link w:val="75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719"/>
    <w:next w:val="719"/>
    <w:link w:val="75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26">
    <w:name w:val="Heading 7"/>
    <w:basedOn w:val="719"/>
    <w:next w:val="719"/>
    <w:link w:val="75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27">
    <w:name w:val="Heading 8"/>
    <w:basedOn w:val="719"/>
    <w:next w:val="719"/>
    <w:link w:val="75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28">
    <w:name w:val="Heading 9"/>
    <w:basedOn w:val="719"/>
    <w:next w:val="719"/>
    <w:link w:val="75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 w:default="1">
    <w:name w:val="Default Paragraph Font"/>
    <w:uiPriority w:val="1"/>
    <w:semiHidden/>
    <w:unhideWhenUsed/>
  </w:style>
  <w:style w:type="table" w:styleId="7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1" w:default="1">
    <w:name w:val="No List"/>
    <w:uiPriority w:val="99"/>
    <w:semiHidden/>
    <w:unhideWhenUsed/>
  </w:style>
  <w:style w:type="character" w:styleId="732" w:customStyle="1">
    <w:name w:val="Heading 1 Char"/>
    <w:basedOn w:val="729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Heading 2 Char"/>
    <w:basedOn w:val="729"/>
    <w:uiPriority w:val="9"/>
    <w:rPr>
      <w:rFonts w:ascii="Arial" w:hAnsi="Arial" w:eastAsia="Arial" w:cs="Arial"/>
      <w:sz w:val="34"/>
    </w:rPr>
  </w:style>
  <w:style w:type="character" w:styleId="734" w:customStyle="1">
    <w:name w:val="Heading 3 Char"/>
    <w:basedOn w:val="729"/>
    <w:uiPriority w:val="9"/>
    <w:rPr>
      <w:rFonts w:ascii="Arial" w:hAnsi="Arial" w:eastAsia="Arial" w:cs="Arial"/>
      <w:sz w:val="30"/>
      <w:szCs w:val="30"/>
    </w:rPr>
  </w:style>
  <w:style w:type="character" w:styleId="735" w:customStyle="1">
    <w:name w:val="Heading 4 Char"/>
    <w:basedOn w:val="729"/>
    <w:uiPriority w:val="9"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Heading 5 Char"/>
    <w:basedOn w:val="729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Heading 6 Char"/>
    <w:basedOn w:val="729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Heading 7 Char"/>
    <w:basedOn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Heading 8 Char"/>
    <w:basedOn w:val="729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Heading 9 Char"/>
    <w:basedOn w:val="729"/>
    <w:uiPriority w:val="9"/>
    <w:rPr>
      <w:rFonts w:ascii="Arial" w:hAnsi="Arial" w:eastAsia="Arial" w:cs="Arial"/>
      <w:i/>
      <w:iCs/>
      <w:sz w:val="21"/>
      <w:szCs w:val="21"/>
    </w:rPr>
  </w:style>
  <w:style w:type="character" w:styleId="741" w:customStyle="1">
    <w:name w:val="Title Char"/>
    <w:basedOn w:val="729"/>
    <w:uiPriority w:val="10"/>
    <w:rPr>
      <w:sz w:val="48"/>
      <w:szCs w:val="48"/>
    </w:rPr>
  </w:style>
  <w:style w:type="character" w:styleId="742" w:customStyle="1">
    <w:name w:val="Subtitle Char"/>
    <w:basedOn w:val="729"/>
    <w:uiPriority w:val="11"/>
    <w:rPr>
      <w:sz w:val="24"/>
      <w:szCs w:val="24"/>
    </w:rPr>
  </w:style>
  <w:style w:type="character" w:styleId="743" w:customStyle="1">
    <w:name w:val="Quote Char"/>
    <w:uiPriority w:val="29"/>
    <w:rPr>
      <w:i/>
    </w:rPr>
  </w:style>
  <w:style w:type="character" w:styleId="744" w:customStyle="1">
    <w:name w:val="Intense Quote Char"/>
    <w:uiPriority w:val="30"/>
    <w:rPr>
      <w:i/>
    </w:rPr>
  </w:style>
  <w:style w:type="character" w:styleId="745" w:customStyle="1">
    <w:name w:val="Header Char"/>
    <w:basedOn w:val="729"/>
    <w:uiPriority w:val="99"/>
  </w:style>
  <w:style w:type="character" w:styleId="746" w:customStyle="1">
    <w:name w:val="Caption Char"/>
    <w:uiPriority w:val="99"/>
  </w:style>
  <w:style w:type="character" w:styleId="747" w:customStyle="1">
    <w:name w:val="Endnote Text Char"/>
    <w:uiPriority w:val="99"/>
    <w:rPr>
      <w:sz w:val="20"/>
    </w:rPr>
  </w:style>
  <w:style w:type="character" w:styleId="748" w:customStyle="1">
    <w:name w:val="Заголовок 1 Знак"/>
    <w:basedOn w:val="729"/>
    <w:link w:val="720"/>
    <w:uiPriority w:val="9"/>
    <w:rPr>
      <w:rFonts w:ascii="Arial" w:hAnsi="Arial" w:eastAsia="Arial" w:cs="Arial"/>
      <w:sz w:val="40"/>
      <w:szCs w:val="40"/>
    </w:rPr>
  </w:style>
  <w:style w:type="character" w:styleId="749" w:customStyle="1">
    <w:name w:val="Заголовок 2 Знак"/>
    <w:basedOn w:val="729"/>
    <w:link w:val="721"/>
    <w:uiPriority w:val="9"/>
    <w:rPr>
      <w:rFonts w:ascii="Arial" w:hAnsi="Arial" w:eastAsia="Arial" w:cs="Arial"/>
      <w:sz w:val="34"/>
    </w:rPr>
  </w:style>
  <w:style w:type="character" w:styleId="750" w:customStyle="1">
    <w:name w:val="Заголовок 3 Знак"/>
    <w:basedOn w:val="729"/>
    <w:link w:val="722"/>
    <w:uiPriority w:val="9"/>
    <w:rPr>
      <w:rFonts w:ascii="Arial" w:hAnsi="Arial" w:eastAsia="Arial" w:cs="Arial"/>
      <w:sz w:val="30"/>
      <w:szCs w:val="30"/>
    </w:rPr>
  </w:style>
  <w:style w:type="character" w:styleId="751" w:customStyle="1">
    <w:name w:val="Заголовок 4 Знак"/>
    <w:basedOn w:val="729"/>
    <w:link w:val="723"/>
    <w:uiPriority w:val="9"/>
    <w:rPr>
      <w:rFonts w:ascii="Arial" w:hAnsi="Arial" w:eastAsia="Arial" w:cs="Arial"/>
      <w:b/>
      <w:bCs/>
      <w:sz w:val="26"/>
      <w:szCs w:val="26"/>
    </w:rPr>
  </w:style>
  <w:style w:type="character" w:styleId="752" w:customStyle="1">
    <w:name w:val="Заголовок 5 Знак"/>
    <w:basedOn w:val="729"/>
    <w:link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753" w:customStyle="1">
    <w:name w:val="Заголовок 6 Знак"/>
    <w:basedOn w:val="729"/>
    <w:link w:val="725"/>
    <w:uiPriority w:val="9"/>
    <w:rPr>
      <w:rFonts w:ascii="Arial" w:hAnsi="Arial" w:eastAsia="Arial" w:cs="Arial"/>
      <w:b/>
      <w:bCs/>
      <w:sz w:val="22"/>
      <w:szCs w:val="22"/>
    </w:rPr>
  </w:style>
  <w:style w:type="character" w:styleId="754" w:customStyle="1">
    <w:name w:val="Заголовок 7 Знак"/>
    <w:basedOn w:val="729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5" w:customStyle="1">
    <w:name w:val="Заголовок 8 Знак"/>
    <w:basedOn w:val="729"/>
    <w:link w:val="727"/>
    <w:uiPriority w:val="9"/>
    <w:rPr>
      <w:rFonts w:ascii="Arial" w:hAnsi="Arial" w:eastAsia="Arial" w:cs="Arial"/>
      <w:i/>
      <w:iCs/>
      <w:sz w:val="22"/>
      <w:szCs w:val="22"/>
    </w:rPr>
  </w:style>
  <w:style w:type="character" w:styleId="756" w:customStyle="1">
    <w:name w:val="Заголовок 9 Знак"/>
    <w:basedOn w:val="729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57">
    <w:name w:val="List Paragraph"/>
    <w:basedOn w:val="719"/>
    <w:link w:val="920"/>
    <w:uiPriority w:val="34"/>
    <w:qFormat/>
    <w:pPr>
      <w:contextualSpacing/>
      <w:ind w:left="720"/>
    </w:pPr>
  </w:style>
  <w:style w:type="paragraph" w:styleId="758">
    <w:name w:val="No Spacing"/>
    <w:uiPriority w:val="1"/>
    <w:qFormat/>
    <w:pPr>
      <w:spacing w:after="0" w:line="240" w:lineRule="auto"/>
    </w:pPr>
  </w:style>
  <w:style w:type="paragraph" w:styleId="759">
    <w:name w:val="Title"/>
    <w:basedOn w:val="719"/>
    <w:next w:val="719"/>
    <w:link w:val="760"/>
    <w:qFormat/>
    <w:pPr>
      <w:contextualSpacing/>
      <w:spacing w:before="300"/>
    </w:pPr>
    <w:rPr>
      <w:sz w:val="48"/>
      <w:szCs w:val="48"/>
    </w:rPr>
  </w:style>
  <w:style w:type="character" w:styleId="760" w:customStyle="1">
    <w:name w:val="Заголовок Знак"/>
    <w:basedOn w:val="729"/>
    <w:link w:val="759"/>
    <w:rPr>
      <w:sz w:val="48"/>
      <w:szCs w:val="48"/>
    </w:rPr>
  </w:style>
  <w:style w:type="paragraph" w:styleId="761">
    <w:name w:val="Subtitle"/>
    <w:basedOn w:val="719"/>
    <w:next w:val="719"/>
    <w:link w:val="762"/>
    <w:uiPriority w:val="11"/>
    <w:qFormat/>
    <w:pPr>
      <w:spacing w:before="200"/>
    </w:pPr>
    <w:rPr>
      <w:sz w:val="24"/>
      <w:szCs w:val="24"/>
    </w:rPr>
  </w:style>
  <w:style w:type="character" w:styleId="762" w:customStyle="1">
    <w:name w:val="Подзаголовок Знак"/>
    <w:basedOn w:val="729"/>
    <w:link w:val="761"/>
    <w:uiPriority w:val="11"/>
    <w:rPr>
      <w:sz w:val="24"/>
      <w:szCs w:val="24"/>
    </w:rPr>
  </w:style>
  <w:style w:type="paragraph" w:styleId="763">
    <w:name w:val="Quote"/>
    <w:basedOn w:val="719"/>
    <w:next w:val="719"/>
    <w:link w:val="764"/>
    <w:uiPriority w:val="29"/>
    <w:qFormat/>
    <w:pPr>
      <w:ind w:left="720" w:right="720"/>
    </w:pPr>
    <w:rPr>
      <w:i/>
    </w:rPr>
  </w:style>
  <w:style w:type="character" w:styleId="764" w:customStyle="1">
    <w:name w:val="Цитата 2 Знак"/>
    <w:link w:val="763"/>
    <w:uiPriority w:val="29"/>
    <w:rPr>
      <w:i/>
    </w:rPr>
  </w:style>
  <w:style w:type="paragraph" w:styleId="765">
    <w:name w:val="Intense Quote"/>
    <w:basedOn w:val="719"/>
    <w:next w:val="719"/>
    <w:link w:val="76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6" w:customStyle="1">
    <w:name w:val="Выделенная цитата Знак"/>
    <w:link w:val="765"/>
    <w:uiPriority w:val="30"/>
    <w:rPr>
      <w:i/>
    </w:rPr>
  </w:style>
  <w:style w:type="paragraph" w:styleId="767">
    <w:name w:val="Header"/>
    <w:basedOn w:val="719"/>
    <w:link w:val="7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8" w:customStyle="1">
    <w:name w:val="Верхний колонтитул Знак"/>
    <w:basedOn w:val="729"/>
    <w:link w:val="767"/>
    <w:uiPriority w:val="99"/>
  </w:style>
  <w:style w:type="paragraph" w:styleId="769">
    <w:name w:val="Footer"/>
    <w:basedOn w:val="719"/>
    <w:link w:val="7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0" w:customStyle="1">
    <w:name w:val="Footer Char"/>
    <w:basedOn w:val="729"/>
    <w:uiPriority w:val="99"/>
  </w:style>
  <w:style w:type="paragraph" w:styleId="771">
    <w:name w:val="Caption"/>
    <w:basedOn w:val="719"/>
    <w:next w:val="71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72" w:customStyle="1">
    <w:name w:val="Нижний колонтитул Знак"/>
    <w:link w:val="769"/>
    <w:uiPriority w:val="99"/>
  </w:style>
  <w:style w:type="table" w:styleId="773">
    <w:name w:val="Table Grid"/>
    <w:basedOn w:val="73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74" w:customStyle="1">
    <w:name w:val="Table Grid Light"/>
    <w:basedOn w:val="73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5">
    <w:name w:val="Plain Table 1"/>
    <w:basedOn w:val="73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2"/>
    <w:basedOn w:val="73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3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8">
    <w:name w:val="Plain Table 4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Plain Table 5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0">
    <w:name w:val="Grid Table 1 Light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4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2" w:customStyle="1">
    <w:name w:val="Grid Table 4 - Accent 1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3" w:customStyle="1">
    <w:name w:val="Grid Table 4 - Accent 2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4" w:customStyle="1">
    <w:name w:val="Grid Table 4 - Accent 3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5" w:customStyle="1">
    <w:name w:val="Grid Table 4 - Accent 4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6" w:customStyle="1">
    <w:name w:val="Grid Table 4 - Accent 5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7" w:customStyle="1">
    <w:name w:val="Grid Table 4 - Accent 6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8">
    <w:name w:val="Grid Table 5 Dark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5">
    <w:name w:val="Grid Table 6 Colorful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6" w:customStyle="1">
    <w:name w:val="Grid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7" w:customStyle="1">
    <w:name w:val="Grid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8" w:customStyle="1">
    <w:name w:val="Grid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9" w:customStyle="1">
    <w:name w:val="Grid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0" w:customStyle="1">
    <w:name w:val="Grid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1" w:customStyle="1">
    <w:name w:val="Grid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2">
    <w:name w:val="Grid Table 7 Colorful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1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2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3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4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5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6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3">
    <w:name w:val="List Table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5 Dark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>
    <w:name w:val="List Table 6 Colorful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5" w:customStyle="1">
    <w:name w:val="List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6" w:customStyle="1">
    <w:name w:val="List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7" w:customStyle="1">
    <w:name w:val="List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8" w:customStyle="1">
    <w:name w:val="List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9" w:customStyle="1">
    <w:name w:val="List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0" w:customStyle="1">
    <w:name w:val="List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1">
    <w:name w:val="List Table 7 Colorful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ned - Accent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9" w:customStyle="1">
    <w:name w:val="Lined - Accent 1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0" w:customStyle="1">
    <w:name w:val="Lined - Accent 2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1" w:customStyle="1">
    <w:name w:val="Lined - Accent 3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2" w:customStyle="1">
    <w:name w:val="Lined - Accent 4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3" w:customStyle="1">
    <w:name w:val="Lined - Accent 5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4" w:customStyle="1">
    <w:name w:val="Lined - Accent 6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5" w:customStyle="1">
    <w:name w:val="Bordered &amp; Lined - Accent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6" w:customStyle="1">
    <w:name w:val="Bordered &amp; Lined - Accent 1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7" w:customStyle="1">
    <w:name w:val="Bordered &amp; Lined - Accent 2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8" w:customStyle="1">
    <w:name w:val="Bordered &amp; Lined - Accent 3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9" w:customStyle="1">
    <w:name w:val="Bordered &amp; Lined - Accent 4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0" w:customStyle="1">
    <w:name w:val="Bordered &amp; Lined - Accent 5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1" w:customStyle="1">
    <w:name w:val="Bordered &amp; Lined - Accent 6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2" w:customStyle="1">
    <w:name w:val="Bordered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3" w:customStyle="1">
    <w:name w:val="Bordered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4" w:customStyle="1">
    <w:name w:val="Bordered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5" w:customStyle="1">
    <w:name w:val="Bordered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6" w:customStyle="1">
    <w:name w:val="Bordered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7" w:customStyle="1">
    <w:name w:val="Bordered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8" w:customStyle="1">
    <w:name w:val="Bordered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9">
    <w:name w:val="Hyperlink"/>
    <w:uiPriority w:val="99"/>
    <w:unhideWhenUsed/>
    <w:rPr>
      <w:color w:val="0000ff" w:themeColor="hyperlink"/>
      <w:u w:val="single"/>
    </w:rPr>
  </w:style>
  <w:style w:type="character" w:styleId="900" w:customStyle="1">
    <w:name w:val="Footnote Text Char"/>
    <w:uiPriority w:val="99"/>
    <w:rPr>
      <w:sz w:val="18"/>
    </w:rPr>
  </w:style>
  <w:style w:type="paragraph" w:styleId="901">
    <w:name w:val="endnote text"/>
    <w:basedOn w:val="719"/>
    <w:link w:val="902"/>
    <w:uiPriority w:val="99"/>
    <w:semiHidden/>
    <w:unhideWhenUsed/>
    <w:pPr>
      <w:spacing w:after="0" w:line="240" w:lineRule="auto"/>
    </w:pPr>
    <w:rPr>
      <w:sz w:val="20"/>
    </w:rPr>
  </w:style>
  <w:style w:type="character" w:styleId="902" w:customStyle="1">
    <w:name w:val="Текст концевой сноски Знак"/>
    <w:link w:val="901"/>
    <w:uiPriority w:val="99"/>
    <w:rPr>
      <w:sz w:val="20"/>
    </w:rPr>
  </w:style>
  <w:style w:type="character" w:styleId="903">
    <w:name w:val="endnote reference"/>
    <w:basedOn w:val="729"/>
    <w:uiPriority w:val="99"/>
    <w:semiHidden/>
    <w:unhideWhenUsed/>
    <w:rPr>
      <w:vertAlign w:val="superscript"/>
    </w:rPr>
  </w:style>
  <w:style w:type="paragraph" w:styleId="904">
    <w:name w:val="toc 1"/>
    <w:basedOn w:val="719"/>
    <w:next w:val="719"/>
    <w:uiPriority w:val="39"/>
    <w:unhideWhenUsed/>
    <w:pPr>
      <w:spacing w:after="57"/>
    </w:pPr>
  </w:style>
  <w:style w:type="paragraph" w:styleId="905">
    <w:name w:val="toc 2"/>
    <w:basedOn w:val="719"/>
    <w:next w:val="719"/>
    <w:uiPriority w:val="39"/>
    <w:unhideWhenUsed/>
    <w:pPr>
      <w:ind w:left="283"/>
      <w:spacing w:after="57"/>
    </w:pPr>
  </w:style>
  <w:style w:type="paragraph" w:styleId="906">
    <w:name w:val="toc 3"/>
    <w:basedOn w:val="719"/>
    <w:next w:val="719"/>
    <w:uiPriority w:val="39"/>
    <w:unhideWhenUsed/>
    <w:pPr>
      <w:ind w:left="567"/>
      <w:spacing w:after="57"/>
    </w:pPr>
  </w:style>
  <w:style w:type="paragraph" w:styleId="907">
    <w:name w:val="toc 4"/>
    <w:basedOn w:val="719"/>
    <w:next w:val="719"/>
    <w:uiPriority w:val="39"/>
    <w:unhideWhenUsed/>
    <w:pPr>
      <w:ind w:left="850"/>
      <w:spacing w:after="57"/>
    </w:pPr>
  </w:style>
  <w:style w:type="paragraph" w:styleId="908">
    <w:name w:val="toc 5"/>
    <w:basedOn w:val="719"/>
    <w:next w:val="719"/>
    <w:uiPriority w:val="39"/>
    <w:unhideWhenUsed/>
    <w:pPr>
      <w:ind w:left="1134"/>
      <w:spacing w:after="57"/>
    </w:pPr>
  </w:style>
  <w:style w:type="paragraph" w:styleId="909">
    <w:name w:val="toc 6"/>
    <w:basedOn w:val="719"/>
    <w:next w:val="719"/>
    <w:uiPriority w:val="39"/>
    <w:unhideWhenUsed/>
    <w:pPr>
      <w:ind w:left="1417"/>
      <w:spacing w:after="57"/>
    </w:pPr>
  </w:style>
  <w:style w:type="paragraph" w:styleId="910">
    <w:name w:val="toc 7"/>
    <w:basedOn w:val="719"/>
    <w:next w:val="719"/>
    <w:uiPriority w:val="39"/>
    <w:unhideWhenUsed/>
    <w:pPr>
      <w:ind w:left="1701"/>
      <w:spacing w:after="57"/>
    </w:pPr>
  </w:style>
  <w:style w:type="paragraph" w:styleId="911">
    <w:name w:val="toc 8"/>
    <w:basedOn w:val="719"/>
    <w:next w:val="719"/>
    <w:uiPriority w:val="39"/>
    <w:unhideWhenUsed/>
    <w:pPr>
      <w:ind w:left="1984"/>
      <w:spacing w:after="57"/>
    </w:pPr>
  </w:style>
  <w:style w:type="paragraph" w:styleId="912">
    <w:name w:val="toc 9"/>
    <w:basedOn w:val="719"/>
    <w:next w:val="719"/>
    <w:uiPriority w:val="39"/>
    <w:unhideWhenUsed/>
    <w:pPr>
      <w:ind w:left="2268"/>
      <w:spacing w:after="57"/>
    </w:pPr>
  </w:style>
  <w:style w:type="paragraph" w:styleId="913">
    <w:name w:val="TOC Heading"/>
    <w:uiPriority w:val="39"/>
    <w:unhideWhenUsed/>
  </w:style>
  <w:style w:type="paragraph" w:styleId="914">
    <w:name w:val="table of figures"/>
    <w:basedOn w:val="719"/>
    <w:next w:val="719"/>
    <w:uiPriority w:val="99"/>
    <w:unhideWhenUsed/>
    <w:pPr>
      <w:spacing w:after="0"/>
    </w:pPr>
  </w:style>
  <w:style w:type="paragraph" w:styleId="915">
    <w:name w:val="footnote text"/>
    <w:basedOn w:val="719"/>
    <w:link w:val="916"/>
    <w:uiPriority w:val="99"/>
    <w:semiHidden/>
    <w:unhideWhenUsed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16" w:customStyle="1">
    <w:name w:val="Текст сноски Знак"/>
    <w:basedOn w:val="729"/>
    <w:link w:val="915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17">
    <w:name w:val="footnote reference"/>
    <w:basedOn w:val="729"/>
    <w:semiHidden/>
    <w:unhideWhenUsed/>
    <w:rPr>
      <w:vertAlign w:val="superscript"/>
    </w:rPr>
  </w:style>
  <w:style w:type="paragraph" w:styleId="918" w:customStyle="1">
    <w:name w:val="ConsPlusNormal"/>
    <w:link w:val="921"/>
    <w:qFormat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919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zh-CN"/>
    </w:rPr>
  </w:style>
  <w:style w:type="character" w:styleId="920" w:customStyle="1">
    <w:name w:val="Абзац списка Знак"/>
    <w:link w:val="757"/>
    <w:uiPriority w:val="34"/>
  </w:style>
  <w:style w:type="character" w:styleId="921" w:customStyle="1">
    <w:name w:val="ConsPlusNormal Знак"/>
    <w:link w:val="918"/>
    <w:rPr>
      <w:rFonts w:ascii="Arial" w:hAnsi="Arial" w:eastAsia="Times New Roman" w:cs="Arial"/>
      <w:sz w:val="20"/>
      <w:szCs w:val="20"/>
      <w:lang w:eastAsia="ru-RU"/>
    </w:rPr>
  </w:style>
  <w:style w:type="paragraph" w:styleId="922">
    <w:name w:val="Normal (Web)"/>
    <w:basedOn w:val="71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Вячеславовна Коренькова</dc:creator>
  <cp:lastModifiedBy>Стельмах Л.В., Главный специалист-эксперт</cp:lastModifiedBy>
  <cp:revision>47</cp:revision>
  <dcterms:created xsi:type="dcterms:W3CDTF">2025-12-08T10:19:00Z</dcterms:created>
  <dcterms:modified xsi:type="dcterms:W3CDTF">2026-06-30T03:34:29Z</dcterms:modified>
</cp:coreProperties>
</file>