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spacing w:line="240" w:lineRule="auto"/>
        <w:ind/>
        <w:rPr>
          <w:color w:val="000000"/>
        </w:rPr>
      </w:pPr>
      <w:r>
        <w:rPr>
          <w:color w:val="000000"/>
        </w:rPr>
        <w:t>Приложение 1. ОБОСНОВАНИЕ НАЧАЛЬНОЙ (МАКСИМАЛЬНОЙ) ЦЕНЫ КОНТРАКТА</w:t>
      </w:r>
    </w:p>
    <w:p w14:paraId="04000000">
      <w:pPr>
        <w:spacing w:after="6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ПОСТАВКУ СТРОИТЕЛЬНЫХ МАТЕРИАЛОВ</w:t>
      </w:r>
    </w:p>
    <w:p w14:paraId="05000000">
      <w:pPr>
        <w:spacing w:after="60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06000000">
      <w:pPr>
        <w:spacing w:after="60"/>
        <w:ind w:firstLine="567" w:left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</w:rPr>
        <w:t>Обоснование начальной (максимальной) цены контракта проведено в соответствии с положениями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 Приказа Минэкономразвития России от 02.10.2013 №567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  <w:r>
        <w:rPr>
          <w:rFonts w:ascii="Times New Roman" w:hAnsi="Times New Roman"/>
        </w:rPr>
        <w:t xml:space="preserve"> (далее – Рекомендации)</w:t>
      </w:r>
      <w:r>
        <w:rPr>
          <w:rFonts w:ascii="Times New Roman" w:hAnsi="Times New Roman"/>
        </w:rPr>
        <w:t>.</w:t>
      </w:r>
    </w:p>
    <w:p w14:paraId="0700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определении начальной (максимальной) цены контракта (далее - НМЦК) </w:t>
      </w:r>
      <w:r>
        <w:rPr>
          <w:rFonts w:ascii="Times New Roman" w:hAnsi="Times New Roman"/>
        </w:rPr>
        <w:t>заказчиком использован метод сопоставимых рыночных цен (анализа рынка)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8000000">
      <w:pPr>
        <w:ind w:firstLine="567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В качестве источников ценовой информации использовались </w:t>
      </w:r>
      <w:r>
        <w:rPr>
          <w:rFonts w:ascii="Times New Roman" w:hAnsi="Times New Roman"/>
          <w:sz w:val="24"/>
        </w:rPr>
        <w:t>коммерческие предложения лиц, способных выполнить работу, являющуюся объектом закупки.</w:t>
      </w:r>
    </w:p>
    <w:p w14:paraId="09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НМЦК методом сопоставимых рыночных цен (анализа рынка) определяется по формуле:</w:t>
      </w:r>
    </w:p>
    <w:p w14:paraId="0A000000">
      <w:pPr>
        <w:ind w:firstLine="594" w:left="0"/>
        <w:jc w:val="both"/>
        <w:rPr>
          <w:rFonts w:ascii="Times New Roman" w:hAnsi="Times New Roman"/>
        </w:rPr>
      </w:pPr>
      <w:r>
        <w:drawing>
          <wp:inline>
            <wp:extent cx="1626870" cy="39751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626870" cy="39751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,</w:t>
      </w:r>
    </w:p>
    <w:p w14:paraId="0B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14:paraId="0C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НМЦКрын - НМЦК, определяемая методом сопоставимых рыночных цен (анализа рынка);</w:t>
      </w:r>
    </w:p>
    <w:p w14:paraId="0D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v</w:t>
      </w:r>
      <w:r>
        <w:rPr>
          <w:rFonts w:ascii="Times New Roman" w:hAnsi="Times New Roman"/>
        </w:rPr>
        <w:t xml:space="preserve"> - количество (объем) закупаемого товара (работы, услуги);</w:t>
      </w:r>
    </w:p>
    <w:p w14:paraId="0E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n</w:t>
      </w:r>
      <w:r>
        <w:rPr>
          <w:rFonts w:ascii="Times New Roman" w:hAnsi="Times New Roman"/>
        </w:rPr>
        <w:t xml:space="preserve"> - количество значений, используемых в расчете;</w:t>
      </w:r>
    </w:p>
    <w:p w14:paraId="0F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i</w:t>
      </w:r>
      <w:r>
        <w:rPr>
          <w:rFonts w:ascii="Times New Roman" w:hAnsi="Times New Roman"/>
        </w:rPr>
        <w:t xml:space="preserve"> - номер источника ценовой информации;</w:t>
      </w:r>
    </w:p>
    <w:p w14:paraId="10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ц</w:t>
      </w:r>
      <w:r>
        <w:rPr>
          <w:rFonts w:ascii="Times New Roman" w:hAnsi="Times New Roman"/>
          <w:i w:val="1"/>
          <w:vertAlign w:val="subscript"/>
        </w:rPr>
        <w:t>i</w:t>
      </w:r>
      <w:r>
        <w:rPr>
          <w:rFonts w:ascii="Times New Roman" w:hAnsi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настоящими Рекомендациями.</w:t>
      </w:r>
    </w:p>
    <w:p w14:paraId="11000000">
      <w:pPr>
        <w:ind w:firstLine="595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определения однородности совокупности значений выявленных цен, используемых в расчете НМЦК, рекомендуется определять коэффициент вариации. </w:t>
      </w:r>
    </w:p>
    <w:p w14:paraId="12000000">
      <w:pPr>
        <w:spacing w:line="360" w:lineRule="auto"/>
        <w:ind w:firstLine="595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Коэффициент вариации цены определяется по следующей формуле:</w:t>
      </w:r>
    </w:p>
    <w:p w14:paraId="13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>
            <wp:extent cx="1211580" cy="42164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211580" cy="4216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,</w:t>
      </w:r>
    </w:p>
    <w:p w14:paraId="14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14:paraId="15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V</w:t>
      </w:r>
      <w:r>
        <w:rPr>
          <w:rFonts w:ascii="Times New Roman" w:hAnsi="Times New Roman"/>
        </w:rPr>
        <w:t xml:space="preserve"> - коэффициент вариации;</w:t>
      </w:r>
    </w:p>
    <w:p w14:paraId="16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>
            <wp:extent cx="1591310" cy="540385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1591310" cy="54038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 - среднее квадратичное отклонение;</w:t>
      </w:r>
    </w:p>
    <w:p w14:paraId="17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14:paraId="18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ц</w:t>
      </w:r>
      <w:r>
        <w:rPr>
          <w:rFonts w:ascii="Times New Roman" w:hAnsi="Times New Roman"/>
          <w:i w:val="1"/>
          <w:vertAlign w:val="subscript"/>
        </w:rPr>
        <w:t>i</w:t>
      </w:r>
      <w:r>
        <w:rPr>
          <w:rFonts w:ascii="Times New Roman" w:hAnsi="Times New Roman"/>
        </w:rPr>
        <w:t xml:space="preserve"> - цена единицы товара, работы, услуги, указанная в источнике с номером </w:t>
      </w:r>
      <w:r>
        <w:rPr>
          <w:rFonts w:ascii="Times New Roman" w:hAnsi="Times New Roman"/>
        </w:rPr>
        <w:t>i;</w:t>
      </w:r>
    </w:p>
    <w:p w14:paraId="19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&lt;ц&gt;</w:t>
      </w:r>
      <w:r>
        <w:rPr>
          <w:rFonts w:ascii="Times New Roman" w:hAnsi="Times New Roman"/>
        </w:rPr>
        <w:t xml:space="preserve"> - средняя арифметическая величина цены </w:t>
      </w:r>
      <w:r>
        <w:rPr>
          <w:rFonts w:ascii="Times New Roman" w:hAnsi="Times New Roman"/>
        </w:rPr>
        <w:t>единицы товара, работы, услуги;</w:t>
      </w:r>
    </w:p>
    <w:p w14:paraId="1A000000">
      <w:pPr>
        <w:spacing w:line="360" w:lineRule="auto"/>
        <w:ind w:firstLine="595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n</w:t>
      </w:r>
      <w:r>
        <w:rPr>
          <w:rFonts w:ascii="Times New Roman" w:hAnsi="Times New Roman"/>
        </w:rPr>
        <w:t xml:space="preserve"> - количество значений, используемых в расчете.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7"/>
        <w:gridCol w:w="2398"/>
        <w:gridCol w:w="942"/>
        <w:gridCol w:w="706"/>
        <w:gridCol w:w="622"/>
        <w:gridCol w:w="958"/>
        <w:gridCol w:w="974"/>
        <w:gridCol w:w="825"/>
        <w:gridCol w:w="960"/>
        <w:gridCol w:w="765"/>
        <w:gridCol w:w="1072"/>
        <w:gridCol w:w="1127"/>
        <w:gridCol w:w="1127"/>
        <w:gridCol w:w="1324"/>
      </w:tblGrid>
      <w:tr>
        <w:trPr>
          <w:trHeight w:hRule="atLeast" w:val="500"/>
        </w:trPr>
        <w:tc>
          <w:tcPr>
            <w:tcW w:type="dxa" w:w="4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type="dxa" w:w="23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товара, услуги (работы)</w:t>
            </w:r>
          </w:p>
        </w:tc>
        <w:tc>
          <w:tcPr>
            <w:tcW w:type="dxa" w:w="9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ОКПД2/КТРУ</w:t>
            </w:r>
          </w:p>
        </w:tc>
        <w:tc>
          <w:tcPr>
            <w:tcW w:type="dxa" w:w="7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type="dxa" w:w="6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Кол-во</w:t>
            </w:r>
          </w:p>
        </w:tc>
        <w:tc>
          <w:tcPr>
            <w:tcW w:type="dxa" w:w="27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Источники цены (руб.) коммерческие предложения</w:t>
            </w:r>
          </w:p>
        </w:tc>
        <w:tc>
          <w:tcPr>
            <w:tcW w:type="dxa" w:w="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Среднее квадратичное отклонение</w:t>
            </w:r>
          </w:p>
        </w:tc>
        <w:tc>
          <w:tcPr>
            <w:tcW w:type="dxa" w:w="7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Коэффициент вариации (%)</w:t>
            </w:r>
          </w:p>
        </w:tc>
        <w:tc>
          <w:tcPr>
            <w:tcW w:type="dxa" w:w="10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Средняя цена (руб.)</w:t>
            </w:r>
          </w:p>
        </w:tc>
        <w:tc>
          <w:tcPr>
            <w:tcW w:type="dxa" w:w="1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НМЦК</w:t>
            </w:r>
          </w:p>
          <w:p w14:paraId="2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(руб.)</w:t>
            </w:r>
          </w:p>
        </w:tc>
        <w:tc>
          <w:tcPr>
            <w:tcW w:type="dxa" w:w="1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Средняя цена, </w:t>
            </w:r>
            <w:r>
              <w:rPr>
                <w:rFonts w:ascii="Times New Roman" w:hAnsi="Times New Roman"/>
                <w:sz w:val="22"/>
              </w:rPr>
              <w:t>с учетом доведенных ЛБО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(руб.)</w:t>
            </w:r>
          </w:p>
        </w:tc>
        <w:tc>
          <w:tcPr>
            <w:tcW w:type="dxa" w:w="13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НМЦК, с учетом доведенных ЛБО</w:t>
            </w:r>
          </w:p>
          <w:p w14:paraId="2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(руб.)</w:t>
            </w:r>
          </w:p>
        </w:tc>
      </w:tr>
      <w:tr>
        <w:trPr>
          <w:trHeight w:hRule="atLeast" w:val="1203"/>
        </w:trPr>
        <w:tc>
          <w:tcPr>
            <w:tcW w:type="dxa" w:w="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цена источника 1 (№ 9476 от 26.05.26)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цена источника 2  (№ 9478 от 26.05.26)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цена источника 3 (№9475 от 26.05.26</w:t>
            </w:r>
            <w:r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  <w:p w14:paraId="2E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3"/>
              <w:spacing w:after="200" w:before="0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Линолеум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120" w:before="120"/>
              <w:ind w:firstLine="0" w:left="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  <w:t>22.23.15.000</w:t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м2</w:t>
            </w:r>
          </w:p>
        </w:tc>
        <w:tc>
          <w:tcPr>
            <w:tcW w:type="dxa" w:w="62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</w:t>
            </w:r>
          </w:p>
        </w:tc>
        <w:tc>
          <w:tcPr>
            <w:tcW w:type="dxa" w:w="958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697,00</w:t>
            </w:r>
          </w:p>
        </w:tc>
        <w:tc>
          <w:tcPr>
            <w:tcW w:type="dxa" w:w="97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711,00</w:t>
            </w:r>
          </w:p>
        </w:tc>
        <w:tc>
          <w:tcPr>
            <w:tcW w:type="dxa" w:w="82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700,00</w:t>
            </w:r>
          </w:p>
        </w:tc>
        <w:tc>
          <w:tcPr>
            <w:tcW w:type="dxa" w:w="96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7,3711</w:t>
            </w:r>
          </w:p>
        </w:tc>
        <w:tc>
          <w:tcPr>
            <w:tcW w:type="dxa" w:w="76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1,05</w:t>
            </w:r>
          </w:p>
        </w:tc>
        <w:tc>
          <w:tcPr>
            <w:tcW w:type="dxa" w:w="107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702,67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122 264,58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699,54</w:t>
            </w:r>
          </w:p>
        </w:tc>
        <w:tc>
          <w:tcPr>
            <w:tcW w:type="dxa" w:w="132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121 719,96</w:t>
            </w:r>
          </w:p>
        </w:tc>
      </w:tr>
      <w:tr>
        <w:trPr>
          <w:trHeight w:hRule="atLeast" w:val="360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3"/>
              <w:spacing w:after="200" w:before="0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Потолочная плитка 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instrText>HYPERLINK "https://agregatoreat.ru/classifier/ktru-list?search=22.23.11&amp;expanded=true"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t>22.23.11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end"/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шт</w:t>
            </w:r>
          </w:p>
        </w:tc>
        <w:tc>
          <w:tcPr>
            <w:tcW w:type="dxa" w:w="62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type="dxa" w:w="958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225,00</w:t>
            </w:r>
          </w:p>
        </w:tc>
        <w:tc>
          <w:tcPr>
            <w:tcW w:type="dxa" w:w="97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235,00</w:t>
            </w:r>
          </w:p>
        </w:tc>
        <w:tc>
          <w:tcPr>
            <w:tcW w:type="dxa" w:w="82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230,00</w:t>
            </w:r>
          </w:p>
        </w:tc>
        <w:tc>
          <w:tcPr>
            <w:tcW w:type="dxa" w:w="96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76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2,17</w:t>
            </w:r>
          </w:p>
        </w:tc>
        <w:tc>
          <w:tcPr>
            <w:tcW w:type="dxa" w:w="107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230,00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34 500,00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230,00</w:t>
            </w:r>
          </w:p>
        </w:tc>
        <w:tc>
          <w:tcPr>
            <w:tcW w:type="dxa" w:w="1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34 500,00</w:t>
            </w:r>
          </w:p>
        </w:tc>
      </w:tr>
      <w:tr>
        <w:trPr>
          <w:trHeight w:hRule="atLeast" w:val="360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3"/>
              <w:spacing w:after="200" w:before="0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Плинтус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instrText>HYPERLINK "https://agregatoreat.ru/classifier/ktru-list?search=22.23.11.000&amp;expanded=true"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t>22.23.11.000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end"/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</w:t>
            </w:r>
          </w:p>
        </w:tc>
        <w:tc>
          <w:tcPr>
            <w:tcW w:type="dxa" w:w="62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</w:t>
            </w:r>
          </w:p>
        </w:tc>
        <w:tc>
          <w:tcPr>
            <w:tcW w:type="dxa" w:w="958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74,00</w:t>
            </w:r>
          </w:p>
        </w:tc>
        <w:tc>
          <w:tcPr>
            <w:tcW w:type="dxa" w:w="97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77,00</w:t>
            </w:r>
          </w:p>
        </w:tc>
        <w:tc>
          <w:tcPr>
            <w:tcW w:type="dxa" w:w="82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75,00</w:t>
            </w:r>
          </w:p>
        </w:tc>
        <w:tc>
          <w:tcPr>
            <w:tcW w:type="dxa" w:w="96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1,5275</w:t>
            </w:r>
          </w:p>
        </w:tc>
        <w:tc>
          <w:tcPr>
            <w:tcW w:type="dxa" w:w="76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2,03</w:t>
            </w:r>
          </w:p>
        </w:tc>
        <w:tc>
          <w:tcPr>
            <w:tcW w:type="dxa" w:w="107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75,33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37 665,00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75,33</w:t>
            </w:r>
          </w:p>
        </w:tc>
        <w:tc>
          <w:tcPr>
            <w:tcW w:type="dxa" w:w="132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37 665,00</w:t>
            </w:r>
          </w:p>
        </w:tc>
      </w:tr>
      <w:tr>
        <w:trPr>
          <w:trHeight w:hRule="atLeast" w:val="450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3"/>
              <w:spacing w:after="200" w:before="0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Соединитель для плинтуса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instrText>HYPERLINK "https://agregatoreat.ru/classifier/ktru-list?search=22.23.11.000&amp;expanded=true"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t>22.23.11.000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end"/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шт</w:t>
            </w:r>
          </w:p>
        </w:tc>
        <w:tc>
          <w:tcPr>
            <w:tcW w:type="dxa" w:w="62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958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16,00</w:t>
            </w:r>
          </w:p>
        </w:tc>
        <w:tc>
          <w:tcPr>
            <w:tcW w:type="dxa" w:w="97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17,00</w:t>
            </w:r>
          </w:p>
        </w:tc>
        <w:tc>
          <w:tcPr>
            <w:tcW w:type="dxa" w:w="82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16,20</w:t>
            </w:r>
          </w:p>
        </w:tc>
        <w:tc>
          <w:tcPr>
            <w:tcW w:type="dxa" w:w="96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0,5292</w:t>
            </w:r>
          </w:p>
        </w:tc>
        <w:tc>
          <w:tcPr>
            <w:tcW w:type="dxa" w:w="76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3,23</w:t>
            </w:r>
          </w:p>
        </w:tc>
        <w:tc>
          <w:tcPr>
            <w:tcW w:type="dxa" w:w="107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16,40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1 640,00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16,40</w:t>
            </w:r>
          </w:p>
        </w:tc>
        <w:tc>
          <w:tcPr>
            <w:tcW w:type="dxa" w:w="132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1 640,00</w:t>
            </w:r>
          </w:p>
        </w:tc>
      </w:tr>
      <w:tr>
        <w:trPr>
          <w:trHeight w:hRule="atLeast" w:val="360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3"/>
              <w:spacing w:after="200" w:before="0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Угол для плинтуса внутренний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instrText>HYPERLINK "https://agregatoreat.ru/classifier/ktru-list?search=22.23.11.000&amp;expanded=true"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t>22.23.11.000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end"/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шт</w:t>
            </w:r>
          </w:p>
        </w:tc>
        <w:tc>
          <w:tcPr>
            <w:tcW w:type="dxa" w:w="62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958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17,00</w:t>
            </w:r>
          </w:p>
        </w:tc>
        <w:tc>
          <w:tcPr>
            <w:tcW w:type="dxa" w:w="97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18,00</w:t>
            </w:r>
          </w:p>
        </w:tc>
        <w:tc>
          <w:tcPr>
            <w:tcW w:type="dxa" w:w="82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17,10</w:t>
            </w:r>
          </w:p>
        </w:tc>
        <w:tc>
          <w:tcPr>
            <w:tcW w:type="dxa" w:w="96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0,5508</w:t>
            </w:r>
          </w:p>
        </w:tc>
        <w:tc>
          <w:tcPr>
            <w:tcW w:type="dxa" w:w="76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3,17</w:t>
            </w:r>
          </w:p>
        </w:tc>
        <w:tc>
          <w:tcPr>
            <w:tcW w:type="dxa" w:w="107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17,37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1 737,00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17,37</w:t>
            </w:r>
          </w:p>
        </w:tc>
        <w:tc>
          <w:tcPr>
            <w:tcW w:type="dxa" w:w="132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1 737,00</w:t>
            </w:r>
          </w:p>
        </w:tc>
      </w:tr>
      <w:tr>
        <w:trPr>
          <w:trHeight w:hRule="atLeast" w:val="360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3"/>
              <w:spacing w:after="200" w:before="0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Угол для плинтуса наружный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instrText>HYPERLINK "https://agregatoreat.ru/classifier/ktru-list?search=22.23.11.000&amp;expanded=true"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t>22.23.11.000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end"/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шт</w:t>
            </w:r>
          </w:p>
        </w:tc>
        <w:tc>
          <w:tcPr>
            <w:tcW w:type="dxa" w:w="62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958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17,00</w:t>
            </w:r>
          </w:p>
        </w:tc>
        <w:tc>
          <w:tcPr>
            <w:tcW w:type="dxa" w:w="97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19,00</w:t>
            </w:r>
          </w:p>
        </w:tc>
        <w:tc>
          <w:tcPr>
            <w:tcW w:type="dxa" w:w="82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17,10</w:t>
            </w:r>
          </w:p>
        </w:tc>
        <w:tc>
          <w:tcPr>
            <w:tcW w:type="dxa" w:w="96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1,1269</w:t>
            </w:r>
          </w:p>
        </w:tc>
        <w:tc>
          <w:tcPr>
            <w:tcW w:type="dxa" w:w="76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6,37</w:t>
            </w:r>
          </w:p>
        </w:tc>
        <w:tc>
          <w:tcPr>
            <w:tcW w:type="dxa" w:w="107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17,70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1 770,00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17,70</w:t>
            </w:r>
          </w:p>
        </w:tc>
        <w:tc>
          <w:tcPr>
            <w:tcW w:type="dxa" w:w="132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1 770,00</w:t>
            </w:r>
          </w:p>
        </w:tc>
      </w:tr>
      <w:tr>
        <w:trPr>
          <w:trHeight w:hRule="atLeast" w:val="360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3"/>
              <w:spacing w:after="200" w:before="0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Заглушка левая и правая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instrText>HYPERLINK "https://agregatoreat.ru/classifier/ktru-list?search=22.23.11.000&amp;expanded=true"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t>22.23.11.000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end"/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шт</w:t>
            </w:r>
          </w:p>
        </w:tc>
        <w:tc>
          <w:tcPr>
            <w:tcW w:type="dxa" w:w="62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958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16,00</w:t>
            </w:r>
          </w:p>
        </w:tc>
        <w:tc>
          <w:tcPr>
            <w:tcW w:type="dxa" w:w="97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17,80</w:t>
            </w:r>
          </w:p>
        </w:tc>
        <w:tc>
          <w:tcPr>
            <w:tcW w:type="dxa" w:w="82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16,40</w:t>
            </w:r>
          </w:p>
        </w:tc>
        <w:tc>
          <w:tcPr>
            <w:tcW w:type="dxa" w:w="96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0,9452</w:t>
            </w:r>
          </w:p>
        </w:tc>
        <w:tc>
          <w:tcPr>
            <w:tcW w:type="dxa" w:w="76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5,65</w:t>
            </w:r>
          </w:p>
        </w:tc>
        <w:tc>
          <w:tcPr>
            <w:tcW w:type="dxa" w:w="107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16,73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1 673,00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16,73</w:t>
            </w:r>
          </w:p>
        </w:tc>
        <w:tc>
          <w:tcPr>
            <w:tcW w:type="dxa" w:w="132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1 673,00</w:t>
            </w:r>
          </w:p>
        </w:tc>
      </w:tr>
      <w:tr>
        <w:trPr>
          <w:trHeight w:hRule="atLeast" w:val="360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3"/>
              <w:spacing w:after="200" w:before="0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Крепления плинтуса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instrText>HYPERLINK "https://agregatoreat.ru/classifier/ktru-list?search=25.93.14.119&amp;expanded=true"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t>25.93.14.119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</w:rPr>
              <w:fldChar w:fldCharType="end"/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шт</w:t>
            </w:r>
          </w:p>
        </w:tc>
        <w:tc>
          <w:tcPr>
            <w:tcW w:type="dxa" w:w="62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1 000</w:t>
            </w:r>
          </w:p>
        </w:tc>
        <w:tc>
          <w:tcPr>
            <w:tcW w:type="dxa" w:w="958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2,73</w:t>
            </w:r>
          </w:p>
        </w:tc>
        <w:tc>
          <w:tcPr>
            <w:tcW w:type="dxa" w:w="97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3,00</w:t>
            </w:r>
          </w:p>
        </w:tc>
        <w:tc>
          <w:tcPr>
            <w:tcW w:type="dxa" w:w="82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2,80</w:t>
            </w:r>
          </w:p>
        </w:tc>
        <w:tc>
          <w:tcPr>
            <w:tcW w:type="dxa" w:w="96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0,1404</w:t>
            </w:r>
          </w:p>
        </w:tc>
        <w:tc>
          <w:tcPr>
            <w:tcW w:type="dxa" w:w="76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4,94</w:t>
            </w:r>
          </w:p>
        </w:tc>
        <w:tc>
          <w:tcPr>
            <w:tcW w:type="dxa" w:w="107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2,84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2 840,00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2,84</w:t>
            </w:r>
          </w:p>
        </w:tc>
        <w:tc>
          <w:tcPr>
            <w:tcW w:type="dxa" w:w="132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2 840,00</w:t>
            </w:r>
          </w:p>
        </w:tc>
      </w:tr>
      <w:tr>
        <w:trPr>
          <w:trHeight w:hRule="atLeast" w:val="360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3"/>
              <w:spacing w:after="200" w:before="0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Линолеум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spacing w:after="120" w:before="120"/>
              <w:ind w:firstLine="0" w:left="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  <w:t>22.23.15.000</w:t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м2</w:t>
            </w:r>
          </w:p>
        </w:tc>
        <w:tc>
          <w:tcPr>
            <w:tcW w:type="dxa" w:w="62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958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697,00</w:t>
            </w:r>
          </w:p>
        </w:tc>
        <w:tc>
          <w:tcPr>
            <w:tcW w:type="dxa" w:w="97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711,00</w:t>
            </w:r>
          </w:p>
        </w:tc>
        <w:tc>
          <w:tcPr>
            <w:tcW w:type="dxa" w:w="82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700,00</w:t>
            </w:r>
          </w:p>
        </w:tc>
        <w:tc>
          <w:tcPr>
            <w:tcW w:type="dxa" w:w="96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7,3711</w:t>
            </w:r>
          </w:p>
        </w:tc>
        <w:tc>
          <w:tcPr>
            <w:tcW w:type="dxa" w:w="76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1,05</w:t>
            </w:r>
          </w:p>
        </w:tc>
        <w:tc>
          <w:tcPr>
            <w:tcW w:type="dxa" w:w="107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702,67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702,67</w:t>
            </w:r>
          </w:p>
        </w:tc>
        <w:tc>
          <w:tcPr>
            <w:tcW w:type="dxa" w:w="112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700,13</w:t>
            </w:r>
          </w:p>
        </w:tc>
        <w:tc>
          <w:tcPr>
            <w:tcW w:type="dxa" w:w="132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B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700,13</w:t>
            </w:r>
          </w:p>
        </w:tc>
      </w:tr>
      <w:tr>
        <w:trPr>
          <w:trHeight w:hRule="atLeast" w:val="711"/>
        </w:trPr>
        <w:tc>
          <w:tcPr>
            <w:tcW w:type="dxa" w:w="10719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  <w:b w:val="1"/>
                <w:color w:val="C0504D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color w:val="C0504D"/>
                <w:sz w:val="24"/>
                <w:u w:val="none"/>
              </w:rPr>
              <w:t xml:space="preserve">На основании проведенного анализа рынка и расчетов, а также в соответствии с доведенными лимитами бюджетных обязательств на 2026г. </w:t>
            </w:r>
            <w:r>
              <w:rPr>
                <w:rFonts w:ascii="Times New Roman" w:hAnsi="Times New Roman"/>
                <w:b w:val="1"/>
                <w:color w:val="C0504D"/>
                <w:sz w:val="24"/>
                <w:u w:val="none"/>
              </w:rPr>
              <w:t xml:space="preserve">НМЦК </w:t>
            </w:r>
            <w:r>
              <w:rPr>
                <w:rFonts w:ascii="Times New Roman" w:hAnsi="Times New Roman"/>
                <w:b w:val="1"/>
                <w:color w:val="C0504D"/>
                <w:sz w:val="24"/>
                <w:u w:val="none"/>
              </w:rPr>
              <w:t>составляет: 204 245,09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  <w:t>204 792,25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  <w:t>х</w:t>
            </w:r>
          </w:p>
        </w:tc>
        <w:tc>
          <w:tcPr>
            <w:tcW w:type="dxa" w:w="1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ind/>
              <w:jc w:val="center"/>
              <w:rPr>
                <w:rFonts w:ascii="Times New Roman" w:hAnsi="Times New Roman"/>
                <w:b w:val="1"/>
                <w:color w:val="C0504D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color w:val="C0504D"/>
                <w:sz w:val="24"/>
                <w:u w:val="none"/>
              </w:rPr>
              <w:t>204 245,09</w:t>
            </w:r>
          </w:p>
        </w:tc>
      </w:tr>
    </w:tbl>
    <w:p w14:paraId="B0000000">
      <w:pPr>
        <w:ind w:firstLine="567" w:left="0"/>
        <w:jc w:val="both"/>
        <w:rPr>
          <w:rFonts w:ascii="Times New Roman" w:hAnsi="Times New Roman"/>
          <w:sz w:val="24"/>
        </w:rPr>
      </w:pPr>
    </w:p>
    <w:p w14:paraId="B1000000">
      <w:pPr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цену государственного контракта включены все расходы, предусмотренные извещением о проведении аукциона в электронной форме и проектом государственного контракта. </w:t>
      </w:r>
    </w:p>
    <w:p w14:paraId="B2000000">
      <w:pPr>
        <w:pStyle w:val="Style_4"/>
        <w:spacing w:before="0" w:line="240" w:lineRule="auto"/>
        <w:ind w:right="20"/>
        <w:jc w:val="both"/>
      </w:pPr>
    </w:p>
    <w:p w14:paraId="B3000000">
      <w:pPr>
        <w:pStyle w:val="Style_4"/>
        <w:spacing w:before="0" w:line="240" w:lineRule="auto"/>
        <w:ind w:right="20"/>
        <w:jc w:val="both"/>
      </w:pPr>
    </w:p>
    <w:p w14:paraId="B4000000">
      <w:pPr>
        <w:pStyle w:val="Style_4"/>
        <w:spacing w:before="0" w:line="240" w:lineRule="auto"/>
        <w:ind w:right="20"/>
        <w:jc w:val="both"/>
      </w:pPr>
      <w:r>
        <w:t xml:space="preserve">Контрактный управляющий </w:t>
      </w:r>
    </w:p>
    <w:p w14:paraId="B5000000">
      <w:pPr>
        <w:pStyle w:val="Style_4"/>
        <w:spacing w:before="0" w:line="240" w:lineRule="auto"/>
        <w:ind w:right="20"/>
        <w:jc w:val="both"/>
      </w:pPr>
      <w:r>
        <w:t xml:space="preserve">МТУ </w:t>
      </w:r>
      <w:r>
        <w:t>Росимущества</w:t>
      </w:r>
      <w:r>
        <w:t xml:space="preserve"> в Алтайском крае </w:t>
      </w:r>
    </w:p>
    <w:p w14:paraId="B6000000">
      <w:pPr>
        <w:pStyle w:val="Style_4"/>
        <w:spacing w:before="0" w:line="240" w:lineRule="auto"/>
        <w:ind w:right="20"/>
        <w:jc w:val="both"/>
      </w:pPr>
      <w:r>
        <w:t>и Республике Алтай</w:t>
      </w:r>
      <w:r>
        <w:tab/>
      </w:r>
      <w:r>
        <w:tab/>
      </w:r>
      <w:r>
        <w:tab/>
      </w:r>
      <w:r>
        <w:t xml:space="preserve">                                                                                                                                                                         </w:t>
      </w:r>
      <w:r>
        <w:t xml:space="preserve">      </w:t>
      </w:r>
      <w:r>
        <w:t>Т.Г. Гвоздовская</w:t>
      </w:r>
    </w:p>
    <w:p w14:paraId="B7000000">
      <w:pPr>
        <w:pStyle w:val="Style_4"/>
        <w:spacing w:before="0" w:line="240" w:lineRule="auto"/>
        <w:ind w:right="20"/>
        <w:jc w:val="both"/>
      </w:pPr>
      <w:r>
        <w:t>26.05.2026</w:t>
      </w:r>
    </w:p>
    <w:sectPr>
      <w:headerReference r:id="rId1" w:type="default"/>
      <w:footerReference r:id="rId2" w:type="default"/>
      <w:pgSz w:h="11908" w:orient="landscape" w:w="16848"/>
      <w:pgMar w:bottom="853" w:footer="708" w:gutter="0" w:header="708" w:left="1701" w:right="850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Arial Unicode MS" w:hAnsi="Arial Unicode MS"/>
      <w:color w:val="000000"/>
      <w:sz w:val="24"/>
    </w:rPr>
  </w:style>
  <w:style w:default="1" w:styleId="Style_3_ch" w:type="character">
    <w:name w:val="Normal"/>
    <w:link w:val="Style_3"/>
    <w:rPr>
      <w:rFonts w:ascii="Arial Unicode MS" w:hAnsi="Arial Unicode MS"/>
      <w:color w:val="000000"/>
      <w:sz w:val="24"/>
    </w:rPr>
  </w:style>
  <w:style w:styleId="Style_5" w:type="paragraph">
    <w:name w:val="Balloon Text"/>
    <w:basedOn w:val="Style_3"/>
    <w:link w:val="Style_5_ch"/>
    <w:rPr>
      <w:rFonts w:ascii="Segoe UI" w:hAnsi="Segoe UI"/>
      <w:sz w:val="18"/>
    </w:rPr>
  </w:style>
  <w:style w:styleId="Style_5_ch" w:type="character">
    <w:name w:val="Balloon Text"/>
    <w:basedOn w:val="Style_3_ch"/>
    <w:link w:val="Style_5"/>
    <w:rPr>
      <w:rFonts w:ascii="Segoe UI" w:hAnsi="Segoe UI"/>
      <w:sz w:val="18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spacing w:after="60" w:before="240"/>
      <w:ind/>
      <w:jc w:val="center"/>
      <w:outlineLvl w:val="0"/>
    </w:pPr>
    <w:rPr>
      <w:rFonts w:ascii="Times New Roman" w:hAnsi="Times New Roman"/>
      <w:b w:val="1"/>
      <w:sz w:val="28"/>
    </w:rPr>
  </w:style>
  <w:style w:styleId="Style_1_ch" w:type="character">
    <w:name w:val="heading 1"/>
    <w:basedOn w:val="Style_3_ch"/>
    <w:link w:val="Style_1"/>
    <w:rPr>
      <w:rFonts w:ascii="Times New Roman" w:hAnsi="Times New Roman"/>
      <w:b w:val="1"/>
      <w:sz w:val="28"/>
    </w:rPr>
  </w:style>
  <w:style w:styleId="Style_13" w:type="paragraph">
    <w:name w:val="Hyperlink"/>
    <w:basedOn w:val="Style_14"/>
    <w:link w:val="Style_13_ch"/>
    <w:rPr>
      <w:color w:val="0000FF"/>
      <w:u w:val="single"/>
    </w:rPr>
  </w:style>
  <w:style w:styleId="Style_13_ch" w:type="character">
    <w:name w:val="Hyperlink"/>
    <w:basedOn w:val="Style_14_ch"/>
    <w:link w:val="Style_13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highlightcolor"/>
    <w:basedOn w:val="Style_14"/>
    <w:link w:val="Style_19_ch"/>
  </w:style>
  <w:style w:styleId="Style_19_ch" w:type="character">
    <w:name w:val="highlightcolor"/>
    <w:basedOn w:val="Style_14_ch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Normal"/>
    <w:link w:val="Style_21_ch"/>
    <w:pPr>
      <w:widowControl w:val="0"/>
      <w:spacing w:after="0" w:line="240" w:lineRule="auto"/>
      <w:ind w:firstLine="720" w:left="0"/>
    </w:pPr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4" w:type="paragraph">
    <w:name w:val="Основной текст7"/>
    <w:basedOn w:val="Style_3"/>
    <w:link w:val="Style_4_ch"/>
    <w:pPr>
      <w:spacing w:before="6660" w:line="254" w:lineRule="exact"/>
      <w:ind/>
      <w:jc w:val="center"/>
    </w:pPr>
    <w:rPr>
      <w:rFonts w:ascii="Times New Roman" w:hAnsi="Times New Roman"/>
      <w:color w:val="000000"/>
      <w:sz w:val="21"/>
    </w:rPr>
  </w:style>
  <w:style w:styleId="Style_4_ch" w:type="character">
    <w:name w:val="Основной текст7"/>
    <w:basedOn w:val="Style_3_ch"/>
    <w:link w:val="Style_4"/>
    <w:rPr>
      <w:rFonts w:ascii="Times New Roman" w:hAnsi="Times New Roman"/>
      <w:color w:val="000000"/>
      <w:sz w:val="21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3.gif" Type="http://schemas.openxmlformats.org/officeDocument/2006/relationships/image"/>
  <Relationship Id="rId4" Target="media/2.gif" Type="http://schemas.openxmlformats.org/officeDocument/2006/relationships/image"/>
  <Relationship Id="rId3" Target="media/1.gif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2026-05-26T06:27:12Z</dcterms:modified>
</cp:coreProperties>
</file>