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360"/>
        <w:rPr>
          <w:sz w:val="20"/>
          <w:szCs w:val="20"/>
          <w:highlight w:val="none"/>
        </w:rPr>
      </w:pPr>
      <w:r>
        <w:rPr>
          <w:sz w:val="20"/>
          <w:szCs w:val="20"/>
        </w:rPr>
        <w:t xml:space="preserve">Приложение к ЗОУ</w:t>
      </w:r>
      <w:r>
        <w:rPr>
          <w:sz w:val="20"/>
          <w:szCs w:val="20"/>
          <w:highlight w:val="none"/>
        </w:rPr>
      </w:r>
    </w:p>
    <w:p>
      <w:pPr>
        <w:jc w:val="center"/>
        <w:shd w:val="clear" w:color="ffffff" w:fill="ffffff"/>
        <w:rPr>
          <w:rFonts w:eastAsia="Arial"/>
          <w:b/>
          <w:bCs/>
          <w:sz w:val="22"/>
          <w:szCs w:val="22"/>
          <w:lang w:eastAsia="en-US"/>
        </w:rPr>
        <w:pBdr>
          <w:top w:val="none" w:color="000000" w:sz="4" w:space="0"/>
          <w:left w:val="none" w:color="000000" w:sz="4" w:space="0"/>
          <w:bottom w:val="none" w:color="000000" w:sz="4" w:space="0"/>
          <w:right w:val="none" w:color="000000" w:sz="4" w:space="0"/>
        </w:pBdr>
      </w:pPr>
      <w:r/>
      <w:bookmarkStart w:id="0" w:name="undefined"/>
      <w:r/>
      <w:bookmarkEnd w:id="0"/>
      <w:r>
        <w:rPr>
          <w:rFonts w:eastAsia="Tahoma"/>
          <w:b/>
          <w:bCs/>
          <w:color w:val="000000"/>
          <w:sz w:val="22"/>
          <w:szCs w:val="22"/>
          <w:lang w:eastAsia="en-US"/>
        </w:rPr>
        <w:t xml:space="preserve">ИКЗ </w:t>
      </w:r>
      <w:r>
        <w:rPr>
          <w:rFonts w:eastAsia="Tahoma"/>
          <w:b/>
          <w:bCs/>
          <w:color w:val="000000"/>
          <w:sz w:val="22"/>
          <w:szCs w:val="22"/>
          <w:lang w:eastAsia="en-US"/>
        </w:rPr>
        <w:t xml:space="preserve">261773301215177330100100270000000244</w:t>
      </w:r>
      <w:r>
        <w:rPr>
          <w:rFonts w:eastAsia="Arial"/>
          <w:b/>
          <w:bCs/>
          <w:sz w:val="22"/>
          <w:szCs w:val="22"/>
          <w:lang w:eastAsia="en-US"/>
        </w:rPr>
      </w:r>
      <w:r>
        <w:rPr>
          <w:rFonts w:eastAsia="Arial"/>
          <w:b/>
          <w:bCs/>
          <w:sz w:val="22"/>
          <w:szCs w:val="22"/>
          <w:lang w:eastAsia="en-US"/>
        </w:rPr>
      </w:r>
    </w:p>
    <w:p>
      <w:pPr>
        <w:jc w:val="center"/>
        <w:spacing w:after="360"/>
        <w:rPr>
          <w:sz w:val="20"/>
          <w:szCs w:val="20"/>
        </w:rPr>
      </w:pPr>
      <w:r>
        <w:rPr>
          <w:sz w:val="20"/>
          <w:szCs w:val="20"/>
          <w:highlight w:val="none"/>
        </w:rPr>
      </w:r>
      <w:r>
        <w:rPr>
          <w:sz w:val="20"/>
          <w:szCs w:val="20"/>
          <w:highlight w:val="none"/>
        </w:rPr>
      </w:r>
    </w:p>
    <w:p>
      <w:pPr>
        <w:pStyle w:val="738"/>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Общие положения</w:t>
      </w:r>
      <w:r>
        <w:rPr>
          <w:rFonts w:ascii="Times New Roman" w:hAnsi="Times New Roman" w:cs="Times New Roman"/>
          <w:sz w:val="20"/>
          <w:szCs w:val="20"/>
        </w:rPr>
      </w:r>
    </w:p>
    <w:p>
      <w:pPr>
        <w:pStyle w:val="773"/>
        <w:numPr>
          <w:ilvl w:val="1"/>
          <w:numId w:val="2"/>
        </w:numPr>
        <w:contextualSpacing w:val="0"/>
        <w:ind w:left="567"/>
        <w:jc w:val="both"/>
        <w:rPr>
          <w:sz w:val="20"/>
          <w:szCs w:val="20"/>
        </w:rPr>
      </w:pPr>
      <w:r>
        <w:rPr>
          <w:sz w:val="20"/>
          <w:szCs w:val="20"/>
        </w:rPr>
        <w:t xml:space="preserve">Предложенная версия Договора адресована юридическим лицам и индивидуальным предпринимателям, зарегистрированным на территории Российской Федерации и осуществляющим медицинскую деятельность на территории Российской Федерации.</w:t>
      </w:r>
      <w:r>
        <w:rPr>
          <w:sz w:val="20"/>
          <w:szCs w:val="20"/>
        </w:rPr>
      </w:r>
    </w:p>
    <w:p>
      <w:pPr>
        <w:pStyle w:val="773"/>
        <w:numPr>
          <w:ilvl w:val="1"/>
          <w:numId w:val="2"/>
        </w:numPr>
        <w:contextualSpacing w:val="0"/>
        <w:ind w:left="567"/>
        <w:jc w:val="both"/>
        <w:rPr>
          <w:sz w:val="20"/>
          <w:szCs w:val="20"/>
        </w:rPr>
      </w:pPr>
      <w:r>
        <w:rPr>
          <w:sz w:val="20"/>
          <w:szCs w:val="20"/>
        </w:rPr>
        <w:t xml:space="preserve">Подписание Договора Лицензиатом означает полное и безоговорочное принятие (акцепт) им всех условий Договора без каких-либо изъятий и (или) ограничений.</w:t>
      </w:r>
      <w:r>
        <w:rPr>
          <w:sz w:val="20"/>
          <w:szCs w:val="20"/>
        </w:rPr>
      </w:r>
    </w:p>
    <w:p>
      <w:pPr>
        <w:pStyle w:val="773"/>
        <w:contextualSpacing w:val="0"/>
        <w:ind w:left="567"/>
        <w:jc w:val="both"/>
        <w:rPr>
          <w:sz w:val="20"/>
          <w:szCs w:val="20"/>
        </w:rPr>
      </w:pPr>
      <w:r>
        <w:rPr>
          <w:spacing w:val="1"/>
          <w:sz w:val="20"/>
          <w:szCs w:val="20"/>
        </w:rPr>
        <w:t xml:space="preserve">Со дня заключения Договора все предыдущие договорённости, соглашения, переговоры и переписка, относящиеся к предмету </w:t>
      </w:r>
      <w:r>
        <w:rPr>
          <w:spacing w:val="-1"/>
          <w:sz w:val="20"/>
          <w:szCs w:val="20"/>
        </w:rPr>
        <w:t xml:space="preserve">Договора, считаются недействительными.</w:t>
      </w:r>
      <w:r>
        <w:rPr>
          <w:sz w:val="20"/>
          <w:szCs w:val="20"/>
        </w:rPr>
      </w:r>
    </w:p>
    <w:p>
      <w:pPr>
        <w:pStyle w:val="773"/>
        <w:numPr>
          <w:ilvl w:val="1"/>
          <w:numId w:val="2"/>
        </w:numPr>
        <w:contextualSpacing w:val="0"/>
        <w:ind w:left="567"/>
        <w:jc w:val="both"/>
        <w:rPr>
          <w:sz w:val="20"/>
          <w:szCs w:val="20"/>
        </w:rPr>
      </w:pPr>
      <w:r>
        <w:rPr>
          <w:sz w:val="20"/>
          <w:szCs w:val="20"/>
        </w:rPr>
        <w:t xml:space="preserve">Местом заключения и исполнения Договора считается место нахождения Лицензиара – г. Санкт-Петербург.</w:t>
      </w:r>
      <w:r>
        <w:rPr>
          <w:sz w:val="20"/>
          <w:szCs w:val="20"/>
        </w:rPr>
      </w:r>
    </w:p>
    <w:p>
      <w:pPr>
        <w:pStyle w:val="773"/>
        <w:numPr>
          <w:ilvl w:val="1"/>
          <w:numId w:val="2"/>
        </w:numPr>
        <w:contextualSpacing w:val="0"/>
        <w:ind w:left="567"/>
        <w:jc w:val="both"/>
        <w:rPr>
          <w:sz w:val="20"/>
          <w:szCs w:val="20"/>
        </w:rPr>
      </w:pPr>
      <w:r>
        <w:rPr>
          <w:sz w:val="20"/>
          <w:szCs w:val="20"/>
        </w:rPr>
        <w:t xml:space="preserve">Неотъемлемой частью Договора являются следующие документы:</w:t>
      </w:r>
      <w:r>
        <w:rPr>
          <w:sz w:val="20"/>
          <w:szCs w:val="20"/>
        </w:rPr>
      </w:r>
    </w:p>
    <w:p>
      <w:pPr>
        <w:pStyle w:val="773"/>
        <w:numPr>
          <w:ilvl w:val="0"/>
          <w:numId w:val="3"/>
        </w:numPr>
        <w:contextualSpacing w:val="0"/>
        <w:ind w:left="851" w:hanging="284"/>
        <w:jc w:val="both"/>
        <w:rPr>
          <w:sz w:val="20"/>
          <w:szCs w:val="20"/>
        </w:rPr>
      </w:pPr>
      <w:r>
        <w:rPr>
          <w:sz w:val="20"/>
          <w:szCs w:val="20"/>
        </w:rPr>
        <w:t xml:space="preserve">Функциональное описание Программы, постоянно размещённое в сети Интернет по адресу http://api.n3health.ru,</w:t>
      </w:r>
      <w:r>
        <w:rPr>
          <w:sz w:val="20"/>
          <w:szCs w:val="20"/>
        </w:rPr>
      </w:r>
    </w:p>
    <w:p>
      <w:pPr>
        <w:pStyle w:val="773"/>
        <w:numPr>
          <w:ilvl w:val="0"/>
          <w:numId w:val="3"/>
        </w:numPr>
        <w:contextualSpacing w:val="0"/>
        <w:ind w:left="851" w:hanging="284"/>
        <w:jc w:val="both"/>
        <w:rPr>
          <w:sz w:val="20"/>
          <w:szCs w:val="20"/>
        </w:rPr>
      </w:pPr>
      <w:r>
        <w:rPr>
          <w:sz w:val="20"/>
          <w:szCs w:val="20"/>
        </w:rPr>
        <w:t xml:space="preserve">приложение № 1 «Технические условия взаимодействия сторон и использования Программы»,</w:t>
      </w:r>
      <w:r>
        <w:rPr>
          <w:sz w:val="20"/>
          <w:szCs w:val="20"/>
        </w:rPr>
      </w:r>
    </w:p>
    <w:p>
      <w:pPr>
        <w:pStyle w:val="773"/>
        <w:numPr>
          <w:ilvl w:val="0"/>
          <w:numId w:val="3"/>
        </w:numPr>
        <w:contextualSpacing w:val="0"/>
        <w:ind w:left="851" w:hanging="284"/>
        <w:jc w:val="both"/>
        <w:rPr>
          <w:sz w:val="20"/>
          <w:szCs w:val="20"/>
        </w:rPr>
      </w:pPr>
      <w:r>
        <w:rPr>
          <w:sz w:val="20"/>
          <w:szCs w:val="20"/>
        </w:rPr>
        <w:t xml:space="preserve">приложение № 2 «Форма анкеты на организацию доступа к компоненту Программы»,</w:t>
      </w:r>
      <w:r>
        <w:rPr>
          <w:sz w:val="20"/>
          <w:szCs w:val="20"/>
        </w:rPr>
      </w:r>
    </w:p>
    <w:p>
      <w:pPr>
        <w:pStyle w:val="773"/>
        <w:numPr>
          <w:ilvl w:val="0"/>
          <w:numId w:val="3"/>
        </w:numPr>
        <w:contextualSpacing w:val="0"/>
        <w:ind w:left="851" w:hanging="284"/>
        <w:jc w:val="both"/>
        <w:rPr>
          <w:sz w:val="20"/>
          <w:szCs w:val="20"/>
        </w:rPr>
      </w:pPr>
      <w:r>
        <w:rPr>
          <w:sz w:val="20"/>
          <w:szCs w:val="20"/>
        </w:rPr>
        <w:t xml:space="preserve">Приложение №4 «О включении подсистемы MILA в состав передаваемых Лицензиату компонентов программного комплекса N</w:t>
      </w:r>
      <w:r>
        <w:rPr>
          <w:sz w:val="20"/>
          <w:szCs w:val="20"/>
        </w:rPr>
        <w:t xml:space="preserve">3.Health</w:t>
      </w:r>
      <w:r>
        <w:rPr>
          <w:sz w:val="20"/>
          <w:szCs w:val="20"/>
        </w:rPr>
        <w:t xml:space="preserve">».</w:t>
      </w:r>
      <w:r>
        <w:rPr>
          <w:sz w:val="20"/>
          <w:szCs w:val="20"/>
        </w:rPr>
      </w:r>
    </w:p>
    <w:p>
      <w:pPr>
        <w:ind w:left="567"/>
        <w:jc w:val="both"/>
        <w:rPr>
          <w:sz w:val="20"/>
          <w:szCs w:val="20"/>
        </w:rPr>
      </w:pPr>
      <w:r>
        <w:rPr>
          <w:sz w:val="20"/>
          <w:szCs w:val="20"/>
        </w:rPr>
        <w:t xml:space="preserve">Указанные в настоящем пункте документы постоянно размещены в сети Интернет по адресу </w:t>
      </w:r>
      <w:r>
        <w:rPr>
          <w:sz w:val="20"/>
          <w:szCs w:val="20"/>
          <w:lang w:val="en-US"/>
        </w:rPr>
        <w:t xml:space="preserve">n</w:t>
      </w:r>
      <w:r>
        <w:rPr>
          <w:sz w:val="20"/>
          <w:szCs w:val="20"/>
        </w:rPr>
        <w:t xml:space="preserve">3</w:t>
      </w:r>
      <w:r>
        <w:rPr>
          <w:sz w:val="20"/>
          <w:szCs w:val="20"/>
          <w:lang w:val="en-US"/>
        </w:rPr>
        <w:t xml:space="preserve">health</w:t>
      </w:r>
      <w:r>
        <w:rPr>
          <w:sz w:val="20"/>
          <w:szCs w:val="20"/>
        </w:rPr>
        <w:t xml:space="preserve">.</w:t>
      </w:r>
      <w:r>
        <w:rPr>
          <w:sz w:val="20"/>
          <w:szCs w:val="20"/>
          <w:lang w:val="en-US"/>
        </w:rPr>
        <w:t xml:space="preserve">ru</w:t>
      </w:r>
      <w:r>
        <w:rPr>
          <w:sz w:val="20"/>
          <w:szCs w:val="20"/>
        </w:rPr>
        <w:t xml:space="preserve">.</w:t>
      </w:r>
      <w:r>
        <w:rPr>
          <w:sz w:val="20"/>
          <w:szCs w:val="20"/>
        </w:rPr>
      </w:r>
    </w:p>
    <w:p>
      <w:pPr>
        <w:pStyle w:val="773"/>
        <w:numPr>
          <w:ilvl w:val="1"/>
          <w:numId w:val="2"/>
        </w:numPr>
        <w:ind w:left="567" w:hanging="567"/>
        <w:jc w:val="both"/>
        <w:rPr>
          <w:sz w:val="20"/>
          <w:szCs w:val="20"/>
        </w:rPr>
      </w:pPr>
      <w:r>
        <w:rPr>
          <w:sz w:val="20"/>
          <w:szCs w:val="20"/>
        </w:rPr>
        <w:t xml:space="preserve">Термины и определения, используемые в ходе трактования и исполнения Договора:</w:t>
      </w:r>
      <w:r>
        <w:rPr>
          <w:sz w:val="20"/>
          <w:szCs w:val="20"/>
        </w:rPr>
      </w:r>
    </w:p>
    <w:p>
      <w:pPr>
        <w:pStyle w:val="773"/>
        <w:ind w:left="567"/>
        <w:jc w:val="both"/>
        <w:rPr>
          <w:sz w:val="20"/>
          <w:szCs w:val="20"/>
        </w:rPr>
      </w:pPr>
      <w:r>
        <w:rPr>
          <w:sz w:val="20"/>
          <w:szCs w:val="20"/>
          <w:u w:val="single"/>
        </w:rPr>
        <w:t xml:space="preserve">Анкета</w:t>
      </w:r>
      <w:r>
        <w:rPr>
          <w:sz w:val="20"/>
          <w:szCs w:val="20"/>
        </w:rPr>
        <w:t xml:space="preserve"> – приложение № 2 к Договору «Форма анкеты для организации доступа к компоненту Программы».</w:t>
      </w:r>
      <w:r>
        <w:rPr>
          <w:sz w:val="20"/>
          <w:szCs w:val="20"/>
        </w:rPr>
      </w:r>
    </w:p>
    <w:p>
      <w:pPr>
        <w:pStyle w:val="773"/>
        <w:ind w:left="567"/>
        <w:jc w:val="both"/>
        <w:rPr>
          <w:sz w:val="20"/>
          <w:szCs w:val="20"/>
        </w:rPr>
      </w:pPr>
      <w:r>
        <w:rPr>
          <w:sz w:val="20"/>
          <w:szCs w:val="20"/>
          <w:u w:val="single"/>
        </w:rPr>
        <w:t xml:space="preserve">ИСПДН</w:t>
      </w:r>
      <w:r>
        <w:rPr>
          <w:sz w:val="20"/>
          <w:szCs w:val="20"/>
        </w:rPr>
        <w:t xml:space="preserve"> - информационная система персональных данных.</w:t>
      </w:r>
      <w:r>
        <w:rPr>
          <w:sz w:val="20"/>
          <w:szCs w:val="20"/>
        </w:rPr>
      </w:r>
    </w:p>
    <w:p>
      <w:pPr>
        <w:pStyle w:val="773"/>
        <w:ind w:left="567"/>
        <w:jc w:val="both"/>
        <w:rPr>
          <w:sz w:val="20"/>
          <w:szCs w:val="20"/>
        </w:rPr>
      </w:pPr>
      <w:r>
        <w:rPr>
          <w:sz w:val="20"/>
          <w:szCs w:val="20"/>
          <w:u w:val="single"/>
        </w:rPr>
        <w:t xml:space="preserve">Лицензия</w:t>
      </w:r>
      <w:r>
        <w:rPr>
          <w:sz w:val="20"/>
          <w:szCs w:val="20"/>
        </w:rPr>
        <w:t xml:space="preserve"> </w:t>
      </w:r>
      <w:r>
        <w:rPr>
          <w:rFonts w:ascii="Symbol" w:hAnsi="Symbol" w:eastAsia="Symbol" w:cs="Symbol"/>
          <w:sz w:val="20"/>
          <w:szCs w:val="20"/>
        </w:rPr>
        <w:t xml:space="preserve">-</w:t>
      </w:r>
      <w:r>
        <w:rPr>
          <w:sz w:val="20"/>
          <w:szCs w:val="20"/>
        </w:rPr>
        <w:t xml:space="preserve"> общие условия использования Программы: способы, срок, территория и пр.</w:t>
      </w:r>
      <w:r>
        <w:rPr>
          <w:sz w:val="20"/>
          <w:szCs w:val="20"/>
        </w:rPr>
      </w:r>
    </w:p>
    <w:p>
      <w:pPr>
        <w:pStyle w:val="739"/>
        <w:numPr>
          <w:ilvl w:val="0"/>
          <w:numId w:val="0"/>
        </w:numPr>
        <w:ind w:left="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Медицинская организация</w:t>
      </w:r>
      <w:r>
        <w:rPr>
          <w:rFonts w:ascii="Times New Roman" w:hAnsi="Times New Roman" w:cs="Times New Roman"/>
          <w:b w:val="0"/>
          <w:i w:val="0"/>
          <w:sz w:val="20"/>
          <w:szCs w:val="20"/>
        </w:rPr>
        <w:t xml:space="preserve"> - Лицензиат и (или) любое его структурное подразделение, имеющее уникальный номер </w:t>
      </w:r>
      <w:r>
        <w:rPr>
          <w:rFonts w:ascii="Times New Roman" w:hAnsi="Times New Roman" w:cs="Times New Roman"/>
          <w:b w:val="0"/>
          <w:i w:val="0"/>
          <w:sz w:val="20"/>
          <w:szCs w:val="20"/>
          <w:lang w:val="en-US"/>
        </w:rPr>
        <w:t xml:space="preserve">OID</w:t>
      </w:r>
      <w:r>
        <w:rPr>
          <w:rFonts w:ascii="Times New Roman" w:hAnsi="Times New Roman" w:cs="Times New Roman"/>
          <w:b w:val="0"/>
          <w:i w:val="0"/>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rFonts w:ascii="Times New Roman" w:hAnsi="Times New Roman" w:cs="Times New Roman"/>
          <w:b w:val="0"/>
          <w:i w:val="0"/>
          <w:sz w:val="20"/>
          <w:szCs w:val="20"/>
        </w:rPr>
      </w:r>
    </w:p>
    <w:p>
      <w:pPr>
        <w:pStyle w:val="773"/>
        <w:contextualSpacing w:val="0"/>
        <w:ind w:left="567"/>
        <w:jc w:val="both"/>
        <w:rPr>
          <w:sz w:val="20"/>
          <w:szCs w:val="20"/>
        </w:rPr>
      </w:pPr>
      <w:r>
        <w:rPr>
          <w:sz w:val="20"/>
          <w:szCs w:val="20"/>
          <w:u w:val="single"/>
        </w:rPr>
        <w:t xml:space="preserve">МИС</w:t>
      </w:r>
      <w:r>
        <w:rPr>
          <w:sz w:val="20"/>
          <w:szCs w:val="20"/>
        </w:rPr>
        <w:t xml:space="preserve"> – медицинская информационная система.</w:t>
      </w:r>
      <w:r>
        <w:rPr>
          <w:sz w:val="20"/>
          <w:szCs w:val="20"/>
        </w:rPr>
      </w:r>
    </w:p>
    <w:p>
      <w:pPr>
        <w:pStyle w:val="739"/>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u w:val="single"/>
        </w:rPr>
        <w:t xml:space="preserve">Отчётный период</w:t>
      </w:r>
      <w:r>
        <w:rPr>
          <w:rFonts w:ascii="Times New Roman" w:hAnsi="Times New Roman" w:cs="Times New Roman"/>
          <w:b w:val="0"/>
          <w:i w:val="0"/>
          <w:sz w:val="20"/>
          <w:szCs w:val="20"/>
        </w:rPr>
        <w:t xml:space="preserve"> </w:t>
      </w:r>
      <w:r>
        <w:rPr>
          <w:rFonts w:ascii="Symbol" w:hAnsi="Symbol" w:eastAsia="Symbol" w:cs="Symbol"/>
          <w:b w:val="0"/>
          <w:i w:val="0"/>
          <w:sz w:val="20"/>
          <w:szCs w:val="20"/>
        </w:rPr>
        <w:t xml:space="preserve">-</w:t>
      </w:r>
      <w:r>
        <w:rPr>
          <w:rFonts w:ascii="Times New Roman" w:hAnsi="Times New Roman" w:cs="Times New Roman"/>
          <w:b w:val="0"/>
          <w:i w:val="0"/>
          <w:sz w:val="20"/>
          <w:szCs w:val="20"/>
        </w:rPr>
        <w:t xml:space="preserve"> </w:t>
      </w:r>
      <w:r>
        <w:rPr>
          <w:rFonts w:ascii="Times New Roman" w:hAnsi="Times New Roman" w:cs="Times New Roman"/>
          <w:b w:val="0"/>
          <w:i w:val="0"/>
          <w:sz w:val="20"/>
          <w:szCs w:val="20"/>
        </w:rPr>
        <w:t xml:space="preserve">период</w:t>
      </w:r>
      <w:r>
        <w:rPr>
          <w:rFonts w:ascii="Times New Roman" w:hAnsi="Times New Roman" w:cs="Times New Roman"/>
          <w:b w:val="0"/>
          <w:i w:val="0"/>
          <w:sz w:val="20"/>
          <w:szCs w:val="20"/>
        </w:rPr>
        <w:t xml:space="preserve"> использования Программы. Определён как календарный месяц.</w:t>
      </w:r>
      <w:r>
        <w:rPr>
          <w:rFonts w:ascii="Times New Roman" w:hAnsi="Times New Roman" w:cs="Times New Roman"/>
          <w:b w:val="0"/>
          <w:i w:val="0"/>
          <w:sz w:val="20"/>
          <w:szCs w:val="20"/>
        </w:rPr>
      </w:r>
    </w:p>
    <w:p>
      <w:pPr>
        <w:pStyle w:val="773"/>
        <w:ind w:left="567"/>
        <w:jc w:val="both"/>
        <w:rPr>
          <w:sz w:val="20"/>
          <w:szCs w:val="20"/>
          <w:u w:val="single"/>
        </w:rPr>
      </w:pPr>
      <w:r>
        <w:rPr>
          <w:sz w:val="20"/>
          <w:szCs w:val="20"/>
          <w:u w:val="single"/>
        </w:rPr>
        <w:t xml:space="preserve">ПДн</w:t>
      </w:r>
      <w:r>
        <w:rPr>
          <w:sz w:val="20"/>
          <w:szCs w:val="20"/>
        </w:rPr>
        <w:t xml:space="preserve"> </w:t>
      </w:r>
      <w:r>
        <w:rPr>
          <w:rFonts w:ascii="Symbol" w:hAnsi="Symbol" w:eastAsia="Symbol" w:cs="Symbol"/>
          <w:sz w:val="20"/>
          <w:szCs w:val="20"/>
        </w:rPr>
        <w:t xml:space="preserve">-</w:t>
      </w:r>
      <w:r>
        <w:rPr>
          <w:sz w:val="20"/>
          <w:szCs w:val="20"/>
        </w:rPr>
        <w:t xml:space="preserve"> персональные данные.</w:t>
      </w:r>
      <w:r>
        <w:rPr>
          <w:sz w:val="20"/>
          <w:szCs w:val="20"/>
          <w:u w:val="single"/>
        </w:rPr>
      </w:r>
    </w:p>
    <w:p>
      <w:pPr>
        <w:pStyle w:val="773"/>
        <w:ind w:left="567"/>
        <w:jc w:val="both"/>
        <w:rPr>
          <w:sz w:val="20"/>
          <w:szCs w:val="20"/>
        </w:rPr>
      </w:pPr>
      <w:r>
        <w:rPr>
          <w:sz w:val="20"/>
          <w:szCs w:val="20"/>
          <w:u w:val="single"/>
        </w:rPr>
        <w:t xml:space="preserve">Программа</w:t>
      </w:r>
      <w:r>
        <w:rPr>
          <w:sz w:val="20"/>
          <w:szCs w:val="20"/>
        </w:rPr>
        <w:t xml:space="preserve"> </w:t>
      </w:r>
      <w:r>
        <w:rPr>
          <w:rFonts w:ascii="Symbol" w:hAnsi="Symbol" w:eastAsia="Symbol" w:cs="Symbol"/>
          <w:sz w:val="20"/>
          <w:szCs w:val="20"/>
        </w:rPr>
        <w:t xml:space="preserve">-</w:t>
      </w:r>
      <w:r>
        <w:rPr>
          <w:sz w:val="20"/>
          <w:szCs w:val="20"/>
        </w:rPr>
        <w:t xml:space="preserve"> </w:t>
      </w:r>
      <w:r>
        <w:rPr>
          <w:sz w:val="20"/>
          <w:szCs w:val="20"/>
        </w:rPr>
        <w:t xml:space="preserve">программа</w:t>
      </w:r>
      <w:r>
        <w:rPr>
          <w:sz w:val="20"/>
          <w:szCs w:val="20"/>
        </w:rPr>
        <w:t xml:space="preserve"> для ЭВМ программный комплекс «</w:t>
      </w:r>
      <w:r>
        <w:rPr>
          <w:sz w:val="20"/>
          <w:szCs w:val="20"/>
          <w:lang w:val="en-US"/>
        </w:rPr>
        <w:t xml:space="preserve">N</w:t>
      </w:r>
      <w:r>
        <w:rPr>
          <w:sz w:val="20"/>
          <w:szCs w:val="20"/>
        </w:rPr>
        <w:t xml:space="preserve">3.</w:t>
      </w:r>
      <w:r>
        <w:rPr>
          <w:sz w:val="20"/>
          <w:szCs w:val="20"/>
          <w:lang w:val="en-US"/>
        </w:rPr>
        <w:t xml:space="preserve">H</w:t>
      </w:r>
      <w:r>
        <w:rPr>
          <w:sz w:val="20"/>
          <w:szCs w:val="20"/>
        </w:rPr>
        <w:t xml:space="preserve">ealth</w:t>
      </w:r>
      <w:r>
        <w:rPr>
          <w:sz w:val="20"/>
          <w:szCs w:val="20"/>
        </w:rPr>
        <w:t xml:space="preserve">» (запись в реестре отечественного программного обеспечения № 9016 от 05.02.2021 выполнена на ос</w:t>
      </w:r>
      <w:r>
        <w:rPr>
          <w:sz w:val="20"/>
          <w:szCs w:val="20"/>
        </w:rPr>
        <w:t xml:space="preserve">новании приказа Министерства цифрового развития, связи и массовых коммуникаций Российской Федерации от 05.02.2021 № 58) и (или) ее компоненты. Правообладателем Программы является Лицензиар. Программа состоит из компонентов, перечень которых содержится в Фу</w:t>
      </w:r>
      <w:r>
        <w:rPr>
          <w:sz w:val="20"/>
          <w:szCs w:val="20"/>
        </w:rPr>
        <w:t xml:space="preserve">нкциональном описании Программы. Программа функционирует по принципу относительной независимости компонентов, который предполагает максимально возможную их независимость друг от друга без ущерба для реализации целей интегрирующего программного обеспечения.</w:t>
      </w:r>
      <w:r>
        <w:rPr>
          <w:sz w:val="20"/>
          <w:szCs w:val="20"/>
        </w:rPr>
      </w:r>
    </w:p>
    <w:p>
      <w:pPr>
        <w:pStyle w:val="773"/>
        <w:contextualSpacing w:val="0"/>
        <w:ind w:left="567"/>
        <w:jc w:val="both"/>
        <w:rPr>
          <w:sz w:val="20"/>
          <w:szCs w:val="20"/>
        </w:rPr>
      </w:pPr>
      <w:r>
        <w:rPr>
          <w:sz w:val="20"/>
          <w:szCs w:val="20"/>
          <w:u w:val="single"/>
        </w:rPr>
        <w:t xml:space="preserve">Тарифы</w:t>
      </w:r>
      <w:r>
        <w:rPr>
          <w:sz w:val="20"/>
          <w:szCs w:val="20"/>
        </w:rPr>
        <w:t xml:space="preserve"> </w:t>
      </w:r>
      <w:r>
        <w:rPr>
          <w:rFonts w:ascii="Symbol" w:hAnsi="Symbol" w:eastAsia="Symbol" w:cs="Symbol"/>
          <w:sz w:val="20"/>
          <w:szCs w:val="20"/>
        </w:rPr>
        <w:t xml:space="preserve">-</w:t>
      </w:r>
      <w:r>
        <w:rPr>
          <w:sz w:val="20"/>
          <w:szCs w:val="20"/>
        </w:rPr>
        <w:t xml:space="preserve"> приложение № 3 к Договору «Тарифы ООО «</w:t>
      </w:r>
      <w:r>
        <w:rPr>
          <w:sz w:val="20"/>
          <w:szCs w:val="20"/>
        </w:rPr>
        <w:t xml:space="preserve">ЭлНетМед</w:t>
      </w:r>
      <w:r>
        <w:rPr>
          <w:sz w:val="20"/>
          <w:szCs w:val="20"/>
        </w:rPr>
        <w:t xml:space="preserve">», ценовая политика Лицензиара в отношении Лицензии и сопутствующих услуг (при наличии).</w:t>
      </w:r>
      <w:r>
        <w:rPr>
          <w:sz w:val="20"/>
          <w:szCs w:val="20"/>
        </w:rPr>
      </w:r>
    </w:p>
    <w:p>
      <w:pPr>
        <w:pStyle w:val="773"/>
        <w:contextualSpacing w:val="0"/>
        <w:ind w:left="567"/>
        <w:jc w:val="both"/>
        <w:rPr>
          <w:sz w:val="20"/>
          <w:szCs w:val="20"/>
        </w:rPr>
      </w:pPr>
      <w:r>
        <w:rPr>
          <w:sz w:val="20"/>
          <w:szCs w:val="20"/>
          <w:u w:val="single"/>
        </w:rPr>
        <w:t xml:space="preserve">Условия</w:t>
      </w:r>
      <w:r>
        <w:rPr>
          <w:sz w:val="20"/>
          <w:szCs w:val="20"/>
        </w:rPr>
        <w:t xml:space="preserve"> </w:t>
      </w:r>
      <w:r>
        <w:rPr>
          <w:rFonts w:ascii="Symbol" w:hAnsi="Symbol" w:eastAsia="Symbol" w:cs="Symbol"/>
          <w:sz w:val="20"/>
          <w:szCs w:val="20"/>
        </w:rPr>
        <w:t xml:space="preserve">-</w:t>
      </w:r>
      <w:r>
        <w:rPr>
          <w:sz w:val="20"/>
          <w:szCs w:val="20"/>
        </w:rPr>
        <w:t xml:space="preserve"> приложение № 1 к Договору «Технические условия взаимодействия сторон и использования Программы».</w:t>
      </w:r>
      <w:r>
        <w:rPr>
          <w:sz w:val="20"/>
          <w:szCs w:val="20"/>
        </w:rPr>
      </w:r>
    </w:p>
    <w:p>
      <w:pPr>
        <w:pStyle w:val="773"/>
        <w:contextualSpacing w:val="0"/>
        <w:ind w:left="567"/>
        <w:jc w:val="both"/>
        <w:rPr>
          <w:sz w:val="20"/>
          <w:szCs w:val="20"/>
        </w:rPr>
      </w:pPr>
      <w:r>
        <w:rPr>
          <w:bCs/>
          <w:iCs/>
          <w:sz w:val="20"/>
          <w:szCs w:val="20"/>
          <w:u w:val="single"/>
        </w:rPr>
        <w:t xml:space="preserve">Эпизод случая обслуживания</w:t>
      </w:r>
      <w:r>
        <w:rPr>
          <w:bCs/>
          <w:iCs/>
          <w:sz w:val="20"/>
          <w:szCs w:val="20"/>
        </w:rPr>
        <w:t xml:space="preserve"> – это взаимодействие пациента с врачом, либо медицинским ресурсом в рамках одной темы обращения. В рамках одного случая обслуживания по одной теме может быть одно и более обращений.</w:t>
      </w:r>
      <w:r>
        <w:rPr>
          <w:sz w:val="20"/>
          <w:szCs w:val="20"/>
        </w:rPr>
      </w:r>
    </w:p>
    <w:p>
      <w:pPr>
        <w:pStyle w:val="738"/>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Предмет Договора</w:t>
      </w:r>
      <w:r>
        <w:rPr>
          <w:rFonts w:ascii="Times New Roman" w:hAnsi="Times New Roman" w:cs="Times New Roman"/>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Лицензиар передаёт Лицензиату Лицензию на использование компонентов Программы, а Лицензиат принимает и оплачивает её.</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Лицензия передаётся Лицензиату на следующих условиях:</w:t>
      </w:r>
      <w:r>
        <w:rPr>
          <w:rFonts w:ascii="Times New Roman" w:hAnsi="Times New Roman" w:cs="Times New Roman"/>
          <w:b w:val="0"/>
          <w:i w:val="0"/>
          <w:sz w:val="20"/>
          <w:szCs w:val="20"/>
        </w:rPr>
      </w:r>
    </w:p>
    <w:p>
      <w:pPr>
        <w:pStyle w:val="773"/>
        <w:numPr>
          <w:ilvl w:val="0"/>
          <w:numId w:val="4"/>
        </w:numPr>
        <w:ind w:left="851" w:hanging="284"/>
        <w:jc w:val="both"/>
        <w:rPr>
          <w:sz w:val="20"/>
          <w:szCs w:val="20"/>
        </w:rPr>
      </w:pPr>
      <w:r>
        <w:rPr>
          <w:sz w:val="20"/>
          <w:szCs w:val="20"/>
        </w:rPr>
        <w:t xml:space="preserve">Лицензиат имеет право использовать Программу на условиях простой (неисключительной) лицензии следующими способами:</w:t>
      </w:r>
      <w:r>
        <w:rPr>
          <w:sz w:val="20"/>
          <w:szCs w:val="20"/>
        </w:rPr>
      </w:r>
    </w:p>
    <w:p>
      <w:pPr>
        <w:pStyle w:val="773"/>
        <w:numPr>
          <w:ilvl w:val="0"/>
          <w:numId w:val="5"/>
        </w:numPr>
        <w:ind w:left="1134" w:hanging="283"/>
        <w:jc w:val="both"/>
        <w:rPr>
          <w:sz w:val="20"/>
          <w:szCs w:val="20"/>
        </w:rPr>
      </w:pPr>
      <w:r>
        <w:rPr>
          <w:sz w:val="20"/>
          <w:szCs w:val="20"/>
        </w:rPr>
        <w:t xml:space="preserve">воспроизведение,</w:t>
      </w:r>
      <w:r>
        <w:rPr>
          <w:sz w:val="20"/>
          <w:szCs w:val="20"/>
        </w:rPr>
      </w:r>
    </w:p>
    <w:p>
      <w:pPr>
        <w:pStyle w:val="773"/>
        <w:numPr>
          <w:ilvl w:val="0"/>
          <w:numId w:val="5"/>
        </w:numPr>
        <w:ind w:left="1134" w:hanging="283"/>
        <w:jc w:val="both"/>
        <w:rPr>
          <w:sz w:val="20"/>
          <w:szCs w:val="20"/>
        </w:rPr>
      </w:pPr>
      <w:r>
        <w:rPr>
          <w:sz w:val="20"/>
          <w:szCs w:val="20"/>
        </w:rPr>
        <w:t xml:space="preserve">публичный показ (демонстрация принципов работы Программы в информационных, рекламных и иных аналогичных целях).</w:t>
      </w:r>
      <w:r>
        <w:rPr>
          <w:sz w:val="20"/>
          <w:szCs w:val="20"/>
        </w:rPr>
      </w:r>
    </w:p>
    <w:p>
      <w:pPr>
        <w:ind w:left="851"/>
        <w:jc w:val="both"/>
        <w:rPr>
          <w:sz w:val="20"/>
          <w:szCs w:val="20"/>
        </w:rPr>
      </w:pPr>
      <w:r>
        <w:rPr>
          <w:sz w:val="20"/>
          <w:szCs w:val="20"/>
        </w:rPr>
        <w:t xml:space="preserve">Лицензиат получает Программу путём предоставления доступа к серверу Лицензиара.</w:t>
      </w:r>
      <w:r>
        <w:rPr>
          <w:sz w:val="20"/>
          <w:szCs w:val="20"/>
        </w:rPr>
      </w:r>
    </w:p>
    <w:p>
      <w:pPr>
        <w:ind w:left="851"/>
        <w:jc w:val="both"/>
        <w:rPr>
          <w:sz w:val="20"/>
          <w:szCs w:val="20"/>
        </w:rPr>
      </w:pPr>
      <w:r>
        <w:rPr>
          <w:sz w:val="20"/>
          <w:szCs w:val="20"/>
        </w:rPr>
        <w:t xml:space="preserve">Доступ к требуемому компоненту Программы предоставляется по запросу от Лицензиата. Порядок предоставления такого доступа описан в приложении № 1 к Договору.</w:t>
      </w:r>
      <w:r>
        <w:rPr>
          <w:sz w:val="20"/>
          <w:szCs w:val="20"/>
        </w:rPr>
      </w:r>
    </w:p>
    <w:p>
      <w:pPr>
        <w:ind w:left="851"/>
        <w:jc w:val="both"/>
        <w:rPr>
          <w:sz w:val="20"/>
          <w:szCs w:val="20"/>
        </w:rPr>
      </w:pPr>
      <w:r>
        <w:rPr>
          <w:sz w:val="20"/>
          <w:szCs w:val="20"/>
        </w:rPr>
        <w:t xml:space="preserve">Лицензиат выплачивает Лицензиару вознаграждение согласно тарифу, определённому в соответствии с приложением № 3 к Договору.</w:t>
      </w:r>
      <w:r>
        <w:rPr>
          <w:sz w:val="20"/>
          <w:szCs w:val="20"/>
        </w:rPr>
      </w:r>
    </w:p>
    <w:p>
      <w:pPr>
        <w:pStyle w:val="773"/>
        <w:numPr>
          <w:ilvl w:val="0"/>
          <w:numId w:val="4"/>
        </w:numPr>
        <w:ind w:left="851" w:hanging="284"/>
        <w:jc w:val="both"/>
        <w:rPr>
          <w:sz w:val="20"/>
          <w:szCs w:val="20"/>
        </w:rPr>
      </w:pPr>
      <w:r>
        <w:rPr>
          <w:sz w:val="20"/>
          <w:szCs w:val="20"/>
        </w:rPr>
        <w:t xml:space="preserve">Лицензиат имеет право использовать Программу в медицинских организациях, расположенных на территории Российской Федерации, в течение оплаченных отчётных периодов,</w:t>
      </w:r>
      <w:r>
        <w:rPr>
          <w:sz w:val="20"/>
          <w:szCs w:val="20"/>
        </w:rPr>
      </w:r>
    </w:p>
    <w:p>
      <w:pPr>
        <w:pStyle w:val="773"/>
        <w:numPr>
          <w:ilvl w:val="0"/>
          <w:numId w:val="4"/>
        </w:numPr>
        <w:ind w:left="851" w:hanging="284"/>
        <w:jc w:val="both"/>
        <w:rPr>
          <w:sz w:val="20"/>
          <w:szCs w:val="20"/>
        </w:rPr>
      </w:pPr>
      <w:r>
        <w:rPr>
          <w:sz w:val="20"/>
          <w:szCs w:val="20"/>
        </w:rPr>
        <w:t xml:space="preserve">Лицензиат имеет право использовать Программу исключительно для собственных нужд.</w:t>
      </w:r>
      <w:r>
        <w:rPr>
          <w:sz w:val="20"/>
          <w:szCs w:val="20"/>
        </w:rPr>
      </w:r>
    </w:p>
    <w:p>
      <w:pPr>
        <w:pStyle w:val="739"/>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Действие Лицензии распространяется на версии Программы, возникшие в ходе её модификации по инициативе Лицензиара (в т.ч. создание новых версий, обновление) или разработанные в рамках гарантийных случаев (устранение недостатков).</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выполняет следующие мероприятия:</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Лицензиату доступ к Программе для использования в отчётном периоде. Доступ считается предоставленным в первый день соответствующего отчётного периода,</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бесперебойное функционирование Программы,</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хранение данных Лицензиата на сервере до момента получения уведомления Лицензиата о необходимости их уничтожения,</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информационно-справочную поддержку специалистов Лицензиата в процессе использования Программы в порядке, предусмотренном Условиями,</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обеспечивает функционирование и модернизацию Программы в целях соответствия технологических условий её работы требованиям законодательства Российской Федерации и общих тенденций развития информационных технологий в сфере здравоохранения,</w:t>
      </w:r>
      <w:r>
        <w:rPr>
          <w:rFonts w:ascii="Times New Roman" w:hAnsi="Times New Roman" w:cs="Times New Roman"/>
          <w:b w:val="0"/>
          <w:i w:val="0"/>
          <w:sz w:val="20"/>
          <w:szCs w:val="20"/>
        </w:rPr>
      </w:r>
    </w:p>
    <w:p>
      <w:pPr>
        <w:pStyle w:val="739"/>
        <w:numPr>
          <w:ilvl w:val="0"/>
          <w:numId w:val="6"/>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предоставляет доступ страховым и лаб</w:t>
      </w:r>
      <w:r>
        <w:rPr>
          <w:rFonts w:ascii="Times New Roman" w:hAnsi="Times New Roman" w:cs="Times New Roman"/>
          <w:b w:val="0"/>
          <w:i w:val="0"/>
          <w:sz w:val="20"/>
          <w:szCs w:val="20"/>
        </w:rPr>
        <w:t xml:space="preserve">ораторным организациям, агрегаторам медицинских услуг, взаимодействующим с иными Лицензиатами, к Программе и иным сервисам Лицензиара. Технические и административные условия взаимодействия Лицензиара с такими лицами определяются Лицензиаром самостоятельно.</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Лицензиату право использования на Программу по принципу «как есть». Лицензиар не гарантирует, что все её функциональные возможности будут отвечать требованиям и ожидан</w:t>
      </w:r>
      <w:r>
        <w:rPr>
          <w:rFonts w:ascii="Times New Roman" w:hAnsi="Times New Roman" w:cs="Times New Roman"/>
          <w:b w:val="0"/>
          <w:i w:val="0"/>
          <w:sz w:val="20"/>
          <w:szCs w:val="20"/>
        </w:rPr>
        <w:t xml:space="preserve">иям Лицензиата и применимы для конкретной цели. Лицензиар гарантирует передачу данных Лицензиата в Единую государственную информационную систему в сфере здравоохранения (ЕГИСЗ) в срок, определенный установленными лимитами по передаче данных для Лицензиара.</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передаёт Лицензию в первый день оплаченного отчётного периода и предоставляет доступ к Программе в течение отчётного периода при условии его предварительной оплаты.</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отчётного периода Лицензиар предоставляет доступ к Программе непрерывно 24 (двадцать четыре) часа в сутки 7 (семь) дней в неделю.</w:t>
      </w:r>
      <w:r>
        <w:rPr>
          <w:rFonts w:ascii="Times New Roman" w:hAnsi="Times New Roman" w:cs="Times New Roman"/>
          <w:b w:val="0"/>
          <w:i w:val="0"/>
          <w:sz w:val="20"/>
          <w:szCs w:val="20"/>
        </w:rPr>
      </w:r>
    </w:p>
    <w:p>
      <w:pPr>
        <w:pStyle w:val="739"/>
        <w:numPr>
          <w:ilvl w:val="0"/>
          <w:numId w:val="0"/>
        </w:numPr>
        <w:ind w:left="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Все сроки в рамках Договора исчисляются в календарных днях, если иное прямо не предусмотрено Договором и (или) его приложениями.</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передачи Лицензии Лицензиар не предоставляет Лицензиату каких-либо дополнительных прав и возможностей использования Программы, за исключением прямо предусмотренных Договором.</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силу постоянного совершенствования тех</w:t>
      </w:r>
      <w:r>
        <w:rPr>
          <w:rFonts w:ascii="Times New Roman" w:hAnsi="Times New Roman" w:cs="Times New Roman"/>
          <w:b w:val="0"/>
          <w:i w:val="0"/>
          <w:sz w:val="20"/>
          <w:szCs w:val="20"/>
        </w:rPr>
        <w:t xml:space="preserve">нологий Лицензиат соглашается с правом Лицензиара в любое время полностью или частично изменять Условия, технологические принципы работы Программы и её интерфейс. Такие изменения вступают в силу в порядке, предусмотренном подпунктом с) пункта 4.3 Договора.</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Лицензиар не инициирует и не контролирует размещение Лицензиатом в компонентах Программы любой информации в процес</w:t>
      </w:r>
      <w:r>
        <w:rPr>
          <w:rFonts w:ascii="Times New Roman" w:hAnsi="Times New Roman" w:cs="Times New Roman"/>
          <w:b w:val="0"/>
          <w:i w:val="0"/>
          <w:sz w:val="20"/>
          <w:szCs w:val="20"/>
        </w:rPr>
        <w:t xml:space="preserve">се использования, не влияет на её содержимое и целостность, а также, в момент размещения указанной информации, не знает и не может знать, нарушает ли она охраняемые законом права и интересы третьих лиц, законодательство Российской Федерации и других стран.</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рамках Договора по согласованию сторон Лицензиар может выполнять иные мероприятия (работы, услуги, пр.) в отношении Программы. Условия их выполнения стороны согласовывают в приложениях или дополнительных соглашениях к Договору.</w:t>
      </w:r>
      <w:r>
        <w:rPr>
          <w:rFonts w:ascii="Times New Roman" w:hAnsi="Times New Roman" w:cs="Times New Roman"/>
          <w:b w:val="0"/>
          <w:i w:val="0"/>
          <w:sz w:val="20"/>
          <w:szCs w:val="20"/>
        </w:rPr>
      </w:r>
    </w:p>
    <w:p>
      <w:pPr>
        <w:pStyle w:val="773"/>
        <w:numPr>
          <w:ilvl w:val="1"/>
          <w:numId w:val="2"/>
        </w:numPr>
        <w:jc w:val="both"/>
        <w:rPr>
          <w:b/>
          <w:sz w:val="20"/>
          <w:szCs w:val="20"/>
        </w:rPr>
      </w:pPr>
      <w:r>
        <w:rPr>
          <w:b/>
          <w:sz w:val="20"/>
          <w:szCs w:val="20"/>
        </w:rPr>
        <w:t xml:space="preserve">На основании ст. 425 Гражданского кодекса Российской Федерации Стороны договорились о том, что условия настоящего договора применяются к отношениям сторон по выполнению указанного в нем поручения, возникшим до заключения договора, а именно с 04.0</w:t>
      </w:r>
      <w:r>
        <w:rPr>
          <w:b/>
          <w:sz w:val="20"/>
          <w:szCs w:val="20"/>
        </w:rPr>
        <w:t xml:space="preserve">6</w:t>
      </w:r>
      <w:r>
        <w:rPr>
          <w:b/>
          <w:sz w:val="20"/>
          <w:szCs w:val="20"/>
        </w:rPr>
        <w:t xml:space="preserve">.202</w:t>
      </w:r>
      <w:r>
        <w:rPr>
          <w:b/>
          <w:sz w:val="20"/>
          <w:szCs w:val="20"/>
        </w:rPr>
        <w:t xml:space="preserve">6</w:t>
      </w:r>
      <w:r>
        <w:rPr>
          <w:b/>
          <w:sz w:val="20"/>
          <w:szCs w:val="20"/>
        </w:rPr>
        <w:t xml:space="preserve"> и оказываются по 31.12.202</w:t>
      </w:r>
      <w:r>
        <w:rPr>
          <w:b/>
          <w:sz w:val="20"/>
          <w:szCs w:val="20"/>
        </w:rPr>
        <w:t xml:space="preserve">6</w:t>
      </w:r>
      <w:r>
        <w:rPr>
          <w:b/>
          <w:sz w:val="20"/>
          <w:szCs w:val="20"/>
        </w:rPr>
        <w:t xml:space="preserve"> включительно.</w:t>
      </w:r>
      <w:r>
        <w:rPr>
          <w:b/>
          <w:sz w:val="20"/>
          <w:szCs w:val="20"/>
        </w:rPr>
      </w:r>
    </w:p>
    <w:p>
      <w:pPr>
        <w:pStyle w:val="738"/>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Вознаграждение Лицензиара, его оплата и сдача-приёмка</w:t>
      </w:r>
      <w:r>
        <w:rPr>
          <w:rFonts w:ascii="Times New Roman" w:hAnsi="Times New Roman" w:cs="Times New Roman"/>
          <w:sz w:val="20"/>
          <w:szCs w:val="20"/>
        </w:rPr>
      </w:r>
    </w:p>
    <w:p>
      <w:pPr>
        <w:pStyle w:val="739"/>
        <w:numPr>
          <w:ilvl w:val="1"/>
          <w:numId w:val="2"/>
        </w:numPr>
        <w:ind w:left="567" w:hanging="567"/>
        <w:jc w:val="both"/>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Размер вознаграждения Лицензиара за один отчётный период определяется на основании выставленного Лицензиаром счета по тарифу, определённому в соответствии с приложением № 3 к Договору с учетом количеств</w:t>
      </w:r>
      <w:r>
        <w:rPr>
          <w:rFonts w:ascii="Times New Roman" w:hAnsi="Times New Roman" w:cs="Times New Roman"/>
          <w:b w:val="0"/>
          <w:i w:val="0"/>
          <w:sz w:val="20"/>
          <w:szCs w:val="20"/>
        </w:rPr>
        <w:t xml:space="preserve">а медицинских организаций, к которым Лицензиату был предоставлен доступ для использования Программы в отчётном периоде. Количество медицинских организаций определяется на основании анкет, порядок предоставления которых определен приложением № 1 к Договору.</w:t>
      </w:r>
      <w:r>
        <w:t xml:space="preserve"> </w:t>
      </w:r>
      <w:r>
        <w:rPr>
          <w:rFonts w:ascii="Times New Roman" w:hAnsi="Times New Roman" w:cs="Times New Roman"/>
          <w:b w:val="0"/>
          <w:i w:val="0"/>
          <w:sz w:val="20"/>
          <w:szCs w:val="20"/>
        </w:rPr>
      </w:r>
    </w:p>
    <w:p>
      <w:pPr>
        <w:pStyle w:val="739"/>
        <w:numPr>
          <w:ilvl w:val="0"/>
          <w:numId w:val="0"/>
        </w:numPr>
        <w:ind w:left="567"/>
        <w:jc w:val="both"/>
        <w:spacing w:before="0" w:after="0"/>
        <w:tabs>
          <w:tab w:val="clear" w:pos="432" w:leader="none"/>
        </w:tabs>
        <w:rPr>
          <w:rFonts w:ascii="Times New Roman" w:hAnsi="Times New Roman" w:cs="Times New Roman"/>
          <w:b w:val="0"/>
          <w:i w:val="0"/>
          <w:sz w:val="20"/>
          <w:szCs w:val="20"/>
        </w:rPr>
      </w:pPr>
      <w:r>
        <w:rPr>
          <w:rFonts w:ascii="Times New Roman" w:hAnsi="Times New Roman" w:cs="Times New Roman"/>
          <w:i w:val="0"/>
          <w:sz w:val="20"/>
          <w:szCs w:val="20"/>
        </w:rPr>
        <w:t xml:space="preserve">Предельная цена договора составляет ______________________________ В цену договора включены все расходы Лицензиара, связанные с выполнением обязательств по договору</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Вознаграждение Лицензиара налогом на добавленную стоимость не облагается в соответствии с </w:t>
      </w:r>
      <w:r>
        <w:rPr>
          <w:rFonts w:ascii="Times New Roman" w:hAnsi="Times New Roman" w:cs="Times New Roman"/>
          <w:b w:val="0"/>
          <w:i w:val="0"/>
          <w:sz w:val="20"/>
          <w:szCs w:val="20"/>
        </w:rPr>
        <w:t xml:space="preserve">п.п</w:t>
      </w:r>
      <w:r>
        <w:rPr>
          <w:rFonts w:ascii="Times New Roman" w:hAnsi="Times New Roman" w:cs="Times New Roman"/>
          <w:b w:val="0"/>
          <w:i w:val="0"/>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w:t>
      </w:r>
      <w:r>
        <w:rPr>
          <w:rFonts w:ascii="Times New Roman" w:hAnsi="Times New Roman" w:cs="Times New Roman"/>
          <w:b w:val="0"/>
          <w:i w:val="0"/>
          <w:sz w:val="20"/>
          <w:szCs w:val="20"/>
        </w:rPr>
      </w:r>
    </w:p>
    <w:p>
      <w:r/>
      <w:r/>
    </w:p>
    <w:p>
      <w:pPr>
        <w:pStyle w:val="739"/>
        <w:numPr>
          <w:ilvl w:val="1"/>
          <w:numId w:val="2"/>
        </w:numPr>
        <w:ind w:left="567" w:hanging="567"/>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Оплата по Договору осуществляется в следующем порядке:</w:t>
      </w:r>
      <w:r>
        <w:rPr>
          <w:rFonts w:ascii="Times New Roman" w:hAnsi="Times New Roman" w:cs="Times New Roman"/>
          <w:b w:val="0"/>
          <w:i w:val="0"/>
          <w:sz w:val="20"/>
          <w:szCs w:val="20"/>
          <w:highlight w:val="yellow"/>
        </w:rPr>
      </w:r>
    </w:p>
    <w:p>
      <w:pPr>
        <w:pStyle w:val="739"/>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первый отчётный период Лицензиат оплачивает на основании счета Лицензиара не позднее срока, указанного в счёте,</w:t>
      </w:r>
      <w:r>
        <w:rPr>
          <w:rFonts w:ascii="Times New Roman" w:hAnsi="Times New Roman" w:cs="Times New Roman"/>
          <w:b w:val="0"/>
          <w:i w:val="0"/>
          <w:sz w:val="20"/>
          <w:szCs w:val="20"/>
          <w:highlight w:val="yellow"/>
        </w:rPr>
      </w:r>
    </w:p>
    <w:p>
      <w:pPr>
        <w:pStyle w:val="739"/>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второй и последующие отчётные периоды Лицензиат оплачивает не позднее 1 (одного) рабочего дня до наступления соответствующего отчётного периода,</w:t>
      </w:r>
      <w:r>
        <w:rPr>
          <w:rFonts w:ascii="Times New Roman" w:hAnsi="Times New Roman" w:cs="Times New Roman"/>
          <w:b w:val="0"/>
          <w:i w:val="0"/>
          <w:sz w:val="20"/>
          <w:szCs w:val="20"/>
          <w:highlight w:val="yellow"/>
        </w:rPr>
      </w:r>
    </w:p>
    <w:p>
      <w:pPr>
        <w:pStyle w:val="739"/>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если</w:t>
      </w:r>
      <w:r>
        <w:rPr>
          <w:rFonts w:ascii="Times New Roman" w:hAnsi="Times New Roman" w:cs="Times New Roman"/>
          <w:b w:val="0"/>
          <w:i w:val="0"/>
          <w:sz w:val="20"/>
          <w:szCs w:val="20"/>
          <w:highlight w:val="yellow"/>
        </w:rPr>
        <w:t xml:space="preserve"> Лицензия предоставлялась на неполный календарный месяц, то размер вознаграждения за такой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оплате,</w:t>
      </w:r>
      <w:r>
        <w:rPr>
          <w:rFonts w:ascii="Times New Roman" w:hAnsi="Times New Roman" w:cs="Times New Roman"/>
          <w:b w:val="0"/>
          <w:i w:val="0"/>
          <w:sz w:val="20"/>
          <w:szCs w:val="20"/>
          <w:highlight w:val="yellow"/>
        </w:rPr>
      </w:r>
    </w:p>
    <w:p>
      <w:pPr>
        <w:pStyle w:val="739"/>
        <w:numPr>
          <w:ilvl w:val="0"/>
          <w:numId w:val="7"/>
        </w:numPr>
        <w:ind w:left="851" w:hanging="284"/>
        <w:jc w:val="both"/>
        <w:keepNext w:val="0"/>
        <w:spacing w:before="0" w:after="0"/>
        <w:rPr>
          <w:rFonts w:ascii="Times New Roman" w:hAnsi="Times New Roman" w:cs="Times New Roman"/>
          <w:b w:val="0"/>
          <w:i w:val="0"/>
          <w:sz w:val="20"/>
          <w:szCs w:val="20"/>
          <w:highlight w:val="yellow"/>
        </w:rPr>
      </w:pPr>
      <w:r>
        <w:rPr>
          <w:rFonts w:ascii="Times New Roman" w:hAnsi="Times New Roman" w:cs="Times New Roman"/>
          <w:b w:val="0"/>
          <w:i w:val="0"/>
          <w:sz w:val="20"/>
          <w:szCs w:val="20"/>
          <w:highlight w:val="yellow"/>
        </w:rPr>
        <w:t xml:space="preserve">в случае приостановки исполнения Договора в порядке, предусмотренном пунктом </w:t>
      </w:r>
      <w:r>
        <w:rPr>
          <w:rFonts w:ascii="Times New Roman" w:hAnsi="Times New Roman" w:cs="Times New Roman"/>
          <w:b w:val="0"/>
          <w:i w:val="0"/>
          <w:sz w:val="20"/>
          <w:szCs w:val="20"/>
          <w:highlight w:val="yellow"/>
        </w:rPr>
        <w:t xml:space="preserve">6.1  Договора</w:t>
      </w:r>
      <w:r>
        <w:rPr>
          <w:rFonts w:ascii="Times New Roman" w:hAnsi="Times New Roman" w:cs="Times New Roman"/>
          <w:b w:val="0"/>
          <w:i w:val="0"/>
          <w:sz w:val="20"/>
          <w:szCs w:val="20"/>
          <w:highlight w:val="yellow"/>
        </w:rPr>
        <w:t xml:space="preserve">, оплата первого после приостановки отчётного периода осуществляется в порядке, предусмотренном подпунктом </w:t>
      </w:r>
      <w:r>
        <w:rPr>
          <w:rFonts w:ascii="Times New Roman" w:hAnsi="Times New Roman" w:cs="Times New Roman"/>
          <w:b w:val="0"/>
          <w:i w:val="0"/>
          <w:sz w:val="20"/>
          <w:szCs w:val="20"/>
          <w:highlight w:val="yellow"/>
          <w:lang w:val="en-US"/>
        </w:rPr>
        <w:t xml:space="preserve">a</w:t>
      </w:r>
      <w:r>
        <w:rPr>
          <w:rFonts w:ascii="Times New Roman" w:hAnsi="Times New Roman" w:cs="Times New Roman"/>
          <w:b w:val="0"/>
          <w:i w:val="0"/>
          <w:sz w:val="20"/>
          <w:szCs w:val="20"/>
          <w:highlight w:val="yellow"/>
        </w:rPr>
        <w:t xml:space="preserve">) настоящего пункта Договора,</w:t>
      </w:r>
      <w:r>
        <w:rPr>
          <w:rFonts w:ascii="Times New Roman" w:hAnsi="Times New Roman" w:cs="Times New Roman"/>
          <w:b w:val="0"/>
          <w:i w:val="0"/>
          <w:sz w:val="20"/>
          <w:szCs w:val="20"/>
          <w:highlight w:val="yellow"/>
        </w:rPr>
      </w:r>
    </w:p>
    <w:p>
      <w:pPr>
        <w:pStyle w:val="739"/>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расчёты по Договору осуществляются безналичными расчётами по реквизитам, указанным в разделе 8 Договора.</w:t>
      </w:r>
      <w:r>
        <w:rPr>
          <w:rFonts w:ascii="Times New Roman" w:hAnsi="Times New Roman" w:cs="Times New Roman"/>
          <w:b w:val="0"/>
          <w:i w:val="0"/>
          <w:sz w:val="20"/>
          <w:szCs w:val="20"/>
        </w:rPr>
      </w:r>
    </w:p>
    <w:p>
      <w:pPr>
        <w:pStyle w:val="739"/>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датой совершения платежа считается дата поступления денежных средств в полном объёме на расчётный счёт Лицензиара,</w:t>
      </w:r>
      <w:r>
        <w:rPr>
          <w:rFonts w:ascii="Times New Roman" w:hAnsi="Times New Roman" w:cs="Times New Roman"/>
          <w:b w:val="0"/>
          <w:i w:val="0"/>
          <w:sz w:val="20"/>
          <w:szCs w:val="20"/>
        </w:rPr>
      </w:r>
    </w:p>
    <w:p>
      <w:pPr>
        <w:pStyle w:val="739"/>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eastAsia="Calibri" w:cs="Times New Roman"/>
          <w:b w:val="0"/>
          <w:i w:val="0"/>
          <w:sz w:val="20"/>
          <w:szCs w:val="20"/>
          <w:lang w:eastAsia="en-US"/>
        </w:rPr>
        <w:t xml:space="preserve"> В случае, если</w:t>
      </w:r>
      <w:r>
        <w:rPr>
          <w:rFonts w:ascii="Times New Roman" w:hAnsi="Times New Roman" w:eastAsia="Calibri" w:cs="Times New Roman"/>
          <w:b w:val="0"/>
          <w:i w:val="0"/>
          <w:sz w:val="20"/>
          <w:szCs w:val="20"/>
          <w:lang w:eastAsia="en-US"/>
        </w:rPr>
        <w:t xml:space="preserve"> медицинская организация Лицензиата превысила количественное ограничение тарифа, Лицензиар приостанавливает передачу данных в текущем отчетном периоде. Лицензиат сможет продолжить передачу данных в текущем отчетном периоде, перейдя на более высокий тариф. </w:t>
      </w:r>
      <w:r>
        <w:rPr>
          <w:rFonts w:ascii="Times New Roman" w:hAnsi="Times New Roman" w:eastAsia="Calibri" w:cs="Times New Roman"/>
          <w:b w:val="0"/>
          <w:i w:val="0"/>
          <w:sz w:val="20"/>
          <w:szCs w:val="20"/>
          <w:lang w:eastAsia="en-US"/>
        </w:rPr>
        <w:t xml:space="preserve">В данном случае размер доплаты вознаграждения Лицензиара по выбранному тарифу за отчетный месяц рассчитывается следующим образом: стоимость Лицензии за отчётный период делится на количество дней в месяце и умножается на количество дней, подлежащих доплате,</w:t>
      </w:r>
      <w:r>
        <w:rPr>
          <w:rFonts w:ascii="Times New Roman" w:hAnsi="Times New Roman" w:cs="Times New Roman"/>
          <w:b w:val="0"/>
          <w:i w:val="0"/>
          <w:sz w:val="20"/>
          <w:szCs w:val="20"/>
        </w:rPr>
      </w:r>
    </w:p>
    <w:p>
      <w:pPr>
        <w:pStyle w:val="739"/>
        <w:numPr>
          <w:ilvl w:val="0"/>
          <w:numId w:val="7"/>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Смена тарифа Лицензии на право использования </w:t>
      </w:r>
      <w:r>
        <w:rPr>
          <w:rFonts w:ascii="Times New Roman" w:hAnsi="Times New Roman" w:eastAsia="Calibri" w:cs="Times New Roman"/>
          <w:b w:val="0"/>
          <w:i w:val="0"/>
          <w:sz w:val="20"/>
          <w:szCs w:val="20"/>
          <w:lang w:eastAsia="en-US"/>
        </w:rPr>
        <w:t xml:space="preserve">компонента </w:t>
      </w:r>
      <w:r>
        <w:rPr>
          <w:rFonts w:ascii="Times New Roman" w:hAnsi="Times New Roman" w:eastAsia="Calibri"/>
          <w:b w:val="0"/>
          <w:i w:val="0"/>
          <w:sz w:val="20"/>
        </w:rPr>
        <w:t xml:space="preserve">Программы,</w:t>
      </w:r>
      <w:r>
        <w:rPr>
          <w:rFonts w:ascii="Times New Roman" w:hAnsi="Times New Roman" w:eastAsia="Calibri" w:cs="Times New Roman"/>
          <w:b w:val="0"/>
          <w:i w:val="0"/>
          <w:sz w:val="20"/>
          <w:szCs w:val="20"/>
          <w:lang w:eastAsia="en-US"/>
        </w:rPr>
        <w:t xml:space="preserve"> предоставляемого медицинской </w:t>
      </w:r>
      <w:r>
        <w:rPr>
          <w:rFonts w:ascii="Times New Roman" w:hAnsi="Times New Roman" w:eastAsia="Calibri" w:cs="Times New Roman"/>
          <w:b w:val="0"/>
          <w:i w:val="0"/>
          <w:sz w:val="20"/>
          <w:szCs w:val="20"/>
          <w:lang w:eastAsia="en-US"/>
        </w:rPr>
        <w:t xml:space="preserve">организации,  осуществляется</w:t>
      </w:r>
      <w:r>
        <w:rPr>
          <w:rFonts w:ascii="Times New Roman" w:hAnsi="Times New Roman" w:eastAsia="Calibri" w:cs="Times New Roman"/>
          <w:b w:val="0"/>
          <w:i w:val="0"/>
          <w:sz w:val="20"/>
          <w:szCs w:val="20"/>
          <w:lang w:eastAsia="en-US"/>
        </w:rPr>
        <w:t xml:space="preserve"> на основании письменного запроса от Лицензиата, направленного в порядке предусмотренном пунктом 4.1 Договора.</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По окончании каждого отчетного периода стороны подписывают акт на передачу неисключительной лицензии на право использования Программы или универсальный передаточный документ (далее УПД) в следующем порядке:</w:t>
      </w:r>
      <w:r>
        <w:rPr>
          <w:rFonts w:ascii="Times New Roman" w:hAnsi="Times New Roman" w:cs="Times New Roman"/>
          <w:b w:val="0"/>
          <w:i w:val="0"/>
          <w:sz w:val="20"/>
          <w:szCs w:val="20"/>
        </w:rPr>
      </w:r>
    </w:p>
    <w:p>
      <w:pPr>
        <w:pStyle w:val="773"/>
        <w:numPr>
          <w:ilvl w:val="0"/>
          <w:numId w:val="8"/>
        </w:numPr>
        <w:ind w:left="851" w:hanging="284"/>
        <w:jc w:val="both"/>
        <w:tabs>
          <w:tab w:val="left" w:pos="1134" w:leader="none"/>
        </w:tabs>
        <w:rPr>
          <w:sz w:val="20"/>
          <w:szCs w:val="20"/>
        </w:rPr>
      </w:pPr>
      <w:r>
        <w:rPr>
          <w:sz w:val="20"/>
          <w:szCs w:val="20"/>
        </w:rPr>
        <w:t xml:space="preserve">Лицензиат в течение 5 (пяти) календарных дней со дня получения соответствующего </w:t>
      </w:r>
      <w:r>
        <w:rPr>
          <w:sz w:val="20"/>
          <w:szCs w:val="20"/>
        </w:rPr>
        <w:t xml:space="preserve">акта </w:t>
      </w:r>
      <w:r>
        <w:rPr>
          <w:b/>
          <w:i/>
          <w:sz w:val="20"/>
          <w:szCs w:val="20"/>
        </w:rPr>
        <w:t xml:space="preserve"> </w:t>
      </w:r>
      <w:r>
        <w:rPr>
          <w:sz w:val="20"/>
          <w:szCs w:val="20"/>
        </w:rPr>
        <w:t xml:space="preserve">обязан</w:t>
      </w:r>
      <w:r>
        <w:rPr>
          <w:sz w:val="20"/>
          <w:szCs w:val="20"/>
        </w:rPr>
        <w:t xml:space="preserve">, при отсутствии обоснованных претензий, подписать и возвратить Лицензиару один экземпляр акта</w:t>
      </w:r>
      <w:r>
        <w:rPr>
          <w:bCs/>
          <w:sz w:val="20"/>
          <w:szCs w:val="20"/>
        </w:rPr>
        <w:t xml:space="preserve"> </w:t>
      </w:r>
      <w:r>
        <w:rPr>
          <w:sz w:val="20"/>
          <w:szCs w:val="20"/>
        </w:rPr>
        <w:t xml:space="preserve">на передачу неисключительной лицензии на право использования Программы</w:t>
      </w:r>
      <w:r>
        <w:rPr>
          <w:sz w:val="20"/>
          <w:szCs w:val="20"/>
        </w:rPr>
        <w:t xml:space="preserve">;</w:t>
      </w:r>
      <w:r>
        <w:rPr>
          <w:sz w:val="20"/>
          <w:szCs w:val="20"/>
        </w:rPr>
      </w:r>
    </w:p>
    <w:p>
      <w:pPr>
        <w:pStyle w:val="773"/>
        <w:numPr>
          <w:ilvl w:val="0"/>
          <w:numId w:val="8"/>
        </w:numPr>
        <w:ind w:left="851" w:hanging="284"/>
        <w:jc w:val="both"/>
        <w:tabs>
          <w:tab w:val="left" w:pos="1134" w:leader="none"/>
        </w:tabs>
        <w:rPr>
          <w:sz w:val="20"/>
          <w:szCs w:val="20"/>
        </w:rPr>
      </w:pPr>
      <w:r>
        <w:rPr>
          <w:sz w:val="20"/>
          <w:szCs w:val="20"/>
        </w:rPr>
        <w:t xml:space="preserve">в случае наличия у Лицензиата обоснованных претензий к Программе Лицензиат не подписывает </w:t>
      </w:r>
      <w:r>
        <w:rPr>
          <w:sz w:val="20"/>
          <w:szCs w:val="20"/>
        </w:rPr>
        <w:t xml:space="preserve">акт на передачу неисключительной лицензии на право использования Программы</w:t>
      </w:r>
      <w:r>
        <w:rPr>
          <w:b/>
          <w:i/>
          <w:sz w:val="20"/>
          <w:szCs w:val="20"/>
        </w:rPr>
        <w:t xml:space="preserve"> </w:t>
      </w:r>
      <w:r>
        <w:rPr>
          <w:sz w:val="20"/>
          <w:szCs w:val="20"/>
        </w:rPr>
        <w:t xml:space="preserve">и в указанный срок направляет </w:t>
      </w:r>
      <w:r>
        <w:rPr>
          <w:sz w:val="20"/>
          <w:szCs w:val="20"/>
        </w:rPr>
        <w:t xml:space="preserve">Лицензиару</w:t>
      </w:r>
      <w:r>
        <w:rPr>
          <w:sz w:val="20"/>
          <w:szCs w:val="20"/>
        </w:rPr>
        <w:t xml:space="preserve"> мотивированный отказ от приёмки;</w:t>
      </w:r>
      <w:r>
        <w:rPr>
          <w:sz w:val="20"/>
          <w:szCs w:val="20"/>
        </w:rPr>
      </w:r>
    </w:p>
    <w:p>
      <w:pPr>
        <w:pStyle w:val="739"/>
        <w:numPr>
          <w:ilvl w:val="0"/>
          <w:numId w:val="8"/>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если причины и (или) требования Лицензиата, указа</w:t>
      </w:r>
      <w:r>
        <w:rPr>
          <w:rFonts w:ascii="Times New Roman" w:hAnsi="Times New Roman" w:cs="Times New Roman"/>
          <w:b w:val="0"/>
          <w:i w:val="0"/>
          <w:sz w:val="20"/>
          <w:szCs w:val="20"/>
        </w:rPr>
        <w:t xml:space="preserve">нные в мотивированном отказе от приёмки, выходят за рамки функциональных возможностей Программы и (или) обязательств Лицензиара, отказ Лицензиата от приёмки Лицензии считается необоснованным, а Лицензия принятой в соответствии с настоящим пунктом Договора;</w:t>
      </w:r>
      <w:r>
        <w:rPr>
          <w:rFonts w:ascii="Times New Roman" w:hAnsi="Times New Roman" w:cs="Times New Roman"/>
          <w:b w:val="0"/>
          <w:i w:val="0"/>
          <w:sz w:val="20"/>
          <w:szCs w:val="20"/>
        </w:rPr>
      </w:r>
    </w:p>
    <w:p>
      <w:pPr>
        <w:pStyle w:val="773"/>
        <w:numPr>
          <w:ilvl w:val="0"/>
          <w:numId w:val="8"/>
        </w:numPr>
        <w:ind w:left="851" w:hanging="284"/>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на передачу неисключительной лицензии на право использования Программы Лицензиат не подпишет соответствующий акт со своей стороны и не направит ег</w:t>
      </w:r>
      <w:r>
        <w:rPr>
          <w:bCs/>
          <w:iCs/>
          <w:sz w:val="20"/>
          <w:szCs w:val="20"/>
        </w:rPr>
        <w:t xml:space="preserve">о Лицензиару или не направит Лицензиару мотивированный отказ от приёмки Лицензии, то считается, что Лицензия передана Лицензиату своевременно, в полном объёме, а акт на передачу неисключительной лицензии на право использования Программы надлежаще оформлен.</w:t>
      </w:r>
      <w:r>
        <w:rPr>
          <w:bCs/>
          <w:iCs/>
          <w:sz w:val="20"/>
          <w:szCs w:val="20"/>
        </w:rPr>
      </w:r>
    </w:p>
    <w:p>
      <w:pPr>
        <w:pStyle w:val="773"/>
        <w:numPr>
          <w:ilvl w:val="1"/>
          <w:numId w:val="2"/>
        </w:numPr>
        <w:ind w:left="567" w:hanging="567"/>
        <w:jc w:val="both"/>
        <w:rPr>
          <w:bCs/>
          <w:iCs/>
          <w:sz w:val="20"/>
          <w:szCs w:val="20"/>
        </w:rPr>
      </w:pPr>
      <w:r>
        <w:rPr>
          <w:bCs/>
          <w:iCs/>
          <w:sz w:val="20"/>
          <w:szCs w:val="20"/>
        </w:rPr>
        <w:t xml:space="preserve">Лицензиар об</w:t>
      </w:r>
      <w:r>
        <w:rPr>
          <w:bCs/>
          <w:iCs/>
          <w:sz w:val="20"/>
          <w:szCs w:val="20"/>
        </w:rPr>
        <w:t xml:space="preserve">язан направить Лицензиату акт о предоставлении прав использования (доступа) к N3.Health (или УПД), указанного в приложении № 3 к Договору в течении 10 (десяти) календарных дней после окончании отчетного периода, в котором впервые был предоставлен доступ к </w:t>
      </w:r>
      <w:r>
        <w:rPr>
          <w:bCs/>
          <w:iCs/>
          <w:sz w:val="20"/>
          <w:szCs w:val="20"/>
          <w:lang w:val="en-US"/>
        </w:rPr>
        <w:t xml:space="preserve">N</w:t>
      </w:r>
      <w:r>
        <w:rPr>
          <w:bCs/>
          <w:iCs/>
          <w:sz w:val="20"/>
          <w:szCs w:val="20"/>
        </w:rPr>
        <w:t xml:space="preserve">3</w:t>
      </w:r>
      <w:r>
        <w:rPr>
          <w:bCs/>
          <w:iCs/>
          <w:sz w:val="20"/>
          <w:szCs w:val="20"/>
          <w:lang w:val="en-US"/>
        </w:rPr>
        <w:t xml:space="preserve">Health</w:t>
      </w:r>
      <w:r>
        <w:rPr>
          <w:bCs/>
          <w:iCs/>
          <w:sz w:val="20"/>
          <w:szCs w:val="20"/>
        </w:rPr>
        <w:t xml:space="preserve">  в электронном виде с дальнейшей отправкой оригиналов почтой Российской Федерации. </w:t>
      </w:r>
      <w:r>
        <w:rPr>
          <w:bCs/>
          <w:iCs/>
          <w:sz w:val="20"/>
          <w:szCs w:val="20"/>
        </w:rPr>
      </w:r>
    </w:p>
    <w:p>
      <w:pPr>
        <w:pStyle w:val="773"/>
        <w:ind w:left="567"/>
        <w:jc w:val="both"/>
        <w:rPr>
          <w:bCs/>
          <w:iCs/>
          <w:sz w:val="20"/>
          <w:szCs w:val="20"/>
        </w:rPr>
      </w:pPr>
      <w:r>
        <w:rPr>
          <w:bCs/>
          <w:iCs/>
          <w:sz w:val="20"/>
          <w:szCs w:val="20"/>
        </w:rPr>
        <w:t xml:space="preserve">В случае, если в течение 5 (пяти) календарных дней со дня получения Лицензиатом от Лицензиара Акта о предоставлении прав использования (доступа) Лиценз</w:t>
      </w:r>
      <w:r>
        <w:rPr>
          <w:bCs/>
          <w:iCs/>
          <w:sz w:val="20"/>
          <w:szCs w:val="20"/>
        </w:rPr>
        <w:t xml:space="preserve">иат не подпишет соответствующий акт со своей стороны и не направит его Лицензиару или не направит Лицензиару мотивированный отказ, то считается, что доступ предоставлен своевременно, а Акт о предоставлении прав использования (доступа) - надлежаще оформлен.</w:t>
      </w:r>
      <w:r>
        <w:rPr>
          <w:bCs/>
          <w:iCs/>
          <w:sz w:val="20"/>
          <w:szCs w:val="20"/>
        </w:rPr>
      </w:r>
    </w:p>
    <w:p>
      <w:pPr>
        <w:pStyle w:val="739"/>
        <w:numPr>
          <w:ilvl w:val="0"/>
          <w:numId w:val="2"/>
        </w:numPr>
        <w:ind w:left="714" w:hanging="357"/>
        <w:jc w:val="center"/>
        <w:keepNext w:val="0"/>
        <w:spacing w:before="120" w:after="0"/>
        <w:rPr>
          <w:rFonts w:ascii="Times New Roman" w:hAnsi="Times New Roman" w:cs="Times New Roman"/>
          <w:i w:val="0"/>
          <w:sz w:val="20"/>
          <w:szCs w:val="20"/>
        </w:rPr>
      </w:pPr>
      <w:r>
        <w:rPr>
          <w:rFonts w:ascii="Times New Roman" w:hAnsi="Times New Roman" w:cs="Times New Roman"/>
          <w:i w:val="0"/>
          <w:sz w:val="20"/>
          <w:szCs w:val="20"/>
        </w:rPr>
        <w:t xml:space="preserve">Взаимодействие сторон</w:t>
      </w:r>
      <w:r>
        <w:rPr>
          <w:rFonts w:ascii="Times New Roman" w:hAnsi="Times New Roman" w:cs="Times New Roman"/>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Стороны дают согласие на обмен документами в электронном виде, подписанными квалифицированной электронной подписью в системах электронно</w:t>
      </w:r>
      <w:r>
        <w:rPr>
          <w:rFonts w:ascii="Times New Roman" w:hAnsi="Times New Roman" w:cs="Times New Roman"/>
          <w:b w:val="0"/>
          <w:i w:val="0"/>
          <w:sz w:val="20"/>
          <w:szCs w:val="20"/>
        </w:rPr>
        <w:t xml:space="preserve">го документооборота по выбору сторон. Электронный документооборот стороны осуществляют в соответствии с Гражданским кодексом Российской Федерации, законами и иными нормативными правовыми актами, регулирующими сферу применения электронного документооборота.</w:t>
      </w:r>
      <w:r>
        <w:rPr>
          <w:rFonts w:ascii="Times New Roman" w:hAnsi="Times New Roman" w:cs="Times New Roman"/>
          <w:b w:val="0"/>
          <w:i w:val="0"/>
          <w:sz w:val="20"/>
          <w:szCs w:val="20"/>
        </w:rPr>
      </w:r>
    </w:p>
    <w:p>
      <w:pPr>
        <w:pStyle w:val="773"/>
        <w:contextualSpacing w:val="0"/>
        <w:ind w:left="567"/>
        <w:jc w:val="both"/>
        <w:tabs>
          <w:tab w:val="left" w:pos="1134" w:leader="none"/>
        </w:tabs>
        <w:rPr>
          <w:sz w:val="20"/>
        </w:rPr>
      </w:pPr>
      <w:r>
        <w:rPr>
          <w:sz w:val="20"/>
        </w:rPr>
        <w:t xml:space="preserve">Вместе с тем, стороны вправе обмениваться по Договору любыми документами (включая, но не ограничиваясь, сам Договор, соглашения к нему, уведомления, счета, акты) с помощью почтовой связи или электронной почты (e-</w:t>
      </w:r>
      <w:r>
        <w:rPr>
          <w:sz w:val="20"/>
        </w:rPr>
        <w:t xml:space="preserve">mail</w:t>
      </w:r>
      <w:r>
        <w:rPr>
          <w:sz w:val="20"/>
          <w:szCs w:val="20"/>
        </w:rPr>
        <w:t xml:space="preserve">).</w:t>
      </w:r>
      <w:r>
        <w:rPr>
          <w:sz w:val="20"/>
        </w:rPr>
        <w:t xml:space="preserve"> Передаваемые по электронной почте графические файлы, содержащие отсканированные страницы документов, образы документов имеют ю</w:t>
      </w:r>
      <w:r>
        <w:rPr>
          <w:sz w:val="20"/>
        </w:rPr>
        <w:t xml:space="preserve">ридическую силу оригинала и считаются действительными до момента обмена оригиналами документов. При этом достоверным способом идентификации лица, направившего документ, является его отправка с использованием почтовых доменов: n3health.ru – для Лицензиара, </w:t>
      </w:r>
      <w:sdt>
        <w:sdtPr>
          <w:alias w:val="почтовыйдомен лицензиата"/>
          <w15:appearance w15:val="boundingBox"/>
          <w:id w:val="-1453312951"/>
          <w:placeholder>
            <w:docPart w:val="AC75987912FD431D9D7959A4F2276D59"/>
          </w:placeholder>
          <w:tag w:val="почтовыйдомен лицензиата"/>
          <w:rPr>
            <w:sz w:val="20"/>
          </w:rPr>
        </w:sdtPr>
        <w:sdtContent>
          <w:r>
            <w:rPr>
              <w:sz w:val="20"/>
            </w:rPr>
            <w:t xml:space="preserve">neurology.ru</w:t>
          </w:r>
        </w:sdtContent>
      </w:sdt>
      <w:r>
        <w:rPr>
          <w:sz w:val="20"/>
        </w:rPr>
        <w:t xml:space="preserve"> - для Лицензиата.</w:t>
      </w:r>
      <w:r>
        <w:rPr>
          <w:sz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принимает на себя следующие обязательства:</w:t>
      </w:r>
      <w:r>
        <w:rPr>
          <w:rFonts w:ascii="Times New Roman" w:hAnsi="Times New Roman" w:cs="Times New Roman"/>
          <w:b w:val="0"/>
          <w:i w:val="0"/>
          <w:sz w:val="20"/>
          <w:szCs w:val="20"/>
        </w:rPr>
      </w:r>
    </w:p>
    <w:p>
      <w:pPr>
        <w:pStyle w:val="739"/>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передавать Лицензию и предоставлять доступ к Программе в сроки и на условиях, предусмотренных Договором;</w:t>
      </w:r>
      <w:r>
        <w:rPr>
          <w:rFonts w:ascii="Times New Roman" w:hAnsi="Times New Roman" w:cs="Times New Roman"/>
          <w:b w:val="0"/>
          <w:i w:val="0"/>
          <w:sz w:val="20"/>
          <w:szCs w:val="20"/>
        </w:rPr>
      </w:r>
    </w:p>
    <w:p>
      <w:pPr>
        <w:pStyle w:val="739"/>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 защиту данных, используемых Лицензиатом в процессе использования Программы, в соответствии с требованиями законодательства Российской Федерации;</w:t>
      </w:r>
      <w:r>
        <w:rPr>
          <w:rFonts w:ascii="Times New Roman" w:hAnsi="Times New Roman" w:cs="Times New Roman"/>
          <w:b w:val="0"/>
          <w:i w:val="0"/>
          <w:sz w:val="20"/>
          <w:szCs w:val="20"/>
        </w:rPr>
      </w:r>
    </w:p>
    <w:p>
      <w:pPr>
        <w:pStyle w:val="739"/>
        <w:numPr>
          <w:ilvl w:val="0"/>
          <w:numId w:val="9"/>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обеспечивать</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работоспособность Программы в процессе её нормальной эксплуатации, соответствие Программы обозначенному функционалу,</w:t>
      </w:r>
      <w:r>
        <w:rPr>
          <w:rFonts w:ascii="Times New Roman" w:hAnsi="Times New Roman" w:cs="Times New Roman"/>
          <w:b w:val="0"/>
          <w:i w:val="0"/>
          <w:sz w:val="20"/>
          <w:szCs w:val="20"/>
          <w:lang w:val="zh-CN"/>
        </w:rPr>
        <w:t xml:space="preserve"> требовани</w:t>
      </w:r>
      <w:r>
        <w:rPr>
          <w:rFonts w:ascii="Times New Roman" w:hAnsi="Times New Roman" w:cs="Times New Roman"/>
          <w:b w:val="0"/>
          <w:i w:val="0"/>
          <w:sz w:val="20"/>
          <w:szCs w:val="20"/>
        </w:rPr>
        <w:t xml:space="preserve">ям</w:t>
      </w:r>
      <w:r>
        <w:rPr>
          <w:rFonts w:ascii="Times New Roman" w:hAnsi="Times New Roman" w:cs="Times New Roman"/>
          <w:b w:val="0"/>
          <w:i w:val="0"/>
          <w:sz w:val="20"/>
          <w:szCs w:val="20"/>
          <w:lang w:val="zh-CN"/>
        </w:rPr>
        <w:t xml:space="preserve"> Договора, </w:t>
      </w:r>
      <w:r>
        <w:rPr>
          <w:rFonts w:ascii="Times New Roman" w:hAnsi="Times New Roman" w:cs="Times New Roman"/>
          <w:b w:val="0"/>
          <w:i w:val="0"/>
          <w:sz w:val="20"/>
          <w:szCs w:val="20"/>
        </w:rPr>
        <w:t xml:space="preserve">а также </w:t>
      </w:r>
      <w:r>
        <w:rPr>
          <w:rFonts w:ascii="Times New Roman" w:hAnsi="Times New Roman" w:cs="Times New Roman"/>
          <w:b w:val="0"/>
          <w:i w:val="0"/>
          <w:sz w:val="20"/>
          <w:szCs w:val="20"/>
          <w:lang w:val="zh-CN"/>
        </w:rPr>
        <w:t xml:space="preserve">норм</w:t>
      </w:r>
      <w:r>
        <w:rPr>
          <w:rFonts w:ascii="Times New Roman" w:hAnsi="Times New Roman" w:cs="Times New Roman"/>
          <w:b w:val="0"/>
          <w:i w:val="0"/>
          <w:sz w:val="20"/>
          <w:szCs w:val="20"/>
        </w:rPr>
        <w:t xml:space="preserve">ам</w:t>
      </w:r>
      <w:r>
        <w:rPr>
          <w:rFonts w:ascii="Times New Roman" w:hAnsi="Times New Roman" w:cs="Times New Roman"/>
          <w:b w:val="0"/>
          <w:i w:val="0"/>
          <w:sz w:val="20"/>
          <w:szCs w:val="20"/>
          <w:lang w:val="zh-CN"/>
        </w:rPr>
        <w:t xml:space="preserve"> </w:t>
      </w:r>
      <w:r>
        <w:rPr>
          <w:rFonts w:ascii="Times New Roman" w:hAnsi="Times New Roman" w:cs="Times New Roman"/>
          <w:b w:val="0"/>
          <w:i w:val="0"/>
          <w:sz w:val="20"/>
          <w:szCs w:val="20"/>
        </w:rPr>
        <w:t xml:space="preserve">и требованиям, предъявляемым к программным продуктам такого рода.</w:t>
      </w:r>
      <w:r>
        <w:rPr>
          <w:rFonts w:ascii="Times New Roman" w:hAnsi="Times New Roman" w:cs="Times New Roman"/>
          <w:b w:val="0"/>
          <w:i w:val="0"/>
          <w:sz w:val="20"/>
          <w:szCs w:val="20"/>
        </w:rPr>
      </w:r>
    </w:p>
    <w:p>
      <w:pPr>
        <w:pStyle w:val="739"/>
        <w:numPr>
          <w:ilvl w:val="0"/>
          <w:numId w:val="0"/>
        </w:numPr>
        <w:ind w:left="851"/>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обнаружения ошибок в работе Программы, Лицензиар принимает меры для их исправления в максимально короткие сроки. При этом точное определение срока устранения ошибок не может быть установл</w:t>
      </w:r>
      <w:r>
        <w:rPr>
          <w:rFonts w:ascii="Times New Roman" w:hAnsi="Times New Roman" w:cs="Times New Roman"/>
          <w:b w:val="0"/>
          <w:i w:val="0"/>
          <w:sz w:val="20"/>
          <w:szCs w:val="20"/>
        </w:rPr>
        <w:t xml:space="preserve">ено, так как Программа взаимодействует с другими программами для ЭВМ и базами данных, в том числе сторонних разработчиков, операционными системами и аппаратными ресурсами Лицензиата, и работоспособность и устранение проблем зависят не только от Лицензиара.</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Лицензиар имеет право:</w:t>
      </w:r>
      <w:r>
        <w:rPr>
          <w:rFonts w:ascii="Times New Roman" w:hAnsi="Times New Roman" w:cs="Times New Roman"/>
          <w:b w:val="0"/>
          <w:i w:val="0"/>
          <w:sz w:val="20"/>
          <w:szCs w:val="20"/>
        </w:rPr>
      </w:r>
    </w:p>
    <w:p>
      <w:pPr>
        <w:pStyle w:val="739"/>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в части предоставления доступа к Программе:</w:t>
      </w:r>
      <w:r>
        <w:rPr>
          <w:rFonts w:ascii="Times New Roman" w:hAnsi="Times New Roman" w:cs="Times New Roman"/>
          <w:b w:val="0"/>
          <w:i w:val="0"/>
          <w:sz w:val="20"/>
          <w:szCs w:val="20"/>
        </w:rPr>
      </w:r>
    </w:p>
    <w:p>
      <w:pPr>
        <w:pStyle w:val="739"/>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отсутствия оплаты до момента поступления оплаты за текущий отчётный период. Приостановка исполнения Договора наступает автоматически в</w:t>
      </w:r>
      <w:r>
        <w:rPr>
          <w:rFonts w:ascii="Times New Roman" w:hAnsi="Times New Roman" w:cs="Times New Roman"/>
          <w:b w:val="0"/>
          <w:i w:val="0"/>
          <w:sz w:val="20"/>
          <w:szCs w:val="20"/>
        </w:rPr>
        <w:t xml:space="preserve"> случае отсутствия оплаты в течение 5 (пяти) банковских дней с момента начала текущего отчётного периода. В случае поступления оплаты в срок, указанный в настоящем пункте Договора, отчётный период начинает исчисляться в порядке, предусмотренном подпунктом </w:t>
      </w:r>
      <w:r>
        <w:rPr>
          <w:rFonts w:ascii="Times New Roman" w:hAnsi="Times New Roman" w:cs="Times New Roman"/>
          <w:b w:val="0"/>
          <w:i w:val="0"/>
          <w:sz w:val="20"/>
          <w:szCs w:val="20"/>
          <w:lang w:val="en-US"/>
        </w:rPr>
        <w:t xml:space="preserve">c</w:t>
      </w:r>
      <w:r>
        <w:rPr>
          <w:rFonts w:ascii="Times New Roman" w:hAnsi="Times New Roman" w:cs="Times New Roman"/>
          <w:b w:val="0"/>
          <w:i w:val="0"/>
          <w:sz w:val="20"/>
          <w:szCs w:val="20"/>
        </w:rPr>
        <w:t xml:space="preserve">) пункта 3.3 Договора,</w:t>
      </w:r>
      <w:r>
        <w:rPr>
          <w:rFonts w:ascii="Times New Roman" w:hAnsi="Times New Roman" w:cs="Times New Roman"/>
          <w:b w:val="0"/>
          <w:i w:val="0"/>
          <w:sz w:val="20"/>
          <w:szCs w:val="20"/>
        </w:rPr>
      </w:r>
    </w:p>
    <w:p>
      <w:pPr>
        <w:pStyle w:val="739"/>
        <w:numPr>
          <w:ilvl w:val="0"/>
          <w:numId w:val="11"/>
        </w:numPr>
        <w:ind w:left="1134" w:hanging="283"/>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случае нарушения Лицензиатом условий использования Программы – до устранения соответствующих нарушений. При этом стоимость отчётного периода, в течение которого было выявлено нарушение, не пересчитывается;</w:t>
      </w:r>
      <w:r>
        <w:rPr>
          <w:rFonts w:ascii="Times New Roman" w:hAnsi="Times New Roman" w:cs="Times New Roman"/>
          <w:b w:val="0"/>
          <w:i w:val="0"/>
          <w:sz w:val="20"/>
          <w:szCs w:val="20"/>
        </w:rPr>
      </w:r>
    </w:p>
    <w:p>
      <w:pPr>
        <w:pStyle w:val="739"/>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для надлежащего исполнения обязательств по Договору привлекать третьих лиц за исключением обязательств, связанных с работой со сведениями содержащими </w:t>
      </w:r>
      <w:r>
        <w:rPr>
          <w:rFonts w:ascii="Times New Roman" w:hAnsi="Times New Roman" w:cs="Times New Roman"/>
          <w:b w:val="0"/>
          <w:i w:val="0"/>
          <w:sz w:val="20"/>
          <w:szCs w:val="20"/>
        </w:rPr>
        <w:t xml:space="preserve">ПДн</w:t>
      </w:r>
      <w:r>
        <w:rPr>
          <w:rFonts w:ascii="Times New Roman" w:hAnsi="Times New Roman" w:cs="Times New Roman"/>
          <w:b w:val="0"/>
          <w:i w:val="0"/>
          <w:sz w:val="20"/>
          <w:szCs w:val="20"/>
        </w:rPr>
        <w:t xml:space="preserve">;</w:t>
      </w:r>
      <w:r>
        <w:rPr>
          <w:rFonts w:ascii="Times New Roman" w:hAnsi="Times New Roman" w:cs="Times New Roman"/>
          <w:b w:val="0"/>
          <w:i w:val="0"/>
          <w:sz w:val="20"/>
          <w:szCs w:val="20"/>
        </w:rPr>
      </w:r>
    </w:p>
    <w:p>
      <w:pPr>
        <w:pStyle w:val="739"/>
        <w:numPr>
          <w:ilvl w:val="0"/>
          <w:numId w:val="10"/>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одностороннем порядке изменять и (или) дополнять условия Договора. В этом случае</w:t>
      </w:r>
      <w:r>
        <w:rPr>
          <w:rFonts w:ascii="Times New Roman" w:hAnsi="Times New Roman" w:cs="Times New Roman"/>
          <w:b w:val="0"/>
          <w:i w:val="0"/>
          <w:sz w:val="20"/>
          <w:szCs w:val="20"/>
        </w:rPr>
        <w:t xml:space="preserve"> Лицензиар обязуется уведомить Лицензиата о планируемом факте изменения не менее чем за 30 (тридцать) календарных дней до даты вступления таких изменений в силу. Указанная информация доводится до Лицензиата способами, предусмотренными пунктом 4.1 Договора.</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принимает на себя следующие обязательства:</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выплачивать вознаграждение Лицензиара на условиях, предусмотренных Договором;</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осуществлять приёмку Лицензии на условиях, предусмотренных Договором;</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самостоятельно обеспечивать наличие оборудования, соответствующее Условиям, и доступ к сети Интернет;</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использовать Программу по её прямому назначению, не передавать своих прав и обязательств по Договору третьим лицам;</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не предпринимать каких-либо попыток копировать, модифицировать, </w:t>
      </w:r>
      <w:r>
        <w:rPr>
          <w:rFonts w:ascii="Times New Roman" w:hAnsi="Times New Roman" w:cs="Times New Roman"/>
          <w:b w:val="0"/>
          <w:i w:val="0"/>
          <w:sz w:val="20"/>
          <w:szCs w:val="20"/>
        </w:rPr>
        <w:t xml:space="preserve">декомпилировать</w:t>
      </w:r>
      <w:r>
        <w:rPr>
          <w:rFonts w:ascii="Times New Roman" w:hAnsi="Times New Roman" w:cs="Times New Roman"/>
          <w:b w:val="0"/>
          <w:i w:val="0"/>
          <w:sz w:val="20"/>
          <w:szCs w:val="20"/>
        </w:rPr>
        <w:t xml:space="preserve">, деассемблировать Программу;</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обеспечить соблюдение правил информационной безопасности на рабочих местах конечных пользователей Программы, а также конфиденциальность кодов аутентификации (при их наличии);</w:t>
      </w:r>
      <w:r>
        <w:rPr>
          <w:rFonts w:ascii="Times New Roman" w:hAnsi="Times New Roman" w:cs="Times New Roman"/>
          <w:b w:val="0"/>
          <w:i w:val="0"/>
          <w:sz w:val="20"/>
          <w:szCs w:val="20"/>
        </w:rPr>
      </w:r>
    </w:p>
    <w:p>
      <w:pPr>
        <w:pStyle w:val="739"/>
        <w:numPr>
          <w:ilvl w:val="0"/>
          <w:numId w:val="12"/>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своевременно направлять Лицензиару уведомления о необходимости уничтожения данных на сервере.</w:t>
      </w:r>
      <w:r>
        <w:rPr>
          <w:rFonts w:ascii="Times New Roman" w:hAnsi="Times New Roman" w:cs="Times New Roman"/>
          <w:b w:val="0"/>
          <w:i w:val="0"/>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ходе исполнения Договора Лицензиат имеет право:</w:t>
      </w:r>
      <w:r>
        <w:rPr>
          <w:rFonts w:ascii="Times New Roman" w:hAnsi="Times New Roman" w:cs="Times New Roman"/>
          <w:b w:val="0"/>
          <w:i w:val="0"/>
          <w:sz w:val="20"/>
          <w:szCs w:val="20"/>
        </w:rPr>
      </w:r>
    </w:p>
    <w:p>
      <w:pPr>
        <w:pStyle w:val="739"/>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выносить на рассмотрение Лицензиара предложения по изменению функциональных возможностей Программы;</w:t>
      </w:r>
      <w:r>
        <w:rPr>
          <w:rFonts w:ascii="Times New Roman" w:hAnsi="Times New Roman" w:cs="Times New Roman"/>
          <w:b w:val="0"/>
          <w:i w:val="0"/>
          <w:sz w:val="20"/>
          <w:szCs w:val="20"/>
        </w:rPr>
      </w:r>
    </w:p>
    <w:p>
      <w:pPr>
        <w:pStyle w:val="739"/>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приостановить исполнение Договора, напра</w:t>
      </w:r>
      <w:r>
        <w:rPr>
          <w:rFonts w:ascii="Times New Roman" w:hAnsi="Times New Roman" w:cs="Times New Roman"/>
          <w:b w:val="0"/>
          <w:i w:val="0"/>
          <w:sz w:val="20"/>
          <w:szCs w:val="20"/>
        </w:rPr>
        <w:t xml:space="preserve">вив соответствующее уведомление Лицензиару, не менее чем за 5 (пять) календарных дней до начала следующего отчётного периода. Исполнение Договора приостанавливается с момента окончания отчётного периода, в котором было получено соответствующее уведомление;</w:t>
      </w:r>
      <w:r>
        <w:rPr>
          <w:rFonts w:ascii="Times New Roman" w:hAnsi="Times New Roman" w:cs="Times New Roman"/>
          <w:b w:val="0"/>
          <w:i w:val="0"/>
          <w:sz w:val="20"/>
          <w:szCs w:val="20"/>
        </w:rPr>
      </w:r>
    </w:p>
    <w:p>
      <w:pPr>
        <w:pStyle w:val="739"/>
        <w:numPr>
          <w:ilvl w:val="0"/>
          <w:numId w:val="13"/>
        </w:numPr>
        <w:ind w:left="851" w:hanging="284"/>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в течение всего срока действия Договора однократно уступить свои права и обязательства по Договору при условии предварительного письменного согласования такой уступки с Лицензиаром.</w:t>
      </w:r>
      <w:r>
        <w:rPr>
          <w:rFonts w:ascii="Times New Roman" w:hAnsi="Times New Roman" w:cs="Times New Roman"/>
          <w:b w:val="0"/>
          <w:i w:val="0"/>
          <w:sz w:val="20"/>
          <w:szCs w:val="20"/>
        </w:rPr>
      </w:r>
    </w:p>
    <w:p>
      <w:pPr>
        <w:pStyle w:val="773"/>
        <w:numPr>
          <w:ilvl w:val="1"/>
          <w:numId w:val="2"/>
        </w:numPr>
        <w:ind w:left="567" w:hanging="567"/>
        <w:jc w:val="both"/>
        <w:rPr>
          <w:sz w:val="20"/>
          <w:szCs w:val="20"/>
        </w:rPr>
      </w:pPr>
      <w:r>
        <w:rPr>
          <w:sz w:val="20"/>
          <w:szCs w:val="20"/>
        </w:rPr>
        <w:t xml:space="preserve">В рамках Договора Лицензиар не передаёт Лицензиату какие-либо права на использование товарных знаков и (или) знаков обслуживания Лицензиара и его партнёров.</w:t>
      </w:r>
      <w:r>
        <w:rPr>
          <w:sz w:val="20"/>
          <w:szCs w:val="20"/>
        </w:rPr>
      </w:r>
    </w:p>
    <w:p>
      <w:pPr>
        <w:pStyle w:val="773"/>
        <w:contextualSpacing w:val="0"/>
        <w:ind w:left="567"/>
        <w:jc w:val="both"/>
        <w:tabs>
          <w:tab w:val="left" w:pos="567" w:leader="none"/>
        </w:tabs>
        <w:rPr>
          <w:sz w:val="20"/>
          <w:szCs w:val="20"/>
        </w:rPr>
      </w:pPr>
      <w:r>
        <w:rPr>
          <w:sz w:val="20"/>
          <w:szCs w:val="20"/>
        </w:rPr>
        <w:t xml:space="preserve">Лицензиат не имеет права удалять или изменять каким-либо образом информацию и сведения об авторских правах, правах на товарные знаки, указанные в Программе.</w:t>
      </w:r>
      <w:r>
        <w:rPr>
          <w:sz w:val="20"/>
          <w:szCs w:val="20"/>
        </w:rPr>
      </w:r>
    </w:p>
    <w:p>
      <w:pPr>
        <w:pStyle w:val="773"/>
        <w:numPr>
          <w:ilvl w:val="1"/>
          <w:numId w:val="2"/>
        </w:numPr>
        <w:contextualSpacing w:val="0"/>
        <w:ind w:left="567"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p>
    <w:p>
      <w:pPr>
        <w:pStyle w:val="773"/>
        <w:numPr>
          <w:ilvl w:val="0"/>
          <w:numId w:val="14"/>
        </w:numPr>
        <w:contextualSpacing w:val="0"/>
        <w:ind w:left="851" w:hanging="284"/>
        <w:jc w:val="both"/>
        <w:tabs>
          <w:tab w:val="left" w:pos="567" w:leader="none"/>
        </w:tabs>
        <w:rPr>
          <w:sz w:val="20"/>
          <w:szCs w:val="20"/>
        </w:rPr>
      </w:pPr>
      <w:r>
        <w:rPr>
          <w:sz w:val="20"/>
          <w:szCs w:val="20"/>
        </w:rPr>
        <w:t xml:space="preserve">владеет на законном основании необходимым объёмом прав на использование Программы в целях надлежащего исполнения обязательств по Договору;</w:t>
      </w:r>
      <w:r>
        <w:rPr>
          <w:sz w:val="20"/>
          <w:szCs w:val="20"/>
        </w:rPr>
      </w:r>
    </w:p>
    <w:p>
      <w:pPr>
        <w:pStyle w:val="773"/>
        <w:numPr>
          <w:ilvl w:val="0"/>
          <w:numId w:val="14"/>
        </w:numPr>
        <w:contextualSpacing w:val="0"/>
        <w:ind w:left="851" w:hanging="284"/>
        <w:jc w:val="both"/>
        <w:tabs>
          <w:tab w:val="left" w:pos="567" w:leader="none"/>
        </w:tabs>
        <w:rPr>
          <w:sz w:val="20"/>
          <w:szCs w:val="20"/>
        </w:rPr>
      </w:pPr>
      <w:r>
        <w:rPr>
          <w:sz w:val="20"/>
          <w:szCs w:val="20"/>
        </w:rPr>
        <w:t xml:space="preserve">объекты авторских и смежных с ним прав, передаваемые для использования Лицензиату по Договору, ни в целом, ни какие-либо из их частей, не нарушают права собственности, авторские, смежные, иму</w:t>
      </w:r>
      <w:r>
        <w:rPr>
          <w:sz w:val="20"/>
          <w:szCs w:val="20"/>
        </w:rPr>
        <w:t xml:space="preserve">щественные и личные неимущественные права третьих лиц, а также не содержат никаких незаконных материалов. В обязанности Лицензиара входит рассмотрение всех претензий, связанных с нарушением настоящего правила и разрешение конфликтных ситуаций за свой счёт;</w:t>
      </w:r>
      <w:r>
        <w:rPr>
          <w:sz w:val="20"/>
          <w:szCs w:val="20"/>
        </w:rPr>
      </w:r>
    </w:p>
    <w:p>
      <w:pPr>
        <w:pStyle w:val="773"/>
        <w:numPr>
          <w:ilvl w:val="0"/>
          <w:numId w:val="14"/>
        </w:numPr>
        <w:contextualSpacing w:val="0"/>
        <w:ind w:left="851" w:hanging="284"/>
        <w:jc w:val="both"/>
        <w:tabs>
          <w:tab w:val="left" w:pos="567" w:leader="none"/>
        </w:tabs>
        <w:rPr>
          <w:sz w:val="20"/>
          <w:szCs w:val="20"/>
        </w:rPr>
      </w:pPr>
      <w:r>
        <w:rPr>
          <w:sz w:val="20"/>
          <w:szCs w:val="20"/>
        </w:rPr>
        <w:t xml:space="preserve">им получены все официальные разрешения и права для исполнения своих обязательств в соответствии с Договором.</w:t>
      </w:r>
      <w:r>
        <w:rPr>
          <w:sz w:val="20"/>
          <w:szCs w:val="20"/>
        </w:rPr>
      </w:r>
    </w:p>
    <w:p>
      <w:pPr>
        <w:pStyle w:val="773"/>
        <w:numPr>
          <w:ilvl w:val="1"/>
          <w:numId w:val="2"/>
        </w:numPr>
        <w:contextualSpacing w:val="0"/>
        <w:ind w:left="567" w:hanging="567"/>
        <w:jc w:val="both"/>
        <w:tabs>
          <w:tab w:val="left" w:pos="567" w:leader="none"/>
        </w:tabs>
        <w:rPr>
          <w:sz w:val="20"/>
          <w:szCs w:val="20"/>
        </w:rPr>
      </w:pPr>
      <w:r>
        <w:rPr>
          <w:sz w:val="20"/>
          <w:szCs w:val="20"/>
        </w:rPr>
        <w:t xml:space="preserve">Настоящим пунктом определён порядок взаимодействия сторон в области обработки </w:t>
      </w:r>
      <w:r>
        <w:rPr>
          <w:sz w:val="20"/>
          <w:szCs w:val="20"/>
        </w:rPr>
        <w:t xml:space="preserve">ПДн</w:t>
      </w:r>
      <w:r>
        <w:rPr>
          <w:sz w:val="20"/>
          <w:szCs w:val="20"/>
        </w:rPr>
        <w:t xml:space="preserve">.</w:t>
      </w:r>
      <w:r>
        <w:rPr>
          <w:sz w:val="20"/>
          <w:szCs w:val="20"/>
        </w:rPr>
      </w:r>
    </w:p>
    <w:p>
      <w:pPr>
        <w:pStyle w:val="773"/>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Лицензиат гарантирует, что:</w:t>
      </w:r>
      <w:r>
        <w:rPr>
          <w:sz w:val="20"/>
          <w:szCs w:val="20"/>
        </w:rPr>
      </w:r>
    </w:p>
    <w:p>
      <w:pPr>
        <w:pStyle w:val="773"/>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им соблюдены все права субъектов </w:t>
      </w:r>
      <w:r>
        <w:rPr>
          <w:sz w:val="20"/>
          <w:szCs w:val="20"/>
        </w:rPr>
        <w:t xml:space="preserve">ПДн</w:t>
      </w:r>
      <w:r>
        <w:rPr>
          <w:sz w:val="20"/>
          <w:szCs w:val="20"/>
        </w:rPr>
        <w:t xml:space="preserve">, предусмотренные действующим законодательством Российской Федерации в области защиты персональных данных;</w:t>
      </w:r>
      <w:r>
        <w:rPr>
          <w:sz w:val="20"/>
          <w:szCs w:val="20"/>
        </w:rPr>
      </w:r>
    </w:p>
    <w:p>
      <w:pPr>
        <w:pStyle w:val="773"/>
        <w:numPr>
          <w:ilvl w:val="0"/>
          <w:numId w:val="15"/>
        </w:numPr>
        <w:contextualSpacing w:val="0"/>
        <w:ind w:left="1560" w:hanging="426"/>
        <w:jc w:val="both"/>
        <w:tabs>
          <w:tab w:val="left" w:pos="567" w:leader="none"/>
        </w:tabs>
        <w:rPr>
          <w:sz w:val="20"/>
          <w:szCs w:val="20"/>
        </w:rPr>
      </w:pPr>
      <w:r>
        <w:rPr>
          <w:sz w:val="20"/>
          <w:szCs w:val="20"/>
        </w:rPr>
        <w:t xml:space="preserve">им получено согласие субъектов </w:t>
      </w:r>
      <w:r>
        <w:rPr>
          <w:sz w:val="20"/>
          <w:szCs w:val="20"/>
        </w:rPr>
        <w:t xml:space="preserve">ПДн</w:t>
      </w:r>
      <w:r>
        <w:rPr>
          <w:sz w:val="20"/>
          <w:szCs w:val="20"/>
        </w:rPr>
        <w:t xml:space="preserve"> на обработку их </w:t>
      </w:r>
      <w:r>
        <w:rPr>
          <w:sz w:val="20"/>
          <w:szCs w:val="20"/>
        </w:rPr>
        <w:t xml:space="preserve">ПДн</w:t>
      </w:r>
      <w:r>
        <w:rPr>
          <w:sz w:val="20"/>
          <w:szCs w:val="20"/>
        </w:rPr>
        <w:t xml:space="preserve"> с использованием Программы;</w:t>
      </w:r>
      <w:r>
        <w:rPr>
          <w:sz w:val="20"/>
          <w:szCs w:val="20"/>
        </w:rPr>
      </w:r>
    </w:p>
    <w:p>
      <w:pPr>
        <w:pStyle w:val="773"/>
        <w:numPr>
          <w:ilvl w:val="0"/>
          <w:numId w:val="15"/>
        </w:numPr>
        <w:contextualSpacing w:val="0"/>
        <w:ind w:left="1560" w:hanging="426"/>
        <w:jc w:val="both"/>
        <w:tabs>
          <w:tab w:val="left" w:pos="567" w:leader="none"/>
        </w:tabs>
        <w:rPr>
          <w:sz w:val="20"/>
          <w:szCs w:val="20"/>
        </w:rPr>
      </w:pPr>
      <w:r>
        <w:rPr>
          <w:sz w:val="20"/>
          <w:szCs w:val="20"/>
        </w:rPr>
        <w:t xml:space="preserve">при обработке </w:t>
      </w:r>
      <w:r>
        <w:rPr>
          <w:sz w:val="20"/>
          <w:szCs w:val="20"/>
        </w:rPr>
        <w:t xml:space="preserve">ПДн</w:t>
      </w:r>
      <w:r>
        <w:rPr>
          <w:sz w:val="20"/>
          <w:szCs w:val="20"/>
        </w:rPr>
        <w:t xml:space="preserve"> с использованием Программы им соблюдены все принципы и условия обработки </w:t>
      </w:r>
      <w:r>
        <w:rPr>
          <w:sz w:val="20"/>
          <w:szCs w:val="20"/>
        </w:rPr>
        <w:t xml:space="preserve">ПДн</w:t>
      </w:r>
      <w:r>
        <w:rPr>
          <w:sz w:val="20"/>
          <w:szCs w:val="20"/>
        </w:rPr>
        <w:t xml:space="preserve"> и ограничения, предусмотренные действующим законодательством Российской Федерации;</w:t>
      </w:r>
      <w:r>
        <w:rPr>
          <w:sz w:val="20"/>
          <w:szCs w:val="20"/>
        </w:rPr>
      </w:r>
    </w:p>
    <w:p>
      <w:pPr>
        <w:pStyle w:val="773"/>
        <w:numPr>
          <w:ilvl w:val="0"/>
          <w:numId w:val="15"/>
        </w:numPr>
        <w:contextualSpacing w:val="0"/>
        <w:ind w:left="1560" w:hanging="426"/>
        <w:jc w:val="both"/>
        <w:tabs>
          <w:tab w:val="left" w:pos="567" w:leader="none"/>
        </w:tabs>
        <w:rPr>
          <w:sz w:val="20"/>
          <w:szCs w:val="20"/>
        </w:rPr>
      </w:pPr>
      <w:r>
        <w:rPr>
          <w:sz w:val="20"/>
          <w:szCs w:val="20"/>
        </w:rPr>
        <w:t xml:space="preserve">в случае прекращения действия Договора по любому из оснований им в течение 10 (десяти) календарных дней будут уничтожены </w:t>
      </w:r>
      <w:r>
        <w:rPr>
          <w:sz w:val="20"/>
          <w:szCs w:val="20"/>
        </w:rPr>
        <w:t xml:space="preserve">ПДн</w:t>
      </w:r>
      <w:r>
        <w:rPr>
          <w:sz w:val="20"/>
          <w:szCs w:val="20"/>
        </w:rPr>
        <w:t xml:space="preserve">, обрабатываемые с использованием Программы, самостоятельно, либо будет направлено своевременное уведомление Лицензиару о необходимости такого удаления.</w:t>
      </w:r>
      <w:r>
        <w:rPr>
          <w:sz w:val="20"/>
          <w:szCs w:val="20"/>
        </w:rPr>
      </w:r>
    </w:p>
    <w:p>
      <w:pPr>
        <w:pStyle w:val="773"/>
        <w:numPr>
          <w:ilvl w:val="2"/>
          <w:numId w:val="2"/>
        </w:numPr>
        <w:contextualSpacing w:val="0"/>
        <w:ind w:left="1134" w:hanging="567"/>
        <w:jc w:val="both"/>
        <w:tabs>
          <w:tab w:val="left" w:pos="567" w:leader="none"/>
        </w:tabs>
        <w:rPr>
          <w:sz w:val="20"/>
          <w:szCs w:val="20"/>
        </w:rPr>
      </w:pPr>
      <w:r>
        <w:rPr>
          <w:sz w:val="20"/>
          <w:szCs w:val="20"/>
        </w:rPr>
        <w:t xml:space="preserve">Настоящим Лицензиар гарантирует, что:</w:t>
      </w:r>
      <w:r>
        <w:rPr>
          <w:sz w:val="20"/>
          <w:szCs w:val="20"/>
        </w:rPr>
      </w:r>
    </w:p>
    <w:p>
      <w:pPr>
        <w:pStyle w:val="773"/>
        <w:numPr>
          <w:ilvl w:val="0"/>
          <w:numId w:val="16"/>
        </w:numPr>
        <w:contextualSpacing w:val="0"/>
        <w:ind w:left="1560" w:hanging="426"/>
        <w:jc w:val="both"/>
        <w:tabs>
          <w:tab w:val="left" w:pos="567" w:leader="none"/>
        </w:tabs>
        <w:rPr>
          <w:sz w:val="20"/>
          <w:szCs w:val="20"/>
        </w:rPr>
      </w:pPr>
      <w:r>
        <w:rPr>
          <w:sz w:val="20"/>
          <w:szCs w:val="20"/>
        </w:rPr>
        <w:t xml:space="preserve">им приняты необходимые организационные и технические меры для защиты </w:t>
      </w:r>
      <w:r>
        <w:rPr>
          <w:sz w:val="20"/>
          <w:szCs w:val="20"/>
        </w:rPr>
        <w:t xml:space="preserve">ПДн</w:t>
      </w:r>
      <w:r>
        <w:rPr>
          <w:sz w:val="20"/>
          <w:szCs w:val="20"/>
        </w:rPr>
        <w:t xml:space="preserve">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w:t>
      </w:r>
      <w:r>
        <w:rPr>
          <w:sz w:val="20"/>
          <w:szCs w:val="20"/>
        </w:rPr>
        <w:t xml:space="preserve">ПДн</w:t>
      </w:r>
      <w:r>
        <w:rPr>
          <w:sz w:val="20"/>
          <w:szCs w:val="20"/>
        </w:rPr>
        <w:t xml:space="preserve">, в частности:</w:t>
      </w:r>
      <w:r>
        <w:rPr>
          <w:sz w:val="20"/>
          <w:szCs w:val="20"/>
        </w:rPr>
      </w:r>
    </w:p>
    <w:p>
      <w:pPr>
        <w:pStyle w:val="773"/>
        <w:numPr>
          <w:ilvl w:val="0"/>
          <w:numId w:val="17"/>
        </w:numPr>
        <w:contextualSpacing w:val="0"/>
        <w:ind w:left="1843" w:hanging="283"/>
        <w:jc w:val="both"/>
        <w:tabs>
          <w:tab w:val="left" w:pos="567" w:leader="none"/>
        </w:tabs>
        <w:rPr>
          <w:sz w:val="20"/>
          <w:szCs w:val="20"/>
        </w:rPr>
      </w:pPr>
      <w:r>
        <w:rPr>
          <w:sz w:val="20"/>
          <w:szCs w:val="20"/>
        </w:rPr>
        <w:t xml:space="preserve">определение угроз безопасности </w:t>
      </w:r>
      <w:r>
        <w:rPr>
          <w:sz w:val="20"/>
          <w:szCs w:val="20"/>
        </w:rPr>
        <w:t xml:space="preserve">ПДн</w:t>
      </w:r>
      <w:r>
        <w:rPr>
          <w:sz w:val="20"/>
          <w:szCs w:val="20"/>
        </w:rPr>
        <w:t xml:space="preserve"> при их обработке,</w:t>
      </w:r>
      <w:r>
        <w:rPr>
          <w:sz w:val="20"/>
          <w:szCs w:val="20"/>
        </w:rPr>
      </w:r>
    </w:p>
    <w:p>
      <w:pPr>
        <w:pStyle w:val="773"/>
        <w:numPr>
          <w:ilvl w:val="0"/>
          <w:numId w:val="17"/>
        </w:numPr>
        <w:contextualSpacing w:val="0"/>
        <w:ind w:left="1843" w:hanging="283"/>
        <w:jc w:val="both"/>
        <w:tabs>
          <w:tab w:val="left" w:pos="567" w:leader="none"/>
        </w:tabs>
        <w:rPr>
          <w:sz w:val="20"/>
          <w:szCs w:val="20"/>
        </w:rPr>
      </w:pPr>
      <w:r>
        <w:rPr>
          <w:sz w:val="20"/>
          <w:szCs w:val="20"/>
        </w:rPr>
        <w:t xml:space="preserve">установление правил доступа к обрабатываемым </w:t>
      </w:r>
      <w:r>
        <w:rPr>
          <w:sz w:val="20"/>
          <w:szCs w:val="20"/>
        </w:rPr>
        <w:t xml:space="preserve">ПДн</w:t>
      </w:r>
      <w:r>
        <w:rPr>
          <w:sz w:val="20"/>
          <w:szCs w:val="20"/>
        </w:rPr>
        <w:t xml:space="preserve">,</w:t>
      </w:r>
      <w:r>
        <w:rPr>
          <w:sz w:val="20"/>
          <w:szCs w:val="20"/>
        </w:rPr>
      </w:r>
    </w:p>
    <w:p>
      <w:pPr>
        <w:pStyle w:val="773"/>
        <w:numPr>
          <w:ilvl w:val="0"/>
          <w:numId w:val="17"/>
        </w:numPr>
        <w:contextualSpacing w:val="0"/>
        <w:ind w:left="1843" w:hanging="283"/>
        <w:jc w:val="both"/>
        <w:tabs>
          <w:tab w:val="left" w:pos="567" w:leader="none"/>
        </w:tabs>
        <w:rPr>
          <w:sz w:val="20"/>
          <w:szCs w:val="20"/>
        </w:rPr>
      </w:pPr>
      <w:r>
        <w:rPr>
          <w:sz w:val="20"/>
          <w:szCs w:val="20"/>
        </w:rPr>
        <w:t xml:space="preserve">обнаружение фактов несанкционированного доступа к </w:t>
      </w:r>
      <w:r>
        <w:rPr>
          <w:sz w:val="20"/>
          <w:szCs w:val="20"/>
        </w:rPr>
        <w:t xml:space="preserve">ПДн</w:t>
      </w:r>
      <w:r>
        <w:rPr>
          <w:sz w:val="20"/>
          <w:szCs w:val="20"/>
        </w:rPr>
        <w:t xml:space="preserve"> и принятие мер по их пресечению,</w:t>
      </w:r>
      <w:r>
        <w:rPr>
          <w:sz w:val="20"/>
          <w:szCs w:val="20"/>
        </w:rPr>
      </w:r>
    </w:p>
    <w:p>
      <w:pPr>
        <w:pStyle w:val="773"/>
        <w:numPr>
          <w:ilvl w:val="0"/>
          <w:numId w:val="17"/>
        </w:numPr>
        <w:contextualSpacing w:val="0"/>
        <w:ind w:left="1843" w:hanging="283"/>
        <w:jc w:val="both"/>
        <w:tabs>
          <w:tab w:val="left" w:pos="567" w:leader="none"/>
        </w:tabs>
        <w:rPr>
          <w:sz w:val="20"/>
          <w:szCs w:val="20"/>
        </w:rPr>
      </w:pPr>
      <w:r>
        <w:rPr>
          <w:sz w:val="20"/>
          <w:szCs w:val="20"/>
        </w:rPr>
        <w:t xml:space="preserve">проведение оценки эффективности принимаемых мер по обеспечению безопасности </w:t>
      </w:r>
      <w:r>
        <w:rPr>
          <w:sz w:val="20"/>
          <w:szCs w:val="20"/>
        </w:rPr>
        <w:t xml:space="preserve">ПДн</w:t>
      </w:r>
      <w:r>
        <w:rPr>
          <w:sz w:val="20"/>
          <w:szCs w:val="20"/>
        </w:rPr>
        <w:t xml:space="preserve"> и контроля за принимаемыми мерами;</w:t>
      </w:r>
      <w:r>
        <w:rPr>
          <w:sz w:val="20"/>
          <w:szCs w:val="20"/>
        </w:rPr>
      </w:r>
    </w:p>
    <w:p>
      <w:pPr>
        <w:pStyle w:val="773"/>
        <w:numPr>
          <w:ilvl w:val="0"/>
          <w:numId w:val="16"/>
        </w:numPr>
        <w:contextualSpacing w:val="0"/>
        <w:ind w:left="1560" w:hanging="426"/>
        <w:jc w:val="both"/>
        <w:tabs>
          <w:tab w:val="left" w:pos="567" w:leader="none"/>
        </w:tabs>
        <w:rPr>
          <w:sz w:val="20"/>
          <w:szCs w:val="20"/>
        </w:rPr>
      </w:pPr>
      <w:r>
        <w:rPr>
          <w:sz w:val="20"/>
          <w:szCs w:val="20"/>
        </w:rPr>
        <w:t xml:space="preserve">при передаче </w:t>
      </w:r>
      <w:r>
        <w:rPr>
          <w:sz w:val="20"/>
          <w:szCs w:val="20"/>
        </w:rPr>
        <w:t xml:space="preserve">ПДн</w:t>
      </w:r>
      <w:r>
        <w:rPr>
          <w:sz w:val="20"/>
          <w:szCs w:val="20"/>
        </w:rPr>
        <w:t xml:space="preserve"> по телекоммуникационным каналам связи им применяются средства криптографической защиты информации.</w:t>
      </w:r>
      <w:r>
        <w:rPr>
          <w:sz w:val="20"/>
          <w:szCs w:val="20"/>
        </w:rPr>
      </w:r>
    </w:p>
    <w:p>
      <w:pPr>
        <w:pStyle w:val="773"/>
        <w:numPr>
          <w:ilvl w:val="2"/>
          <w:numId w:val="2"/>
        </w:numPr>
        <w:contextualSpacing w:val="0"/>
        <w:ind w:left="1134" w:hanging="567"/>
        <w:jc w:val="both"/>
        <w:tabs>
          <w:tab w:val="left" w:pos="567" w:leader="none"/>
        </w:tabs>
        <w:rPr>
          <w:sz w:val="20"/>
          <w:szCs w:val="20"/>
        </w:rPr>
      </w:pPr>
      <w:r>
        <w:rPr>
          <w:sz w:val="20"/>
          <w:szCs w:val="20"/>
        </w:rPr>
        <w:t xml:space="preserve">В целях соблюдения прав субъектов </w:t>
      </w:r>
      <w:r>
        <w:rPr>
          <w:sz w:val="20"/>
          <w:szCs w:val="20"/>
        </w:rPr>
        <w:t xml:space="preserve">ПДн</w:t>
      </w:r>
      <w:r>
        <w:rPr>
          <w:sz w:val="20"/>
          <w:szCs w:val="20"/>
        </w:rPr>
        <w:t xml:space="preserve">, являющихся работниками и представителями Лицензиата (лицами, получившими доступ к </w:t>
      </w:r>
      <w:r>
        <w:rPr>
          <w:sz w:val="20"/>
          <w:szCs w:val="20"/>
        </w:rPr>
        <w:t xml:space="preserve">ПДн</w:t>
      </w:r>
      <w:r>
        <w:rPr>
          <w:sz w:val="20"/>
          <w:szCs w:val="20"/>
        </w:rPr>
        <w:t xml:space="preserve">, которые получены Лицензиатом в связи с исполнением заключённых с такими лицами гражданско-правовых Договоров) стороны договорились установить следующий порядок взаимодействия:</w:t>
      </w:r>
      <w:r>
        <w:rPr>
          <w:sz w:val="20"/>
          <w:szCs w:val="20"/>
        </w:rPr>
      </w:r>
    </w:p>
    <w:p>
      <w:pPr>
        <w:pStyle w:val="773"/>
        <w:numPr>
          <w:ilvl w:val="0"/>
          <w:numId w:val="18"/>
        </w:numPr>
        <w:contextualSpacing w:val="0"/>
        <w:ind w:left="1560" w:hanging="426"/>
        <w:jc w:val="both"/>
        <w:tabs>
          <w:tab w:val="left" w:pos="567" w:leader="none"/>
        </w:tabs>
        <w:rPr>
          <w:sz w:val="20"/>
          <w:szCs w:val="20"/>
        </w:rPr>
      </w:pPr>
      <w:r>
        <w:rPr>
          <w:sz w:val="20"/>
          <w:szCs w:val="20"/>
        </w:rPr>
        <w:t xml:space="preserve">Лицензиар не имеет доступа к </w:t>
      </w:r>
      <w:r>
        <w:rPr>
          <w:sz w:val="20"/>
          <w:szCs w:val="20"/>
        </w:rPr>
        <w:t xml:space="preserve">ПДн</w:t>
      </w:r>
      <w:r>
        <w:rPr>
          <w:sz w:val="20"/>
          <w:szCs w:val="20"/>
        </w:rPr>
        <w:t xml:space="preserve"> лиц, указанных в первом абзаце подпункта 4.8.3 Договора. Все операции с </w:t>
      </w:r>
      <w:r>
        <w:rPr>
          <w:sz w:val="20"/>
          <w:szCs w:val="20"/>
        </w:rPr>
        <w:t xml:space="preserve">ПДн</w:t>
      </w:r>
      <w:r>
        <w:rPr>
          <w:sz w:val="20"/>
          <w:szCs w:val="20"/>
        </w:rPr>
        <w:t xml:space="preserve"> таких лиц осуществляются Лицензиатом при наличии к тому предусмотренных законом оснований;</w:t>
      </w:r>
      <w:r>
        <w:rPr>
          <w:sz w:val="20"/>
          <w:szCs w:val="20"/>
        </w:rPr>
      </w:r>
    </w:p>
    <w:p>
      <w:pPr>
        <w:pStyle w:val="773"/>
        <w:numPr>
          <w:ilvl w:val="0"/>
          <w:numId w:val="18"/>
        </w:numPr>
        <w:contextualSpacing w:val="0"/>
        <w:ind w:left="1560" w:hanging="426"/>
        <w:jc w:val="both"/>
        <w:tabs>
          <w:tab w:val="left" w:pos="567" w:leader="none"/>
        </w:tabs>
        <w:rPr>
          <w:sz w:val="20"/>
          <w:szCs w:val="20"/>
        </w:rPr>
      </w:pPr>
      <w:r>
        <w:rPr>
          <w:sz w:val="20"/>
          <w:szCs w:val="20"/>
        </w:rPr>
        <w:t xml:space="preserve">по требованию Лицензиара Лицензиат обязан предоставить доказательства соблюдения прав субъекта </w:t>
      </w:r>
      <w:r>
        <w:rPr>
          <w:sz w:val="20"/>
          <w:szCs w:val="20"/>
        </w:rPr>
        <w:t xml:space="preserve">ПДн</w:t>
      </w:r>
      <w:r>
        <w:rPr>
          <w:sz w:val="20"/>
          <w:szCs w:val="20"/>
        </w:rPr>
        <w:t xml:space="preserve">, предусмотренных действующим законодательством Российской Федерации, а также документы, подтверждающие надлежащее исполнение Лицензиатом иных обязательств, предусмотренных действующим законодательством в области обработки </w:t>
      </w:r>
      <w:r>
        <w:rPr>
          <w:sz w:val="20"/>
          <w:szCs w:val="20"/>
        </w:rPr>
        <w:t xml:space="preserve">ПДн</w:t>
      </w:r>
      <w:r>
        <w:rPr>
          <w:sz w:val="20"/>
          <w:szCs w:val="20"/>
        </w:rPr>
        <w:t xml:space="preserve">;</w:t>
      </w:r>
      <w:r>
        <w:rPr>
          <w:sz w:val="20"/>
          <w:szCs w:val="20"/>
        </w:rPr>
      </w:r>
    </w:p>
    <w:p>
      <w:pPr>
        <w:pStyle w:val="773"/>
        <w:numPr>
          <w:ilvl w:val="0"/>
          <w:numId w:val="18"/>
        </w:numPr>
        <w:contextualSpacing w:val="0"/>
        <w:ind w:left="1560" w:hanging="426"/>
        <w:jc w:val="both"/>
        <w:tabs>
          <w:tab w:val="left" w:pos="567" w:leader="none"/>
        </w:tabs>
        <w:rPr>
          <w:sz w:val="20"/>
          <w:szCs w:val="20"/>
        </w:rPr>
      </w:pPr>
      <w:r>
        <w:rPr>
          <w:sz w:val="20"/>
          <w:szCs w:val="20"/>
        </w:rPr>
        <w:t xml:space="preserve">в случае проведения проверки деятельности Лицензиара и (или) выявления нарушений обработки </w:t>
      </w:r>
      <w:r>
        <w:rPr>
          <w:sz w:val="20"/>
          <w:szCs w:val="20"/>
        </w:rPr>
        <w:t xml:space="preserve">ПДн</w:t>
      </w:r>
      <w:r>
        <w:rPr>
          <w:sz w:val="20"/>
          <w:szCs w:val="20"/>
        </w:rPr>
        <w:t xml:space="preserve"> уполномоченным органом по защите прав субъектов </w:t>
      </w:r>
      <w:r>
        <w:rPr>
          <w:sz w:val="20"/>
          <w:szCs w:val="20"/>
        </w:rPr>
        <w:t xml:space="preserve">ПДн</w:t>
      </w:r>
      <w:r>
        <w:rPr>
          <w:sz w:val="20"/>
          <w:szCs w:val="20"/>
        </w:rPr>
        <w:t xml:space="preserve"> Лицензиар адресует требование уполномоченного органа, которое не может быть выполнено Лицензиаром в силу объективных причин, Лицензиату. Указанное требование подлежит исполнению в срок, указанный в требование уполномоченного органа;</w:t>
      </w:r>
      <w:r>
        <w:rPr>
          <w:sz w:val="20"/>
          <w:szCs w:val="20"/>
        </w:rPr>
      </w:r>
    </w:p>
    <w:p>
      <w:pPr>
        <w:pStyle w:val="773"/>
        <w:numPr>
          <w:ilvl w:val="0"/>
          <w:numId w:val="18"/>
        </w:numPr>
        <w:contextualSpacing w:val="0"/>
        <w:ind w:left="1560" w:hanging="426"/>
        <w:jc w:val="both"/>
        <w:tabs>
          <w:tab w:val="left" w:pos="567" w:leader="none"/>
        </w:tabs>
        <w:rPr>
          <w:sz w:val="20"/>
          <w:szCs w:val="20"/>
        </w:rPr>
      </w:pPr>
      <w:r>
        <w:rPr>
          <w:sz w:val="20"/>
          <w:szCs w:val="20"/>
        </w:rPr>
        <w:t xml:space="preserve">с момента передачи Лицензиаром требований уполномоченного органа по защите прав субъектов </w:t>
      </w:r>
      <w:r>
        <w:rPr>
          <w:sz w:val="20"/>
          <w:szCs w:val="20"/>
        </w:rPr>
        <w:t xml:space="preserve">ПДн</w:t>
      </w:r>
      <w:r>
        <w:rPr>
          <w:sz w:val="20"/>
          <w:szCs w:val="20"/>
        </w:rPr>
        <w:t xml:space="preserve"> Лицензиат становится ответственным за неисполнение или ненадлежащее исполнение указанных требований в соответствующей части и обязуется возместить Лицензиару п</w:t>
      </w:r>
      <w:r>
        <w:rPr>
          <w:sz w:val="20"/>
          <w:szCs w:val="20"/>
        </w:rPr>
        <w:t xml:space="preserve">ричинённые таким неисполнением убытки в течение 20 (двадцати) календарных дней с момента получения требования Лицензиара в письменной форме. Данное положение не может истолковываться как освобождающее Лицензиата от ответственности за совершение операций с </w:t>
      </w:r>
      <w:r>
        <w:rPr>
          <w:sz w:val="20"/>
          <w:szCs w:val="20"/>
        </w:rPr>
        <w:t xml:space="preserve">ПДн</w:t>
      </w:r>
      <w:r>
        <w:rPr>
          <w:sz w:val="20"/>
          <w:szCs w:val="20"/>
        </w:rPr>
        <w:t xml:space="preserve"> лиц, указанных в пункте 4.8.3 Договора.</w:t>
      </w:r>
      <w:r>
        <w:rPr>
          <w:sz w:val="20"/>
          <w:szCs w:val="20"/>
        </w:rPr>
      </w:r>
    </w:p>
    <w:p>
      <w:pPr>
        <w:pStyle w:val="738"/>
        <w:numPr>
          <w:ilvl w:val="0"/>
          <w:numId w:val="2"/>
        </w:numPr>
        <w:ind w:left="714" w:hanging="357"/>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Ответственность сторон</w:t>
      </w:r>
      <w:r>
        <w:rPr>
          <w:rFonts w:ascii="Times New Roman" w:hAnsi="Times New Roman" w:cs="Times New Roman"/>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За неисполнение или ненадлежащее исполнение сторонами обязательств, принятых на себя в соответствии с Договором, стороны несут ответственность в соответствии с действующим законодательством Российской Федерации и Договором.</w:t>
      </w:r>
      <w:r>
        <w:rPr>
          <w:rFonts w:ascii="Times New Roman" w:hAnsi="Times New Roman" w:cs="Times New Roman"/>
          <w:b w:val="0"/>
          <w:i w:val="0"/>
          <w:sz w:val="20"/>
          <w:szCs w:val="20"/>
        </w:rPr>
      </w:r>
    </w:p>
    <w:p>
      <w:pPr>
        <w:pStyle w:val="773"/>
        <w:numPr>
          <w:ilvl w:val="1"/>
          <w:numId w:val="2"/>
        </w:numPr>
        <w:contextualSpacing w:val="0"/>
        <w:ind w:left="567" w:hanging="567"/>
        <w:jc w:val="both"/>
        <w:rPr>
          <w:sz w:val="20"/>
          <w:szCs w:val="20"/>
        </w:rPr>
      </w:pPr>
      <w:r>
        <w:rPr>
          <w:sz w:val="20"/>
          <w:szCs w:val="20"/>
        </w:rPr>
        <w:t xml:space="preserve">Лицензиат несёт ответственность за:</w:t>
      </w:r>
      <w:r>
        <w:rPr>
          <w:sz w:val="20"/>
          <w:szCs w:val="20"/>
        </w:rPr>
      </w:r>
    </w:p>
    <w:p>
      <w:pPr>
        <w:pStyle w:val="773"/>
        <w:numPr>
          <w:ilvl w:val="0"/>
          <w:numId w:val="19"/>
        </w:numPr>
        <w:contextualSpacing w:val="0"/>
        <w:ind w:left="851" w:hanging="284"/>
        <w:jc w:val="both"/>
        <w:rPr>
          <w:sz w:val="20"/>
          <w:szCs w:val="20"/>
        </w:rPr>
      </w:pPr>
      <w:r>
        <w:rPr>
          <w:sz w:val="20"/>
          <w:szCs w:val="20"/>
        </w:rPr>
        <w:t xml:space="preserve">использование Программы в нарушение условий Договора, в том числе передачу Лицензии третьим лицам,</w:t>
      </w:r>
      <w:r>
        <w:rPr>
          <w:sz w:val="20"/>
          <w:szCs w:val="20"/>
        </w:rPr>
      </w:r>
    </w:p>
    <w:p>
      <w:pPr>
        <w:pStyle w:val="773"/>
        <w:numPr>
          <w:ilvl w:val="0"/>
          <w:numId w:val="19"/>
        </w:numPr>
        <w:contextualSpacing w:val="0"/>
        <w:ind w:left="851" w:hanging="284"/>
        <w:jc w:val="both"/>
        <w:rPr>
          <w:sz w:val="20"/>
          <w:szCs w:val="20"/>
        </w:rPr>
      </w:pPr>
      <w:r>
        <w:rPr>
          <w:sz w:val="20"/>
          <w:szCs w:val="20"/>
        </w:rPr>
        <w:t xml:space="preserve"> незаконное использование Программы конечными пользователями.</w:t>
      </w:r>
      <w:r>
        <w:rPr>
          <w:sz w:val="20"/>
          <w:szCs w:val="20"/>
        </w:rPr>
      </w:r>
    </w:p>
    <w:p>
      <w:pPr>
        <w:pStyle w:val="773"/>
        <w:numPr>
          <w:ilvl w:val="1"/>
          <w:numId w:val="2"/>
        </w:numPr>
        <w:contextualSpacing w:val="0"/>
        <w:ind w:left="567" w:hanging="567"/>
        <w:jc w:val="both"/>
        <w:rPr>
          <w:sz w:val="20"/>
          <w:szCs w:val="20"/>
        </w:rPr>
      </w:pPr>
      <w:r>
        <w:rPr>
          <w:bCs/>
          <w:sz w:val="20"/>
          <w:szCs w:val="20"/>
        </w:rPr>
        <w:t xml:space="preserve">В случае нарушения Лицензиатом условий выплаты вознаграждения, Лицензиар имеет право требовать выплаты штрафа в размере 0,1 % от размера вознаграждения Лицензиа</w:t>
      </w:r>
      <w:r>
        <w:rPr>
          <w:bCs/>
          <w:sz w:val="20"/>
          <w:szCs w:val="20"/>
        </w:rPr>
        <w:t xml:space="preserve">ра</w:t>
      </w:r>
      <w:r>
        <w:rPr>
          <w:bCs/>
          <w:sz w:val="20"/>
          <w:szCs w:val="20"/>
        </w:rPr>
        <w:t xml:space="preserve"> за соответствующий отчётный период за каждый банковский день просрочки выполнения обязательств по Договору</w:t>
      </w:r>
      <w:r>
        <w:rPr>
          <w:bCs/>
          <w:sz w:val="20"/>
          <w:szCs w:val="20"/>
        </w:rPr>
        <w:t xml:space="preserve">.</w:t>
      </w:r>
      <w:r>
        <w:rPr>
          <w:sz w:val="20"/>
          <w:szCs w:val="20"/>
        </w:rPr>
      </w:r>
    </w:p>
    <w:p>
      <w:pPr>
        <w:pStyle w:val="773"/>
        <w:numPr>
          <w:ilvl w:val="1"/>
          <w:numId w:val="2"/>
        </w:numPr>
        <w:contextualSpacing w:val="0"/>
        <w:ind w:left="567" w:hanging="567"/>
        <w:jc w:val="both"/>
        <w:rPr>
          <w:sz w:val="20"/>
          <w:szCs w:val="20"/>
        </w:rPr>
      </w:pPr>
      <w:r>
        <w:rPr>
          <w:bCs/>
          <w:sz w:val="20"/>
          <w:szCs w:val="20"/>
        </w:rPr>
        <w:t xml:space="preserve">В случае нарушения Лицензиатом условий использования Программы, по требованию Лицензиара выплатить штраф в размере 30 000 (тридцать тысяч) рублей 00 копеек за каждый выявленный факт нарушения, указанных в пунктах 2.2 и подпунктах </w:t>
      </w:r>
      <w:r>
        <w:rPr>
          <w:bCs/>
          <w:sz w:val="20"/>
          <w:szCs w:val="20"/>
          <w:lang w:val="en-US"/>
        </w:rPr>
        <w:t xml:space="preserve">d</w:t>
      </w:r>
      <w:r>
        <w:rPr>
          <w:bCs/>
          <w:sz w:val="20"/>
          <w:szCs w:val="20"/>
        </w:rPr>
        <w:t xml:space="preserve">, </w:t>
      </w:r>
      <w:r>
        <w:rPr>
          <w:bCs/>
          <w:sz w:val="20"/>
          <w:szCs w:val="20"/>
          <w:lang w:val="en-US"/>
        </w:rPr>
        <w:t xml:space="preserve">e</w:t>
      </w:r>
      <w:r>
        <w:rPr>
          <w:bCs/>
          <w:sz w:val="20"/>
          <w:szCs w:val="20"/>
        </w:rPr>
        <w:t xml:space="preserve">, </w:t>
      </w:r>
      <w:r>
        <w:rPr>
          <w:bCs/>
          <w:sz w:val="20"/>
          <w:szCs w:val="20"/>
          <w:lang w:val="en-US"/>
        </w:rPr>
        <w:t xml:space="preserve">f</w:t>
      </w:r>
      <w:r>
        <w:rPr>
          <w:bCs/>
          <w:sz w:val="20"/>
          <w:szCs w:val="20"/>
        </w:rPr>
        <w:t xml:space="preserve"> пункта 4.4 Договора.</w:t>
      </w:r>
      <w:r>
        <w:rPr>
          <w:sz w:val="20"/>
          <w:szCs w:val="20"/>
        </w:rPr>
      </w:r>
    </w:p>
    <w:p>
      <w:pPr>
        <w:pStyle w:val="773"/>
        <w:numPr>
          <w:ilvl w:val="1"/>
          <w:numId w:val="2"/>
        </w:numPr>
        <w:contextualSpacing w:val="0"/>
        <w:ind w:left="567" w:hanging="567"/>
        <w:jc w:val="both"/>
        <w:rPr>
          <w:sz w:val="20"/>
          <w:szCs w:val="20"/>
        </w:rPr>
      </w:pPr>
      <w:r>
        <w:rPr>
          <w:bCs/>
          <w:sz w:val="20"/>
          <w:szCs w:val="20"/>
        </w:rPr>
        <w:t xml:space="preserve">В случае нарушения Лицензиаром условий передачи Лицензии, Лицензиат имеет право требовать выплаты штрафа в размере 0,1 % от размера вознаграждения Лицензиа</w:t>
      </w:r>
      <w:r>
        <w:rPr>
          <w:bCs/>
          <w:sz w:val="20"/>
          <w:szCs w:val="20"/>
        </w:rPr>
        <w:t xml:space="preserve">р</w:t>
      </w:r>
      <w:r>
        <w:rPr>
          <w:bCs/>
          <w:sz w:val="20"/>
          <w:szCs w:val="20"/>
        </w:rPr>
        <w:t xml:space="preserve">а за соответствующий отчётный период за каждый факт ненадлежащего выполнения обязательств по Договору</w:t>
      </w:r>
      <w:r>
        <w:rPr>
          <w:bCs/>
          <w:sz w:val="20"/>
          <w:szCs w:val="20"/>
        </w:rPr>
        <w:t xml:space="preserve">.</w:t>
      </w:r>
      <w:r>
        <w:rPr>
          <w:sz w:val="20"/>
          <w:szCs w:val="20"/>
        </w:rPr>
      </w:r>
    </w:p>
    <w:p>
      <w:pPr>
        <w:pStyle w:val="773"/>
        <w:numPr>
          <w:ilvl w:val="1"/>
          <w:numId w:val="2"/>
        </w:numPr>
        <w:contextualSpacing w:val="0"/>
        <w:ind w:left="567" w:hanging="567"/>
        <w:jc w:val="both"/>
        <w:rPr>
          <w:sz w:val="20"/>
          <w:szCs w:val="20"/>
        </w:rPr>
      </w:pPr>
      <w:r>
        <w:rPr>
          <w:bCs/>
          <w:sz w:val="20"/>
          <w:szCs w:val="20"/>
        </w:rPr>
        <w:t xml:space="preserve">Уплата неустойки не освобождает ни одну из сторон Договора от надлежащего исполнения его условий в полном объёме.</w:t>
      </w:r>
      <w:r>
        <w:rPr>
          <w:sz w:val="20"/>
          <w:szCs w:val="20"/>
        </w:rPr>
      </w:r>
    </w:p>
    <w:p>
      <w:pPr>
        <w:pStyle w:val="773"/>
        <w:numPr>
          <w:ilvl w:val="1"/>
          <w:numId w:val="2"/>
        </w:numPr>
        <w:contextualSpacing w:val="0"/>
        <w:ind w:left="567" w:hanging="567"/>
        <w:jc w:val="both"/>
        <w:rPr>
          <w:sz w:val="20"/>
          <w:szCs w:val="20"/>
        </w:rPr>
      </w:pPr>
      <w:r>
        <w:rPr>
          <w:sz w:val="20"/>
          <w:szCs w:val="20"/>
        </w:rPr>
        <w:t xml:space="preserve">Лицензиар не несёт ответственность перед Лицензиатом за любой ущерб, любую потерю доходов, прибыли, информации, связанных с использованием или невозможностью использования Программы.</w:t>
      </w:r>
      <w:r>
        <w:rPr>
          <w:sz w:val="20"/>
          <w:szCs w:val="20"/>
        </w:rPr>
      </w:r>
    </w:p>
    <w:p>
      <w:pPr>
        <w:pStyle w:val="773"/>
        <w:numPr>
          <w:ilvl w:val="1"/>
          <w:numId w:val="2"/>
        </w:numPr>
        <w:contextualSpacing w:val="0"/>
        <w:ind w:left="567" w:hanging="567"/>
        <w:jc w:val="both"/>
        <w:rPr>
          <w:sz w:val="20"/>
          <w:szCs w:val="20"/>
        </w:rPr>
      </w:pPr>
      <w:r>
        <w:rPr>
          <w:sz w:val="20"/>
          <w:szCs w:val="20"/>
        </w:rPr>
        <w:t xml:space="preserve">Стороны Дого</w:t>
      </w:r>
      <w:r>
        <w:rPr>
          <w:sz w:val="20"/>
          <w:szCs w:val="20"/>
        </w:rPr>
        <w:t xml:space="preserve">вора освобождаются от ответственности за неисполнение или ненадлежащее исполнение обязательств по нему,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r>
        <w:rPr>
          <w:sz w:val="20"/>
          <w:szCs w:val="20"/>
        </w:rPr>
      </w:r>
    </w:p>
    <w:p>
      <w:pPr>
        <w:pStyle w:val="773"/>
        <w:numPr>
          <w:ilvl w:val="1"/>
          <w:numId w:val="2"/>
        </w:numPr>
        <w:contextualSpacing w:val="0"/>
        <w:ind w:left="567" w:hanging="567"/>
        <w:jc w:val="both"/>
        <w:rPr>
          <w:sz w:val="20"/>
          <w:szCs w:val="20"/>
        </w:rPr>
      </w:pPr>
      <w:r>
        <w:rPr>
          <w:sz w:val="20"/>
          <w:szCs w:val="20"/>
        </w:rPr>
        <w:t xml:space="preserve">В случае возникновения споров по вопросам, предусмотренных Договором или в связи с ним, стороны будут стремиться принимать все меры к разрешению их путём переговоров между собой</w:t>
      </w:r>
      <w:r>
        <w:rPr>
          <w:bCs/>
          <w:iCs/>
          <w:sz w:val="20"/>
          <w:szCs w:val="20"/>
        </w:rPr>
        <w:t xml:space="preserve">.</w:t>
      </w:r>
      <w:r>
        <w:rPr>
          <w:sz w:val="20"/>
          <w:szCs w:val="20"/>
        </w:rPr>
      </w:r>
    </w:p>
    <w:p>
      <w:pPr>
        <w:ind w:left="567"/>
        <w:jc w:val="both"/>
        <w:rPr>
          <w:sz w:val="20"/>
          <w:szCs w:val="20"/>
        </w:rPr>
      </w:pPr>
      <w:r>
        <w:rPr>
          <w:bCs/>
          <w:sz w:val="20"/>
          <w:szCs w:val="20"/>
        </w:rPr>
        <w:t xml:space="preserve">При этом претензионный порядок рассмотрения споров обязателен. Срок ответа на претензию – </w:t>
      </w:r>
      <w:r>
        <w:rPr>
          <w:sz w:val="20"/>
          <w:szCs w:val="20"/>
        </w:rPr>
        <w:t xml:space="preserve">10 (десять) рабочих </w:t>
      </w:r>
      <w:r>
        <w:rPr>
          <w:bCs/>
          <w:sz w:val="20"/>
          <w:szCs w:val="20"/>
        </w:rPr>
        <w:t xml:space="preserve">дней с момента её получения.</w:t>
      </w:r>
      <w:r>
        <w:rPr>
          <w:sz w:val="20"/>
          <w:szCs w:val="20"/>
        </w:rPr>
      </w:r>
    </w:p>
    <w:p>
      <w:pPr>
        <w:ind w:left="567"/>
        <w:jc w:val="both"/>
        <w:rPr>
          <w:sz w:val="20"/>
          <w:szCs w:val="20"/>
        </w:rPr>
      </w:pPr>
      <w:r>
        <w:rPr>
          <w:sz w:val="20"/>
          <w:szCs w:val="20"/>
        </w:rPr>
        <w:t xml:space="preserve">Если стороны не смогут достигнуть соглашения, то такие споры и разногласия подлежат разрешению в арбитражном суде Санкт-Петербурга и Ленинградской области.</w:t>
      </w:r>
      <w:r>
        <w:rPr>
          <w:sz w:val="20"/>
          <w:szCs w:val="20"/>
        </w:rPr>
      </w:r>
    </w:p>
    <w:p>
      <w:pPr>
        <w:pStyle w:val="738"/>
        <w:numPr>
          <w:ilvl w:val="0"/>
          <w:numId w:val="2"/>
        </w:numPr>
        <w:jc w:val="center"/>
        <w:keepNext w:val="0"/>
        <w:spacing w:before="120" w:after="0"/>
        <w:rPr>
          <w:rFonts w:ascii="Times New Roman" w:hAnsi="Times New Roman" w:cs="Times New Roman"/>
          <w:sz w:val="20"/>
          <w:szCs w:val="20"/>
        </w:rPr>
      </w:pPr>
      <w:r>
        <w:rPr>
          <w:rFonts w:ascii="Times New Roman" w:hAnsi="Times New Roman" w:cs="Times New Roman"/>
          <w:sz w:val="20"/>
          <w:szCs w:val="20"/>
        </w:rPr>
        <w:t xml:space="preserve">Условия приостановки исполнения и расторжения Договора</w:t>
      </w:r>
      <w:r>
        <w:rPr>
          <w:rFonts w:ascii="Times New Roman" w:hAnsi="Times New Roman" w:cs="Times New Roman"/>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Исполнение Договора может быть приостановлено по инициативе любой из сторон:</w:t>
      </w:r>
      <w:r>
        <w:rPr>
          <w:rFonts w:ascii="Times New Roman" w:hAnsi="Times New Roman" w:cs="Times New Roman"/>
          <w:b w:val="0"/>
          <w:i w:val="0"/>
          <w:sz w:val="20"/>
          <w:szCs w:val="20"/>
        </w:rPr>
      </w:r>
    </w:p>
    <w:p>
      <w:pPr>
        <w:pStyle w:val="773"/>
        <w:numPr>
          <w:ilvl w:val="0"/>
          <w:numId w:val="20"/>
        </w:numPr>
        <w:ind w:left="851" w:hanging="284"/>
        <w:jc w:val="both"/>
        <w:rPr>
          <w:sz w:val="20"/>
          <w:szCs w:val="20"/>
        </w:rPr>
      </w:pPr>
      <w:r>
        <w:rPr>
          <w:sz w:val="20"/>
          <w:szCs w:val="20"/>
        </w:rPr>
        <w:t xml:space="preserve">по инициативе Лицензиара по основаниям, предусмотренным подпунктом а) пункта </w:t>
      </w:r>
      <w:r>
        <w:rPr>
          <w:sz w:val="20"/>
          <w:szCs w:val="20"/>
        </w:rPr>
        <w:t xml:space="preserve">4.3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p>
    <w:p>
      <w:pPr>
        <w:pStyle w:val="773"/>
        <w:numPr>
          <w:ilvl w:val="0"/>
          <w:numId w:val="20"/>
        </w:numPr>
        <w:ind w:left="851" w:hanging="284"/>
        <w:jc w:val="both"/>
        <w:rPr>
          <w:sz w:val="20"/>
          <w:szCs w:val="20"/>
        </w:rPr>
      </w:pPr>
      <w:r>
        <w:rPr>
          <w:sz w:val="20"/>
          <w:szCs w:val="20"/>
        </w:rPr>
        <w:t xml:space="preserve">по инициативе Лицензиата по основаниям, предусмотренным подпунктом </w:t>
      </w:r>
      <w:r>
        <w:rPr>
          <w:sz w:val="20"/>
          <w:szCs w:val="20"/>
          <w:lang w:val="en-US"/>
        </w:rPr>
        <w:t xml:space="preserve">b</w:t>
      </w:r>
      <w:r>
        <w:rPr>
          <w:sz w:val="20"/>
          <w:szCs w:val="20"/>
        </w:rPr>
        <w:t xml:space="preserve">) пункта </w:t>
      </w:r>
      <w:r>
        <w:rPr>
          <w:sz w:val="20"/>
          <w:szCs w:val="20"/>
        </w:rPr>
        <w:t xml:space="preserve">4.5 Договора. Срок приостановки в данном случае не может превышать 3 отчётных периодов. По истечении указанного срока действие Договора автоматически прекращается (что не требует уведомления Лицензиата или подписания сторонами соответствующего соглашения).</w:t>
      </w:r>
      <w:r>
        <w:rPr>
          <w:sz w:val="20"/>
          <w:szCs w:val="20"/>
        </w:rPr>
      </w:r>
    </w:p>
    <w:p>
      <w:pPr>
        <w:pStyle w:val="739"/>
        <w:numPr>
          <w:ilvl w:val="1"/>
          <w:numId w:val="2"/>
        </w:numPr>
        <w:ind w:left="567" w:hanging="567"/>
        <w:jc w:val="both"/>
        <w:keepNext w:val="0"/>
        <w:spacing w:before="0" w:after="0"/>
        <w:rPr>
          <w:rFonts w:ascii="Times New Roman" w:hAnsi="Times New Roman" w:cs="Times New Roman"/>
          <w:b w:val="0"/>
          <w:i w:val="0"/>
          <w:sz w:val="20"/>
          <w:szCs w:val="20"/>
        </w:rPr>
      </w:pPr>
      <w:r>
        <w:rPr>
          <w:rFonts w:ascii="Times New Roman" w:hAnsi="Times New Roman" w:cs="Times New Roman"/>
          <w:b w:val="0"/>
          <w:i w:val="0"/>
          <w:sz w:val="20"/>
          <w:szCs w:val="20"/>
        </w:rPr>
        <w:t xml:space="preserve">Договор считается досрочно прекратившим своё действие по инициативе с</w:t>
      </w:r>
      <w:r>
        <w:rPr>
          <w:rFonts w:ascii="Times New Roman" w:hAnsi="Times New Roman" w:cs="Times New Roman"/>
          <w:b w:val="0"/>
          <w:i w:val="0"/>
          <w:sz w:val="20"/>
          <w:szCs w:val="20"/>
        </w:rPr>
        <w:t xml:space="preserve">торон в момент подписания сторонами соответствующего соглашения об окончании действия Договора, причём стороны обязуются предпринять все необходимые меры для окончания всех взаиморасчётов и урегулировать все спорные моменты до подписания такого соглашения.</w:t>
      </w:r>
      <w:r>
        <w:rPr>
          <w:rFonts w:ascii="Times New Roman" w:hAnsi="Times New Roman" w:cs="Times New Roman"/>
          <w:b w:val="0"/>
          <w:i w:val="0"/>
          <w:sz w:val="20"/>
          <w:szCs w:val="20"/>
        </w:rPr>
      </w:r>
    </w:p>
    <w:p>
      <w:pPr>
        <w:pStyle w:val="773"/>
        <w:numPr>
          <w:ilvl w:val="1"/>
          <w:numId w:val="2"/>
        </w:numPr>
        <w:contextualSpacing w:val="0"/>
        <w:ind w:left="567" w:hanging="567"/>
        <w:jc w:val="both"/>
        <w:rPr>
          <w:bCs/>
          <w:iCs/>
          <w:sz w:val="20"/>
          <w:szCs w:val="20"/>
        </w:rPr>
      </w:pPr>
      <w:r>
        <w:rPr>
          <w:bCs/>
          <w:iCs/>
          <w:sz w:val="20"/>
          <w:szCs w:val="20"/>
        </w:rPr>
        <w:t xml:space="preserve">Договор может быть расторгнут в одностороннем внесудебном порядке по инициативе Лицензиата с письменным извещением Лицензиара не менее, чем за </w:t>
      </w:r>
      <w:r>
        <w:rPr>
          <w:sz w:val="20"/>
          <w:szCs w:val="20"/>
        </w:rPr>
        <w:t xml:space="preserve">15 (пятнадцать) календарных</w:t>
      </w:r>
      <w:r>
        <w:rPr>
          <w:bCs/>
          <w:iCs/>
          <w:sz w:val="20"/>
          <w:szCs w:val="20"/>
        </w:rPr>
        <w:t xml:space="preserve"> дней до даты окончания текущего отчётного периода, если иное прямо не предусмотрено Договором.</w:t>
      </w:r>
      <w:r>
        <w:rPr>
          <w:bCs/>
          <w:iCs/>
          <w:sz w:val="20"/>
          <w:szCs w:val="20"/>
        </w:rPr>
      </w:r>
    </w:p>
    <w:p>
      <w:pPr>
        <w:pStyle w:val="773"/>
        <w:numPr>
          <w:ilvl w:val="1"/>
          <w:numId w:val="2"/>
        </w:numPr>
        <w:contextualSpacing w:val="0"/>
        <w:ind w:left="567" w:hanging="567"/>
        <w:jc w:val="both"/>
        <w:rPr>
          <w:bCs/>
          <w:iCs/>
          <w:sz w:val="20"/>
          <w:szCs w:val="20"/>
        </w:rPr>
      </w:pPr>
      <w:r>
        <w:rPr>
          <w:rFonts w:hint="eastAsia"/>
          <w:bCs/>
          <w:iCs/>
          <w:sz w:val="20"/>
          <w:szCs w:val="20"/>
        </w:rPr>
        <w:t xml:space="preserve">Договор</w:t>
      </w:r>
      <w:r>
        <w:rPr>
          <w:bCs/>
          <w:iCs/>
          <w:sz w:val="20"/>
          <w:szCs w:val="20"/>
        </w:rPr>
        <w:t xml:space="preserve"> действует </w:t>
      </w:r>
      <w:r>
        <w:rPr>
          <w:rFonts w:hint="eastAsia"/>
          <w:bCs/>
          <w:iCs/>
          <w:sz w:val="20"/>
          <w:szCs w:val="20"/>
        </w:rPr>
        <w:t xml:space="preserve">в</w:t>
      </w:r>
      <w:r>
        <w:rPr>
          <w:bCs/>
          <w:iCs/>
          <w:sz w:val="20"/>
          <w:szCs w:val="20"/>
        </w:rPr>
        <w:t xml:space="preserve"> </w:t>
      </w:r>
      <w:r>
        <w:rPr>
          <w:rFonts w:hint="eastAsia"/>
          <w:bCs/>
          <w:iCs/>
          <w:sz w:val="20"/>
          <w:szCs w:val="20"/>
        </w:rPr>
        <w:t xml:space="preserve">течение</w:t>
      </w:r>
      <w:r>
        <w:rPr>
          <w:bCs/>
          <w:iCs/>
          <w:sz w:val="20"/>
          <w:szCs w:val="20"/>
        </w:rPr>
        <w:t xml:space="preserve"> 5 (пяти) лет </w:t>
      </w:r>
      <w:r>
        <w:rPr>
          <w:rFonts w:hint="eastAsia"/>
          <w:bCs/>
          <w:iCs/>
          <w:sz w:val="20"/>
          <w:szCs w:val="20"/>
        </w:rPr>
        <w:t xml:space="preserve">с</w:t>
      </w:r>
      <w:r>
        <w:rPr>
          <w:bCs/>
          <w:iCs/>
          <w:sz w:val="20"/>
          <w:szCs w:val="20"/>
        </w:rPr>
        <w:t xml:space="preserve"> </w:t>
      </w:r>
      <w:r>
        <w:rPr>
          <w:rFonts w:hint="eastAsia"/>
          <w:bCs/>
          <w:iCs/>
          <w:sz w:val="20"/>
          <w:szCs w:val="20"/>
        </w:rPr>
        <w:t xml:space="preserve">даты</w:t>
      </w:r>
      <w:r>
        <w:rPr>
          <w:bCs/>
          <w:iCs/>
          <w:sz w:val="20"/>
          <w:szCs w:val="20"/>
        </w:rPr>
        <w:t xml:space="preserve"> </w:t>
      </w:r>
      <w:r>
        <w:rPr>
          <w:rFonts w:hint="eastAsia"/>
          <w:bCs/>
          <w:iCs/>
          <w:sz w:val="20"/>
          <w:szCs w:val="20"/>
        </w:rPr>
        <w:t xml:space="preserve">е</w:t>
      </w:r>
      <w:r>
        <w:rPr>
          <w:bCs/>
          <w:iCs/>
          <w:sz w:val="20"/>
          <w:szCs w:val="20"/>
        </w:rPr>
        <w:t xml:space="preserve">го заключения, </w:t>
      </w:r>
      <w:r>
        <w:rPr>
          <w:rFonts w:hint="eastAsia"/>
          <w:bCs/>
          <w:iCs/>
          <w:sz w:val="20"/>
          <w:szCs w:val="20"/>
        </w:rPr>
        <w:t xml:space="preserve">продле</w:t>
      </w:r>
      <w:r>
        <w:rPr>
          <w:bCs/>
          <w:iCs/>
          <w:sz w:val="20"/>
          <w:szCs w:val="20"/>
        </w:rPr>
        <w:t xml:space="preserve">вается автоматически </w:t>
      </w:r>
      <w:r>
        <w:rPr>
          <w:rFonts w:hint="eastAsia"/>
          <w:bCs/>
          <w:iCs/>
          <w:sz w:val="20"/>
          <w:szCs w:val="20"/>
        </w:rPr>
        <w:t xml:space="preserve">на</w:t>
      </w:r>
      <w:r>
        <w:rPr>
          <w:bCs/>
          <w:iCs/>
          <w:sz w:val="20"/>
          <w:szCs w:val="20"/>
        </w:rPr>
        <w:t xml:space="preserve"> каждый̆ последующий̆ пятилетний </w:t>
      </w:r>
      <w:r>
        <w:rPr>
          <w:rFonts w:hint="eastAsia"/>
          <w:bCs/>
          <w:iCs/>
          <w:sz w:val="20"/>
          <w:szCs w:val="20"/>
        </w:rPr>
        <w:t xml:space="preserve">срок</w:t>
      </w:r>
      <w:r>
        <w:rPr>
          <w:bCs/>
          <w:iCs/>
          <w:sz w:val="20"/>
          <w:szCs w:val="20"/>
        </w:rPr>
        <w:t xml:space="preserve">, </w:t>
      </w:r>
      <w:r>
        <w:rPr>
          <w:rFonts w:hint="eastAsia"/>
          <w:bCs/>
          <w:iCs/>
          <w:sz w:val="20"/>
          <w:szCs w:val="20"/>
        </w:rPr>
        <w:t xml:space="preserve">если</w:t>
      </w:r>
      <w:r>
        <w:rPr>
          <w:bCs/>
          <w:iCs/>
          <w:sz w:val="20"/>
          <w:szCs w:val="20"/>
        </w:rPr>
        <w:t xml:space="preserve"> </w:t>
      </w:r>
      <w:r>
        <w:rPr>
          <w:rFonts w:hint="eastAsia"/>
          <w:bCs/>
          <w:iCs/>
          <w:sz w:val="20"/>
          <w:szCs w:val="20"/>
        </w:rPr>
        <w:t xml:space="preserve">ни</w:t>
      </w:r>
      <w:r>
        <w:rPr>
          <w:bCs/>
          <w:iCs/>
          <w:sz w:val="20"/>
          <w:szCs w:val="20"/>
        </w:rPr>
        <w:t xml:space="preserve"> </w:t>
      </w:r>
      <w:r>
        <w:rPr>
          <w:rFonts w:hint="eastAsia"/>
          <w:bCs/>
          <w:iCs/>
          <w:sz w:val="20"/>
          <w:szCs w:val="20"/>
        </w:rPr>
        <w:t xml:space="preserve">одна</w:t>
      </w:r>
      <w:r>
        <w:rPr>
          <w:bCs/>
          <w:iCs/>
          <w:sz w:val="20"/>
          <w:szCs w:val="20"/>
        </w:rPr>
        <w:t xml:space="preserve"> </w:t>
      </w:r>
      <w:r>
        <w:rPr>
          <w:rFonts w:hint="eastAsia"/>
          <w:bCs/>
          <w:iCs/>
          <w:sz w:val="20"/>
          <w:szCs w:val="20"/>
        </w:rPr>
        <w:t xml:space="preserve">из</w:t>
      </w:r>
      <w:r>
        <w:rPr>
          <w:bCs/>
          <w:iCs/>
          <w:sz w:val="20"/>
          <w:szCs w:val="20"/>
        </w:rPr>
        <w:t xml:space="preserve"> </w:t>
      </w:r>
      <w:r>
        <w:rPr>
          <w:rFonts w:hint="eastAsia"/>
          <w:bCs/>
          <w:iCs/>
          <w:sz w:val="20"/>
          <w:szCs w:val="20"/>
        </w:rPr>
        <w:t xml:space="preserve">Сторон</w:t>
      </w:r>
      <w:r>
        <w:rPr>
          <w:bCs/>
          <w:iCs/>
          <w:sz w:val="20"/>
          <w:szCs w:val="20"/>
        </w:rPr>
        <w:t xml:space="preserve"> </w:t>
      </w:r>
      <w:r>
        <w:rPr>
          <w:rFonts w:hint="eastAsia"/>
          <w:bCs/>
          <w:iCs/>
          <w:sz w:val="20"/>
          <w:szCs w:val="20"/>
        </w:rPr>
        <w:t xml:space="preserve">письменно</w:t>
      </w:r>
      <w:r>
        <w:rPr>
          <w:bCs/>
          <w:iCs/>
          <w:sz w:val="20"/>
          <w:szCs w:val="20"/>
        </w:rPr>
        <w:t xml:space="preserve"> </w:t>
      </w:r>
      <w:r>
        <w:rPr>
          <w:rFonts w:hint="eastAsia"/>
          <w:bCs/>
          <w:iCs/>
          <w:sz w:val="20"/>
          <w:szCs w:val="20"/>
        </w:rPr>
        <w:t xml:space="preserve">не</w:t>
      </w:r>
      <w:r>
        <w:rPr>
          <w:bCs/>
          <w:iCs/>
          <w:sz w:val="20"/>
          <w:szCs w:val="20"/>
        </w:rPr>
        <w:t xml:space="preserve"> </w:t>
      </w:r>
      <w:r>
        <w:rPr>
          <w:rFonts w:hint="eastAsia"/>
          <w:bCs/>
          <w:iCs/>
          <w:sz w:val="20"/>
          <w:szCs w:val="20"/>
        </w:rPr>
        <w:t xml:space="preserve">уведомит</w:t>
      </w:r>
      <w:r>
        <w:rPr>
          <w:bCs/>
          <w:iCs/>
          <w:sz w:val="20"/>
          <w:szCs w:val="20"/>
        </w:rPr>
        <w:t xml:space="preserve"> </w:t>
      </w:r>
      <w:r>
        <w:rPr>
          <w:rFonts w:hint="eastAsia"/>
          <w:bCs/>
          <w:iCs/>
          <w:sz w:val="20"/>
          <w:szCs w:val="20"/>
        </w:rPr>
        <w:t xml:space="preserve">другую</w:t>
      </w:r>
      <w:r>
        <w:rPr>
          <w:bCs/>
          <w:iCs/>
          <w:sz w:val="20"/>
          <w:szCs w:val="20"/>
        </w:rPr>
        <w:t xml:space="preserve"> </w:t>
      </w:r>
      <w:r>
        <w:rPr>
          <w:rFonts w:hint="eastAsia"/>
          <w:bCs/>
          <w:iCs/>
          <w:sz w:val="20"/>
          <w:szCs w:val="20"/>
        </w:rPr>
        <w:t xml:space="preserve">Сторону</w:t>
      </w:r>
      <w:r>
        <w:rPr>
          <w:bCs/>
          <w:iCs/>
          <w:sz w:val="20"/>
          <w:szCs w:val="20"/>
        </w:rPr>
        <w:t xml:space="preserve"> </w:t>
      </w:r>
      <w:r>
        <w:rPr>
          <w:rFonts w:hint="eastAsia"/>
          <w:bCs/>
          <w:iCs/>
          <w:sz w:val="20"/>
          <w:szCs w:val="20"/>
        </w:rPr>
        <w:t xml:space="preserve">об</w:t>
      </w:r>
      <w:r>
        <w:rPr>
          <w:bCs/>
          <w:iCs/>
          <w:sz w:val="20"/>
          <w:szCs w:val="20"/>
        </w:rPr>
        <w:t xml:space="preserve"> </w:t>
      </w:r>
      <w:r>
        <w:rPr>
          <w:rFonts w:hint="eastAsia"/>
          <w:bCs/>
          <w:iCs/>
          <w:sz w:val="20"/>
          <w:szCs w:val="20"/>
        </w:rPr>
        <w:t xml:space="preserve">отказе</w:t>
      </w:r>
      <w:r>
        <w:rPr>
          <w:bCs/>
          <w:iCs/>
          <w:sz w:val="20"/>
          <w:szCs w:val="20"/>
        </w:rPr>
        <w:t xml:space="preserve"> </w:t>
      </w:r>
      <w:r>
        <w:rPr>
          <w:rFonts w:hint="eastAsia"/>
          <w:bCs/>
          <w:iCs/>
          <w:sz w:val="20"/>
          <w:szCs w:val="20"/>
        </w:rPr>
        <w:t xml:space="preserve">от</w:t>
      </w:r>
      <w:r>
        <w:rPr>
          <w:bCs/>
          <w:iCs/>
          <w:sz w:val="20"/>
          <w:szCs w:val="20"/>
        </w:rPr>
        <w:t xml:space="preserve"> </w:t>
      </w:r>
      <w:r>
        <w:rPr>
          <w:rFonts w:hint="eastAsia"/>
          <w:bCs/>
          <w:iCs/>
          <w:sz w:val="20"/>
          <w:szCs w:val="20"/>
        </w:rPr>
        <w:t xml:space="preserve">продления</w:t>
      </w:r>
      <w:r>
        <w:rPr>
          <w:bCs/>
          <w:iCs/>
          <w:sz w:val="20"/>
          <w:szCs w:val="20"/>
        </w:rPr>
        <w:t xml:space="preserve"> </w:t>
      </w:r>
      <w:r>
        <w:rPr>
          <w:rFonts w:hint="eastAsia"/>
          <w:bCs/>
          <w:iCs/>
          <w:sz w:val="20"/>
          <w:szCs w:val="20"/>
        </w:rPr>
        <w:t xml:space="preserve">по</w:t>
      </w:r>
      <w:r>
        <w:rPr>
          <w:bCs/>
          <w:iCs/>
          <w:sz w:val="20"/>
          <w:szCs w:val="20"/>
        </w:rPr>
        <w:t xml:space="preserve"> меньшей̆ </w:t>
      </w:r>
      <w:r>
        <w:rPr>
          <w:rFonts w:hint="eastAsia"/>
          <w:bCs/>
          <w:iCs/>
          <w:sz w:val="20"/>
          <w:szCs w:val="20"/>
        </w:rPr>
        <w:t xml:space="preserve">мере</w:t>
      </w:r>
      <w:r>
        <w:rPr>
          <w:bCs/>
          <w:iCs/>
          <w:sz w:val="20"/>
          <w:szCs w:val="20"/>
        </w:rPr>
        <w:t xml:space="preserve"> </w:t>
      </w:r>
      <w:r>
        <w:rPr>
          <w:rFonts w:hint="eastAsia"/>
          <w:bCs/>
          <w:iCs/>
          <w:sz w:val="20"/>
          <w:szCs w:val="20"/>
        </w:rPr>
        <w:t xml:space="preserve">за</w:t>
      </w:r>
      <w:r>
        <w:rPr>
          <w:bCs/>
          <w:iCs/>
          <w:sz w:val="20"/>
          <w:szCs w:val="20"/>
        </w:rPr>
        <w:t xml:space="preserve"> один календарный месяц </w:t>
      </w:r>
      <w:r>
        <w:rPr>
          <w:rFonts w:hint="eastAsia"/>
          <w:bCs/>
          <w:iCs/>
          <w:sz w:val="20"/>
          <w:szCs w:val="20"/>
        </w:rPr>
        <w:t xml:space="preserve">до</w:t>
      </w:r>
      <w:r>
        <w:rPr>
          <w:bCs/>
          <w:iCs/>
          <w:sz w:val="20"/>
          <w:szCs w:val="20"/>
        </w:rPr>
        <w:t xml:space="preserve"> </w:t>
      </w:r>
      <w:r>
        <w:rPr>
          <w:rFonts w:hint="eastAsia"/>
          <w:bCs/>
          <w:iCs/>
          <w:sz w:val="20"/>
          <w:szCs w:val="20"/>
        </w:rPr>
        <w:t xml:space="preserve">истечения</w:t>
      </w:r>
      <w:r>
        <w:rPr>
          <w:bCs/>
          <w:iCs/>
          <w:sz w:val="20"/>
          <w:szCs w:val="20"/>
        </w:rPr>
        <w:t xml:space="preserve"> </w:t>
      </w:r>
      <w:r>
        <w:rPr>
          <w:rFonts w:hint="eastAsia"/>
          <w:bCs/>
          <w:iCs/>
          <w:sz w:val="20"/>
          <w:szCs w:val="20"/>
        </w:rPr>
        <w:t xml:space="preserve">срока</w:t>
      </w:r>
      <w:r>
        <w:rPr>
          <w:bCs/>
          <w:iCs/>
          <w:sz w:val="20"/>
          <w:szCs w:val="20"/>
        </w:rPr>
        <w:t xml:space="preserve"> действия Договор</w:t>
      </w:r>
      <w:r>
        <w:rPr>
          <w:rFonts w:hint="eastAsia"/>
          <w:bCs/>
          <w:iCs/>
          <w:sz w:val="20"/>
          <w:szCs w:val="20"/>
        </w:rPr>
        <w:t xml:space="preserve">а</w:t>
      </w:r>
      <w:r>
        <w:rPr>
          <w:bCs/>
          <w:iCs/>
          <w:sz w:val="20"/>
          <w:szCs w:val="20"/>
        </w:rPr>
        <w:t xml:space="preserve">. </w:t>
      </w:r>
      <w:r>
        <w:rPr>
          <w:bCs/>
          <w:iCs/>
          <w:sz w:val="20"/>
          <w:szCs w:val="20"/>
        </w:rPr>
      </w:r>
    </w:p>
    <w:p>
      <w:pPr>
        <w:pStyle w:val="773"/>
        <w:numPr>
          <w:ilvl w:val="0"/>
          <w:numId w:val="2"/>
        </w:numPr>
        <w:contextualSpacing w:val="0"/>
        <w:ind w:left="714" w:hanging="357"/>
        <w:jc w:val="center"/>
        <w:spacing w:before="120"/>
        <w:rPr>
          <w:b/>
          <w:bCs/>
          <w:sz w:val="20"/>
          <w:szCs w:val="20"/>
        </w:rPr>
      </w:pPr>
      <w:r>
        <w:rPr>
          <w:b/>
          <w:bCs/>
          <w:sz w:val="20"/>
          <w:szCs w:val="20"/>
        </w:rPr>
        <w:t xml:space="preserve">Дополнительные условия</w:t>
      </w:r>
      <w:r>
        <w:rPr>
          <w:b/>
          <w:bCs/>
          <w:sz w:val="20"/>
          <w:szCs w:val="20"/>
        </w:rPr>
      </w:r>
    </w:p>
    <w:p>
      <w:pPr>
        <w:pStyle w:val="773"/>
        <w:numPr>
          <w:ilvl w:val="1"/>
          <w:numId w:val="2"/>
        </w:numPr>
        <w:contextualSpacing w:val="0"/>
        <w:ind w:left="567" w:hanging="567"/>
        <w:jc w:val="both"/>
        <w:rPr>
          <w:bCs/>
          <w:iCs/>
          <w:sz w:val="20"/>
          <w:szCs w:val="20"/>
        </w:rPr>
      </w:pPr>
      <w:r>
        <w:rPr>
          <w:bCs/>
          <w:iCs/>
          <w:sz w:val="20"/>
          <w:szCs w:val="20"/>
        </w:rPr>
        <w:t xml:space="preserve">Права и обязанности одной из сторон, установленные Договором, не могут быть переданы третьему лицу без письменного согласия на это другой стороны.</w:t>
      </w:r>
      <w:r>
        <w:rPr>
          <w:bCs/>
          <w:iCs/>
          <w:sz w:val="20"/>
          <w:szCs w:val="20"/>
        </w:rPr>
      </w:r>
    </w:p>
    <w:p>
      <w:pPr>
        <w:pStyle w:val="773"/>
        <w:numPr>
          <w:ilvl w:val="1"/>
          <w:numId w:val="2"/>
        </w:numPr>
        <w:jc w:val="both"/>
        <w:rPr>
          <w:bCs/>
          <w:iCs/>
          <w:sz w:val="20"/>
          <w:szCs w:val="20"/>
        </w:rPr>
      </w:pPr>
      <w:r>
        <w:rPr>
          <w:bCs/>
          <w:iCs/>
          <w:sz w:val="20"/>
          <w:szCs w:val="20"/>
        </w:rPr>
        <w:t xml:space="preserve">Лицензиат выражает согласие на </w:t>
      </w:r>
      <w:r>
        <w:rPr>
          <w:bCs/>
          <w:iCs/>
          <w:sz w:val="20"/>
          <w:szCs w:val="20"/>
        </w:rPr>
        <w:t xml:space="preserve">модификацию, хранение, передачу и иные необходимые действия в отношении данных о медицинской организации и работниках медицинской организации в единую государственную информационную систему в сфере здравоохранение в подсистемы «Федеральный реестр медицинск</w:t>
      </w:r>
      <w:r>
        <w:rPr>
          <w:bCs/>
          <w:iCs/>
          <w:sz w:val="20"/>
          <w:szCs w:val="20"/>
        </w:rPr>
        <w:t xml:space="preserve">их и фармацевтических организаций» и «Федеральный регистр медицинских и фармацевтических работников» (далее соответственно – ФРМО, ФРМР), посредством интеграционного взаимодействия с REST-сервисом ФРМО и ФРМР через Программный комплекс «N3.Health» (ИСПДН «</w:t>
      </w:r>
      <w:r>
        <w:rPr>
          <w:bCs/>
          <w:iCs/>
          <w:sz w:val="20"/>
          <w:szCs w:val="20"/>
        </w:rPr>
        <w:t xml:space="preserve">ЭлНетМед</w:t>
      </w:r>
      <w:r>
        <w:rPr>
          <w:bCs/>
          <w:iCs/>
          <w:sz w:val="20"/>
          <w:szCs w:val="20"/>
        </w:rPr>
        <w:t xml:space="preserve">»).</w:t>
      </w:r>
      <w:r>
        <w:rPr>
          <w:bCs/>
          <w:iCs/>
          <w:sz w:val="20"/>
          <w:szCs w:val="20"/>
        </w:rPr>
      </w:r>
    </w:p>
    <w:p>
      <w:pPr>
        <w:pStyle w:val="773"/>
        <w:ind w:left="564"/>
        <w:jc w:val="both"/>
        <w:rPr>
          <w:bCs/>
          <w:iCs/>
          <w:sz w:val="20"/>
          <w:szCs w:val="20"/>
        </w:rPr>
      </w:pPr>
      <w:r>
        <w:rPr>
          <w:bCs/>
          <w:iCs/>
          <w:sz w:val="20"/>
          <w:szCs w:val="20"/>
        </w:rPr>
        <w:t xml:space="preserve">В целях осуществления подключения Лицензиата к REST-сервисам ФРМО и ФРМР, Лицензиат предоставляет Лицензиару право совершать необходимые для этого действия, включая подачу заявки на подключение.</w:t>
      </w:r>
      <w:r>
        <w:rPr>
          <w:bCs/>
          <w:iCs/>
          <w:sz w:val="20"/>
          <w:szCs w:val="20"/>
        </w:rPr>
      </w:r>
    </w:p>
    <w:p>
      <w:pPr>
        <w:pStyle w:val="773"/>
        <w:numPr>
          <w:ilvl w:val="1"/>
          <w:numId w:val="2"/>
        </w:numPr>
        <w:contextualSpacing w:val="0"/>
        <w:ind w:left="567" w:hanging="567"/>
        <w:jc w:val="both"/>
        <w:rPr>
          <w:bCs/>
          <w:iCs/>
          <w:sz w:val="20"/>
          <w:szCs w:val="20"/>
        </w:rPr>
      </w:pPr>
      <w:r>
        <w:rPr>
          <w:bCs/>
          <w:sz w:val="20"/>
          <w:szCs w:val="20"/>
        </w:rPr>
        <w:t xml:space="preserve">При изменении статуса, места нахождения и почтового адреса, банковского счета и иных реквизитов сторона, у которой п</w:t>
      </w:r>
      <w:r>
        <w:rPr>
          <w:bCs/>
          <w:sz w:val="20"/>
          <w:szCs w:val="20"/>
        </w:rPr>
        <w:t xml:space="preserve">роизошли такие изменения, обязана уведомить другую сторону в течение 5 (пяти) дней с даты такого изменения в порядке, предусмотренном Договором. До получения такого уведомления все операции, сделанные по прежним реквизитам, считаются надлежаще выполненным.</w:t>
      </w:r>
      <w:r>
        <w:rPr>
          <w:bCs/>
          <w:iCs/>
          <w:sz w:val="20"/>
          <w:szCs w:val="20"/>
        </w:rPr>
      </w:r>
    </w:p>
    <w:p>
      <w:pPr>
        <w:pStyle w:val="773"/>
        <w:numPr>
          <w:ilvl w:val="1"/>
          <w:numId w:val="2"/>
        </w:numPr>
        <w:contextualSpacing w:val="0"/>
        <w:ind w:left="567" w:hanging="567"/>
        <w:jc w:val="both"/>
        <w:rPr>
          <w:bCs/>
          <w:iCs/>
          <w:sz w:val="20"/>
          <w:szCs w:val="20"/>
        </w:rPr>
      </w:pPr>
      <w:r>
        <w:rPr>
          <w:bCs/>
          <w:iCs/>
          <w:sz w:val="20"/>
          <w:szCs w:val="20"/>
        </w:rPr>
        <w:t xml:space="preserve">По всем вопросам, не нашедшим своего решения в тексте и условиях Договора, но прямо или косвенно вытекающим из отношений сторон по нему, затра</w:t>
      </w:r>
      <w:r>
        <w:rPr>
          <w:bCs/>
          <w:iCs/>
          <w:sz w:val="20"/>
          <w:szCs w:val="20"/>
        </w:rPr>
        <w:t xml:space="preserve">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r>
        <w:rPr>
          <w:bCs/>
          <w:iCs/>
          <w:sz w:val="20"/>
          <w:szCs w:val="20"/>
        </w:rPr>
      </w:r>
    </w:p>
    <w:p>
      <w:pPr>
        <w:pStyle w:val="773"/>
        <w:numPr>
          <w:ilvl w:val="1"/>
          <w:numId w:val="2"/>
        </w:numPr>
        <w:contextualSpacing w:val="0"/>
        <w:ind w:left="567" w:hanging="567"/>
        <w:jc w:val="both"/>
        <w:rPr>
          <w:bCs/>
          <w:iCs/>
          <w:sz w:val="20"/>
          <w:szCs w:val="20"/>
        </w:rPr>
      </w:pPr>
      <w:r>
        <w:rPr>
          <w:bCs/>
          <w:iCs/>
          <w:sz w:val="20"/>
          <w:szCs w:val="20"/>
        </w:rPr>
        <w:t xml:space="preserve">Все приложения и дополнительные соглашения к Договору являются его неотъемлемой частью.</w:t>
      </w:r>
      <w:r>
        <w:rPr>
          <w:bCs/>
          <w:iCs/>
          <w:sz w:val="20"/>
          <w:szCs w:val="20"/>
        </w:rPr>
      </w:r>
    </w:p>
    <w:p>
      <w:pPr>
        <w:pStyle w:val="773"/>
        <w:numPr>
          <w:ilvl w:val="0"/>
          <w:numId w:val="2"/>
        </w:numPr>
        <w:contextualSpacing w:val="0"/>
        <w:ind w:left="714" w:hanging="357"/>
        <w:jc w:val="center"/>
        <w:spacing w:before="120" w:after="120"/>
        <w:rPr>
          <w:b/>
          <w:bCs/>
          <w:iCs/>
          <w:sz w:val="14"/>
          <w:szCs w:val="14"/>
        </w:rPr>
      </w:pPr>
      <w:r>
        <w:rPr>
          <w:b/>
          <w:bCs/>
          <w:iCs/>
          <w:sz w:val="14"/>
          <w:szCs w:val="14"/>
        </w:rPr>
        <w:t xml:space="preserve">Реквизиты и подписи сторон</w:t>
      </w:r>
      <w:r>
        <w:rPr>
          <w:b/>
          <w:bCs/>
          <w:iCs/>
          <w:sz w:val="14"/>
          <w:szCs w:val="14"/>
        </w:rPr>
      </w:r>
    </w:p>
    <w:tbl>
      <w:tblPr>
        <w:tblW w:w="0" w:type="auto"/>
        <w:tblInd w:w="-142" w:type="dxa"/>
        <w:tblLayout w:type="fixed"/>
        <w:tblLook w:val="04A0" w:firstRow="1" w:lastRow="0" w:firstColumn="1" w:lastColumn="0" w:noHBand="0" w:noVBand="1"/>
      </w:tblPr>
      <w:tblGrid>
        <w:gridCol w:w="4678"/>
        <w:gridCol w:w="4820"/>
      </w:tblGrid>
      <w:tr>
        <w:tblPrEx/>
        <w:trPr>
          <w:trHeight w:val="308"/>
        </w:trPr>
        <w:tc>
          <w:tcPr>
            <w:tcW w:w="4678" w:type="dxa"/>
            <w:textDirection w:val="lrTb"/>
            <w:noWrap w:val="false"/>
          </w:tcPr>
          <w:p>
            <w:pPr>
              <w:pStyle w:val="773"/>
              <w:contextualSpacing w:val="0"/>
              <w:ind w:left="0"/>
              <w:jc w:val="both"/>
              <w:rPr>
                <w:b/>
                <w:bCs/>
                <w:iCs/>
                <w:sz w:val="14"/>
                <w:szCs w:val="14"/>
              </w:rPr>
            </w:pPr>
            <w:r>
              <w:rPr>
                <w:b/>
                <w:bCs/>
                <w:iCs/>
                <w:sz w:val="14"/>
                <w:szCs w:val="14"/>
              </w:rPr>
              <w:t xml:space="preserve">Лицензиат</w:t>
            </w:r>
            <w:r>
              <w:rPr>
                <w:b/>
                <w:bCs/>
                <w:iCs/>
                <w:sz w:val="14"/>
                <w:szCs w:val="14"/>
              </w:rPr>
            </w:r>
          </w:p>
          <w:p>
            <w:pPr>
              <w:pStyle w:val="773"/>
              <w:contextualSpacing w:val="0"/>
              <w:ind w:left="0"/>
              <w:jc w:val="both"/>
              <w:rPr>
                <w:b/>
                <w:bCs/>
                <w:iCs/>
                <w:sz w:val="14"/>
                <w:szCs w:val="14"/>
              </w:rPr>
            </w:pPr>
            <w:r/>
            <w:bookmarkStart w:id="4" w:name="Краткое_наименование_4"/>
            <w:r>
              <w:rPr>
                <w:b/>
                <w:bCs/>
                <w:iCs/>
                <w:sz w:val="14"/>
                <w:szCs w:val="14"/>
              </w:rPr>
              <w:t xml:space="preserve">ФГБНУ РЦНН</w:t>
            </w:r>
            <w:bookmarkEnd w:id="4"/>
            <w:r/>
            <w:r>
              <w:rPr>
                <w:b/>
                <w:bCs/>
                <w:iCs/>
                <w:sz w:val="14"/>
                <w:szCs w:val="14"/>
              </w:rPr>
            </w:r>
          </w:p>
          <w:p>
            <w:pPr>
              <w:pStyle w:val="773"/>
              <w:contextualSpacing w:val="0"/>
              <w:ind w:left="0"/>
              <w:jc w:val="both"/>
              <w:rPr>
                <w:sz w:val="14"/>
                <w:szCs w:val="14"/>
              </w:rPr>
            </w:pPr>
            <w:r>
              <w:rPr>
                <w:sz w:val="14"/>
                <w:szCs w:val="14"/>
              </w:rPr>
              <w:t xml:space="preserve">Место нахождения: </w:t>
            </w:r>
            <w:bookmarkStart w:id="5" w:name="Адрес"/>
            <w:r>
              <w:rPr>
                <w:sz w:val="14"/>
                <w:szCs w:val="14"/>
              </w:rPr>
              <w:t xml:space="preserve">125367, </w:t>
            </w:r>
            <w:r>
              <w:rPr>
                <w:sz w:val="14"/>
                <w:szCs w:val="14"/>
              </w:rPr>
              <w:t xml:space="preserve">г</w:t>
            </w:r>
            <w:r>
              <w:rPr>
                <w:sz w:val="14"/>
                <w:szCs w:val="14"/>
              </w:rPr>
              <w:t xml:space="preserve">.</w:t>
            </w:r>
            <w:r>
              <w:rPr>
                <w:sz w:val="14"/>
                <w:szCs w:val="14"/>
              </w:rPr>
              <w:t xml:space="preserve"> М</w:t>
            </w:r>
            <w:r>
              <w:rPr>
                <w:sz w:val="14"/>
                <w:szCs w:val="14"/>
              </w:rPr>
              <w:t xml:space="preserve">осква, </w:t>
            </w:r>
            <w:r>
              <w:rPr>
                <w:sz w:val="14"/>
                <w:szCs w:val="14"/>
              </w:rPr>
            </w:r>
          </w:p>
          <w:p>
            <w:pPr>
              <w:pStyle w:val="773"/>
              <w:contextualSpacing w:val="0"/>
              <w:ind w:left="0"/>
              <w:jc w:val="both"/>
              <w:rPr>
                <w:sz w:val="14"/>
                <w:szCs w:val="14"/>
              </w:rPr>
            </w:pPr>
            <w:r>
              <w:rPr>
                <w:sz w:val="14"/>
                <w:szCs w:val="14"/>
              </w:rPr>
              <w:t xml:space="preserve">ш. Волоколамское, </w:t>
            </w:r>
            <w:r>
              <w:rPr>
                <w:sz w:val="14"/>
                <w:szCs w:val="14"/>
              </w:rPr>
              <w:t xml:space="preserve">д</w:t>
            </w:r>
            <w:r>
              <w:rPr>
                <w:sz w:val="14"/>
                <w:szCs w:val="14"/>
              </w:rPr>
              <w:t xml:space="preserve">.80 </w:t>
            </w:r>
            <w:bookmarkEnd w:id="5"/>
            <w:r/>
            <w:r>
              <w:rPr>
                <w:sz w:val="14"/>
                <w:szCs w:val="14"/>
              </w:rPr>
            </w:r>
          </w:p>
          <w:p>
            <w:pPr>
              <w:pStyle w:val="773"/>
              <w:contextualSpacing w:val="0"/>
              <w:ind w:left="0"/>
              <w:jc w:val="both"/>
              <w:rPr>
                <w:sz w:val="14"/>
                <w:szCs w:val="14"/>
              </w:rPr>
            </w:pPr>
            <w:r>
              <w:rPr>
                <w:sz w:val="14"/>
                <w:szCs w:val="14"/>
              </w:rPr>
              <w:t xml:space="preserve">Почтовый адрес: </w:t>
            </w:r>
            <w:r>
              <w:rPr>
                <w:sz w:val="14"/>
                <w:szCs w:val="14"/>
              </w:rPr>
              <w:t xml:space="preserve">125367, г. Москва, </w:t>
            </w:r>
            <w:r>
              <w:rPr>
                <w:sz w:val="14"/>
                <w:szCs w:val="14"/>
              </w:rPr>
            </w:r>
          </w:p>
          <w:p>
            <w:pPr>
              <w:pStyle w:val="773"/>
              <w:contextualSpacing w:val="0"/>
              <w:ind w:left="0"/>
              <w:jc w:val="both"/>
              <w:rPr>
                <w:sz w:val="14"/>
                <w:szCs w:val="14"/>
              </w:rPr>
            </w:pPr>
            <w:r>
              <w:rPr>
                <w:sz w:val="14"/>
                <w:szCs w:val="14"/>
              </w:rPr>
              <w:t xml:space="preserve">ш. Волоколамское, д.80</w:t>
            </w:r>
            <w:r>
              <w:rPr>
                <w:sz w:val="14"/>
                <w:szCs w:val="14"/>
              </w:rPr>
            </w:r>
          </w:p>
          <w:p>
            <w:pPr>
              <w:pStyle w:val="773"/>
              <w:contextualSpacing w:val="0"/>
              <w:ind w:left="0"/>
              <w:jc w:val="both"/>
              <w:rPr>
                <w:sz w:val="14"/>
                <w:szCs w:val="14"/>
              </w:rPr>
            </w:pPr>
            <w:r>
              <w:rPr>
                <w:sz w:val="14"/>
                <w:szCs w:val="14"/>
              </w:rPr>
              <w:t xml:space="preserve">ОГРН </w:t>
            </w:r>
            <w:bookmarkStart w:id="6" w:name="ОГРН_1"/>
            <w:r>
              <w:rPr>
                <w:sz w:val="14"/>
                <w:szCs w:val="14"/>
              </w:rPr>
              <w:t xml:space="preserve">1027739766812</w:t>
            </w:r>
            <w:bookmarkEnd w:id="6"/>
            <w:r/>
            <w:r>
              <w:rPr>
                <w:sz w:val="14"/>
                <w:szCs w:val="14"/>
              </w:rPr>
            </w:r>
          </w:p>
          <w:p>
            <w:pPr>
              <w:pStyle w:val="773"/>
              <w:contextualSpacing w:val="0"/>
              <w:ind w:left="0"/>
              <w:jc w:val="both"/>
              <w:rPr>
                <w:sz w:val="14"/>
                <w:szCs w:val="14"/>
              </w:rPr>
            </w:pPr>
            <w:r>
              <w:rPr>
                <w:sz w:val="14"/>
                <w:szCs w:val="14"/>
              </w:rPr>
              <w:t xml:space="preserve">ИНН </w:t>
            </w:r>
            <w:r>
              <w:rPr>
                <w:bCs/>
                <w:sz w:val="14"/>
                <w:szCs w:val="14"/>
              </w:rPr>
              <w:tab/>
            </w:r>
            <w:bookmarkStart w:id="7" w:name="ИНН"/>
            <w:r>
              <w:rPr>
                <w:bCs/>
                <w:sz w:val="14"/>
                <w:szCs w:val="14"/>
              </w:rPr>
              <w:t xml:space="preserve">7733012151</w:t>
            </w:r>
            <w:bookmarkEnd w:id="7"/>
            <w:r>
              <w:rPr>
                <w:bCs/>
                <w:sz w:val="14"/>
                <w:szCs w:val="14"/>
              </w:rPr>
              <w:tab/>
              <w:t xml:space="preserve">КПП </w:t>
            </w:r>
            <w:bookmarkStart w:id="8" w:name="КПП"/>
            <w:r>
              <w:rPr>
                <w:bCs/>
                <w:sz w:val="14"/>
                <w:szCs w:val="14"/>
              </w:rPr>
              <w:t xml:space="preserve">773301001</w:t>
            </w:r>
            <w:bookmarkEnd w:id="8"/>
            <w:r/>
            <w:r>
              <w:rPr>
                <w:sz w:val="14"/>
                <w:szCs w:val="14"/>
              </w:rPr>
            </w:r>
          </w:p>
          <w:p>
            <w:pPr>
              <w:rPr>
                <w:sz w:val="14"/>
                <w:szCs w:val="14"/>
              </w:rPr>
            </w:pPr>
            <w:r>
              <w:rPr>
                <w:sz w:val="14"/>
                <w:szCs w:val="14"/>
                <w:shd w:val="clear" w:color="auto" w:fill="ffffff"/>
              </w:rPr>
              <w:t xml:space="preserve">Расчётный счёт № </w:t>
            </w:r>
            <w:r>
              <w:rPr>
                <w:sz w:val="14"/>
                <w:szCs w:val="14"/>
                <w:shd w:val="clear" w:color="auto" w:fill="ffffff"/>
              </w:rPr>
              <w:t xml:space="preserve">03214643000000017300</w:t>
            </w:r>
            <w:r>
              <w:rPr>
                <w:sz w:val="14"/>
                <w:szCs w:val="14"/>
              </w:rPr>
            </w:r>
          </w:p>
          <w:p>
            <w:pPr>
              <w:rPr>
                <w:sz w:val="14"/>
                <w:szCs w:val="14"/>
                <w:shd w:val="clear" w:color="auto" w:fill="ffffff"/>
              </w:rPr>
            </w:pPr>
            <w:r>
              <w:rPr>
                <w:sz w:val="14"/>
                <w:szCs w:val="14"/>
                <w:shd w:val="clear" w:color="auto" w:fill="ffffff"/>
              </w:rPr>
              <w:t xml:space="preserve">в </w:t>
            </w:r>
            <w:r>
              <w:rPr>
                <w:sz w:val="14"/>
                <w:szCs w:val="14"/>
                <w:shd w:val="clear" w:color="auto" w:fill="ffffff"/>
              </w:rPr>
              <w:t xml:space="preserve">ГУ Банка России по ЦФО//УФК по г. Москве г. Москва</w:t>
            </w:r>
            <w:r>
              <w:rPr>
                <w:sz w:val="14"/>
                <w:szCs w:val="14"/>
                <w:shd w:val="clear" w:color="auto" w:fill="ffffff"/>
              </w:rPr>
            </w:r>
          </w:p>
          <w:p>
            <w:pPr>
              <w:rPr>
                <w:sz w:val="14"/>
                <w:szCs w:val="14"/>
                <w:shd w:val="clear" w:color="auto" w:fill="ffffff"/>
              </w:rPr>
            </w:pPr>
            <w:r>
              <w:rPr>
                <w:sz w:val="14"/>
                <w:szCs w:val="14"/>
                <w:shd w:val="clear" w:color="auto" w:fill="ffffff"/>
              </w:rPr>
              <w:t xml:space="preserve">Кор. счёт №</w:t>
            </w:r>
            <w:r>
              <w:rPr>
                <w:sz w:val="14"/>
                <w:szCs w:val="14"/>
              </w:rPr>
              <w:t xml:space="preserve"> </w:t>
            </w:r>
            <w:r>
              <w:rPr>
                <w:sz w:val="14"/>
                <w:szCs w:val="14"/>
              </w:rPr>
              <w:t xml:space="preserve">40102810545370000003</w:t>
            </w:r>
            <w:r>
              <w:rPr>
                <w:sz w:val="14"/>
                <w:szCs w:val="14"/>
                <w:shd w:val="clear" w:color="auto" w:fill="ffffff"/>
              </w:rPr>
            </w:r>
          </w:p>
          <w:p>
            <w:pPr>
              <w:rPr>
                <w:bCs/>
                <w:sz w:val="14"/>
                <w:szCs w:val="14"/>
              </w:rPr>
            </w:pPr>
            <w:r>
              <w:rPr>
                <w:sz w:val="14"/>
                <w:szCs w:val="14"/>
                <w:shd w:val="clear" w:color="auto" w:fill="ffffff"/>
              </w:rPr>
              <w:t xml:space="preserve">БИК </w:t>
            </w:r>
            <w:r>
              <w:rPr>
                <w:sz w:val="14"/>
                <w:szCs w:val="14"/>
                <w:shd w:val="clear" w:color="auto" w:fill="ffffff"/>
              </w:rPr>
              <w:t xml:space="preserve">004525988</w:t>
            </w:r>
            <w:r>
              <w:rPr>
                <w:bCs/>
                <w:sz w:val="14"/>
                <w:szCs w:val="14"/>
              </w:rPr>
            </w:r>
          </w:p>
          <w:p>
            <w:pPr>
              <w:pStyle w:val="773"/>
              <w:contextualSpacing w:val="0"/>
              <w:ind w:left="0"/>
              <w:jc w:val="both"/>
              <w:rPr>
                <w:sz w:val="14"/>
                <w:szCs w:val="14"/>
              </w:rPr>
            </w:pPr>
            <w:r>
              <w:rPr>
                <w:sz w:val="14"/>
                <w:szCs w:val="14"/>
              </w:rPr>
              <w:t xml:space="preserve">электронная почта </w:t>
            </w:r>
            <w:bookmarkStart w:id="9" w:name="е_почта"/>
            <w:r/>
            <w:bookmarkEnd w:id="9"/>
            <w:r>
              <w:rPr>
                <w:sz w:val="14"/>
                <w:szCs w:val="14"/>
              </w:rPr>
              <w:t xml:space="preserve">vladimirov@neurology.ru</w:t>
            </w:r>
            <w:r>
              <w:rPr>
                <w:sz w:val="14"/>
                <w:szCs w:val="14"/>
              </w:rPr>
            </w:r>
          </w:p>
          <w:p>
            <w:pPr>
              <w:pStyle w:val="773"/>
              <w:contextualSpacing w:val="0"/>
              <w:ind w:left="0"/>
              <w:jc w:val="both"/>
              <w:rPr>
                <w:sz w:val="14"/>
                <w:szCs w:val="14"/>
              </w:rPr>
            </w:pPr>
            <w:r>
              <w:rPr>
                <w:sz w:val="14"/>
                <w:szCs w:val="14"/>
              </w:rPr>
              <w:t xml:space="preserve">Заместитель</w:t>
            </w:r>
            <w:r>
              <w:rPr>
                <w:sz w:val="14"/>
                <w:szCs w:val="14"/>
              </w:rPr>
              <w:t xml:space="preserve"> директора </w:t>
            </w:r>
            <w:r>
              <w:rPr>
                <w:sz w:val="14"/>
                <w:szCs w:val="14"/>
              </w:rPr>
            </w:r>
          </w:p>
          <w:p>
            <w:pPr>
              <w:pStyle w:val="773"/>
              <w:contextualSpacing w:val="0"/>
              <w:ind w:left="0"/>
              <w:jc w:val="both"/>
              <w:rPr>
                <w:sz w:val="14"/>
                <w:szCs w:val="14"/>
              </w:rPr>
            </w:pPr>
            <w:r>
              <w:rPr>
                <w:sz w:val="14"/>
                <w:szCs w:val="14"/>
              </w:rPr>
              <w:t xml:space="preserve">по экономическим вопросам</w:t>
            </w:r>
            <w:r>
              <w:rPr>
                <w:sz w:val="14"/>
                <w:szCs w:val="14"/>
              </w:rPr>
            </w:r>
          </w:p>
          <w:p>
            <w:pPr>
              <w:pStyle w:val="773"/>
              <w:contextualSpacing w:val="0"/>
              <w:ind w:left="0"/>
              <w:jc w:val="both"/>
              <w:rPr>
                <w:sz w:val="14"/>
                <w:szCs w:val="14"/>
              </w:rPr>
            </w:pPr>
            <w:r>
              <w:rPr>
                <w:sz w:val="14"/>
                <w:szCs w:val="14"/>
              </w:rPr>
            </w:r>
            <w:r>
              <w:rPr>
                <w:sz w:val="14"/>
                <w:szCs w:val="14"/>
              </w:rPr>
            </w:r>
          </w:p>
          <w:p>
            <w:pPr>
              <w:pStyle w:val="773"/>
              <w:contextualSpacing w:val="0"/>
              <w:ind w:left="0"/>
              <w:jc w:val="both"/>
              <w:rPr>
                <w:sz w:val="14"/>
                <w:szCs w:val="14"/>
              </w:rPr>
            </w:pPr>
            <w:r>
              <w:rPr>
                <w:sz w:val="14"/>
                <w:szCs w:val="14"/>
              </w:rPr>
              <w:t xml:space="preserve">__________________________ </w:t>
            </w:r>
            <w:r>
              <w:rPr>
                <w:sz w:val="14"/>
                <w:szCs w:val="14"/>
              </w:rPr>
              <w:t xml:space="preserve">Н.В. Никитина</w:t>
            </w:r>
            <w:r>
              <w:rPr>
                <w:sz w:val="14"/>
                <w:szCs w:val="14"/>
              </w:rPr>
            </w:r>
          </w:p>
          <w:p>
            <w:pPr>
              <w:pStyle w:val="773"/>
              <w:contextualSpacing w:val="0"/>
              <w:ind w:left="0"/>
              <w:jc w:val="both"/>
              <w:rPr>
                <w:bCs/>
                <w:iCs/>
                <w:sz w:val="14"/>
                <w:szCs w:val="14"/>
              </w:rPr>
            </w:pPr>
            <w:r>
              <w:rPr>
                <w:bCs/>
                <w:iCs/>
                <w:sz w:val="14"/>
                <w:szCs w:val="14"/>
              </w:rPr>
              <w:t xml:space="preserve">м.п</w:t>
            </w:r>
            <w:r>
              <w:rPr>
                <w:bCs/>
                <w:iCs/>
                <w:sz w:val="14"/>
                <w:szCs w:val="14"/>
              </w:rPr>
              <w:t xml:space="preserve">.</w:t>
            </w:r>
            <w:r>
              <w:rPr>
                <w:bCs/>
                <w:iCs/>
                <w:sz w:val="14"/>
                <w:szCs w:val="14"/>
              </w:rPr>
            </w:r>
          </w:p>
        </w:tc>
        <w:tc>
          <w:tcPr>
            <w:tcW w:w="4820" w:type="dxa"/>
            <w:textDirection w:val="lrTb"/>
            <w:noWrap w:val="false"/>
          </w:tcPr>
          <w:p>
            <w:r/>
            <w:r/>
          </w:p>
        </w:tc>
      </w:tr>
    </w:tbl>
    <w:p>
      <w:pPr>
        <w:pStyle w:val="773"/>
        <w:contextualSpacing w:val="0"/>
        <w:ind w:left="0"/>
        <w:rPr>
          <w:bCs/>
          <w:iCs/>
          <w:sz w:val="14"/>
          <w:szCs w:val="14"/>
        </w:rPr>
      </w:pPr>
      <w:r>
        <w:rPr>
          <w:bCs/>
          <w:iCs/>
          <w:sz w:val="14"/>
          <w:szCs w:val="14"/>
        </w:rPr>
        <w:br w:type="page" w:clear="all"/>
      </w:r>
      <w:r>
        <w:rPr>
          <w:bCs/>
          <w:iCs/>
          <w:sz w:val="20"/>
          <w:szCs w:val="20"/>
        </w:rPr>
        <w:t xml:space="preserve">Приложение № 1</w:t>
      </w:r>
      <w:r>
        <w:rPr>
          <w:bCs/>
          <w:iCs/>
          <w:sz w:val="20"/>
          <w:szCs w:val="20"/>
        </w:rPr>
        <w:br/>
      </w:r>
      <w:r>
        <w:rPr>
          <w:bCs/>
          <w:iCs/>
          <w:sz w:val="14"/>
          <w:szCs w:val="14"/>
        </w:rPr>
      </w:r>
    </w:p>
    <w:p>
      <w:pPr>
        <w:jc w:val="center"/>
        <w:spacing w:before="480" w:after="240"/>
        <w:rPr>
          <w:b/>
          <w:sz w:val="20"/>
          <w:szCs w:val="20"/>
        </w:rPr>
      </w:pPr>
      <w:r>
        <w:rPr>
          <w:b/>
          <w:sz w:val="20"/>
          <w:szCs w:val="20"/>
        </w:rPr>
        <w:t xml:space="preserve">Технические условия взаимодействия сторон и использования Программы</w:t>
      </w:r>
      <w:r>
        <w:rPr>
          <w:b/>
          <w:sz w:val="20"/>
          <w:szCs w:val="20"/>
        </w:rPr>
      </w:r>
    </w:p>
    <w:p>
      <w:pPr>
        <w:pStyle w:val="773"/>
        <w:numPr>
          <w:ilvl w:val="0"/>
          <w:numId w:val="21"/>
        </w:numPr>
        <w:contextualSpacing w:val="0"/>
        <w:ind w:left="0" w:firstLine="567"/>
        <w:jc w:val="both"/>
        <w:tabs>
          <w:tab w:val="left" w:pos="851" w:leader="none"/>
        </w:tabs>
        <w:rPr>
          <w:sz w:val="20"/>
          <w:szCs w:val="20"/>
        </w:rPr>
      </w:pPr>
      <w:r>
        <w:rPr>
          <w:sz w:val="20"/>
          <w:szCs w:val="20"/>
        </w:rPr>
        <w:t xml:space="preserve">До предоставления доступа к Программе ответственным сотрудником Лицензиата заполняется анкета о подключении медицинской организации к требуемому компоненту Программы. Форма анкеты определена приложением № 2 к Договору.</w:t>
      </w:r>
      <w:r>
        <w:rPr>
          <w:sz w:val="20"/>
          <w:szCs w:val="20"/>
        </w:rPr>
      </w:r>
    </w:p>
    <w:p>
      <w:pPr>
        <w:pStyle w:val="773"/>
        <w:numPr>
          <w:ilvl w:val="0"/>
          <w:numId w:val="22"/>
        </w:numPr>
        <w:contextualSpacing w:val="0"/>
        <w:ind w:left="0" w:firstLine="567"/>
        <w:jc w:val="both"/>
        <w:tabs>
          <w:tab w:val="left" w:pos="851" w:leader="none"/>
        </w:tabs>
        <w:rPr>
          <w:spacing w:val="1"/>
          <w:sz w:val="20"/>
          <w:szCs w:val="20"/>
        </w:rPr>
      </w:pPr>
      <w:r>
        <w:rPr>
          <w:spacing w:val="1"/>
          <w:sz w:val="20"/>
          <w:szCs w:val="20"/>
        </w:rPr>
        <w:t xml:space="preserve">Заполненная анкета передаётся по электронной почте системному инженеру Лицензиара для внесения данных в систему управления Программой только при условии применения технических средств защиты информации, для документов содержащих сведения </w:t>
      </w:r>
      <w:r>
        <w:rPr>
          <w:spacing w:val="1"/>
          <w:sz w:val="20"/>
          <w:szCs w:val="20"/>
        </w:rPr>
        <w:t xml:space="preserve">ПДн</w:t>
      </w:r>
      <w:r>
        <w:rPr>
          <w:spacing w:val="1"/>
          <w:sz w:val="20"/>
          <w:szCs w:val="20"/>
        </w:rPr>
        <w:t xml:space="preserve">.</w:t>
      </w:r>
      <w:r>
        <w:rPr>
          <w:spacing w:val="1"/>
          <w:sz w:val="20"/>
          <w:szCs w:val="20"/>
        </w:rPr>
      </w:r>
    </w:p>
    <w:p>
      <w:pPr>
        <w:pStyle w:val="773"/>
        <w:numPr>
          <w:ilvl w:val="0"/>
          <w:numId w:val="22"/>
        </w:numPr>
        <w:contextualSpacing w:val="0"/>
        <w:ind w:left="0" w:firstLine="567"/>
        <w:jc w:val="both"/>
        <w:tabs>
          <w:tab w:val="left" w:pos="851" w:leader="none"/>
        </w:tabs>
        <w:rPr>
          <w:spacing w:val="1"/>
          <w:sz w:val="20"/>
          <w:szCs w:val="20"/>
        </w:rPr>
      </w:pPr>
      <w:r>
        <w:rPr>
          <w:spacing w:val="1"/>
          <w:sz w:val="20"/>
          <w:szCs w:val="20"/>
        </w:rPr>
        <w:t xml:space="preserve">После регистрации </w:t>
      </w:r>
      <w:r>
        <w:rPr>
          <w:sz w:val="20"/>
          <w:szCs w:val="20"/>
        </w:rPr>
        <w:t xml:space="preserve">Лицензиата для получения доступа </w:t>
      </w:r>
      <w:r>
        <w:rPr>
          <w:spacing w:val="1"/>
          <w:sz w:val="20"/>
          <w:szCs w:val="20"/>
        </w:rPr>
        <w:t xml:space="preserve">системным инженером Лицензиара системному администратору </w:t>
      </w:r>
      <w:r>
        <w:rPr>
          <w:sz w:val="20"/>
          <w:szCs w:val="20"/>
        </w:rPr>
        <w:t xml:space="preserve">Лицензиата </w:t>
      </w:r>
      <w:r>
        <w:rPr>
          <w:spacing w:val="1"/>
          <w:sz w:val="20"/>
          <w:szCs w:val="20"/>
        </w:rPr>
        <w:t xml:space="preserve">выдаются следующие артефакты:</w:t>
      </w:r>
      <w:r>
        <w:rPr>
          <w:spacing w:val="1"/>
          <w:sz w:val="20"/>
          <w:szCs w:val="20"/>
        </w:rPr>
      </w:r>
    </w:p>
    <w:p>
      <w:pPr>
        <w:pStyle w:val="773"/>
        <w:numPr>
          <w:ilvl w:val="0"/>
          <w:numId w:val="23"/>
        </w:numPr>
        <w:contextualSpacing w:val="0"/>
        <w:ind w:left="1418" w:hanging="284"/>
        <w:jc w:val="both"/>
        <w:rPr>
          <w:spacing w:val="1"/>
          <w:sz w:val="20"/>
          <w:szCs w:val="20"/>
        </w:rPr>
      </w:pPr>
      <w:r>
        <w:rPr>
          <w:spacing w:val="1"/>
          <w:sz w:val="20"/>
          <w:szCs w:val="20"/>
        </w:rPr>
        <w:t xml:space="preserve">набор ключей (для каждого пользователя) для подключения к защищённой сети,</w:t>
      </w:r>
      <w:r>
        <w:rPr>
          <w:spacing w:val="1"/>
          <w:sz w:val="20"/>
          <w:szCs w:val="20"/>
        </w:rPr>
      </w:r>
    </w:p>
    <w:p>
      <w:pPr>
        <w:pStyle w:val="773"/>
        <w:numPr>
          <w:ilvl w:val="0"/>
          <w:numId w:val="23"/>
        </w:numPr>
        <w:contextualSpacing w:val="0"/>
        <w:ind w:left="1418" w:hanging="284"/>
        <w:jc w:val="both"/>
        <w:rPr>
          <w:spacing w:val="1"/>
          <w:sz w:val="20"/>
          <w:szCs w:val="20"/>
        </w:rPr>
      </w:pPr>
      <w:r>
        <w:rPr>
          <w:spacing w:val="1"/>
          <w:sz w:val="20"/>
          <w:szCs w:val="20"/>
        </w:rPr>
        <w:t xml:space="preserve">имена пользователей и пароли,</w:t>
      </w:r>
      <w:r>
        <w:rPr>
          <w:spacing w:val="1"/>
          <w:sz w:val="20"/>
          <w:szCs w:val="20"/>
        </w:rPr>
      </w:r>
    </w:p>
    <w:p>
      <w:pPr>
        <w:pStyle w:val="773"/>
        <w:numPr>
          <w:ilvl w:val="0"/>
          <w:numId w:val="23"/>
        </w:numPr>
        <w:contextualSpacing w:val="0"/>
        <w:ind w:left="1418" w:hanging="284"/>
        <w:jc w:val="both"/>
        <w:rPr>
          <w:spacing w:val="1"/>
          <w:sz w:val="20"/>
          <w:szCs w:val="20"/>
        </w:rPr>
      </w:pPr>
      <w:r>
        <w:rPr>
          <w:spacing w:val="1"/>
          <w:sz w:val="20"/>
          <w:szCs w:val="20"/>
        </w:rPr>
        <w:t xml:space="preserve">адреса для подключения и инструкция по настройке соединения.</w:t>
      </w:r>
      <w:r>
        <w:rPr>
          <w:spacing w:val="1"/>
          <w:sz w:val="20"/>
          <w:szCs w:val="20"/>
        </w:rPr>
      </w:r>
    </w:p>
    <w:p>
      <w:pPr>
        <w:pStyle w:val="773"/>
        <w:numPr>
          <w:ilvl w:val="0"/>
          <w:numId w:val="24"/>
        </w:numPr>
        <w:contextualSpacing w:val="0"/>
        <w:ind w:left="0" w:firstLine="567"/>
        <w:jc w:val="both"/>
        <w:tabs>
          <w:tab w:val="left" w:pos="851" w:leader="none"/>
        </w:tabs>
        <w:rPr>
          <w:spacing w:val="1"/>
          <w:sz w:val="20"/>
          <w:szCs w:val="20"/>
        </w:rPr>
      </w:pPr>
      <w:r>
        <w:rPr>
          <w:spacing w:val="1"/>
          <w:sz w:val="20"/>
          <w:szCs w:val="20"/>
        </w:rPr>
        <w:t xml:space="preserve">Работа с Программой осуществляется по защищённым каналам связи.</w:t>
      </w:r>
      <w:r>
        <w:rPr>
          <w:spacing w:val="1"/>
          <w:sz w:val="20"/>
          <w:szCs w:val="20"/>
        </w:rPr>
      </w:r>
    </w:p>
    <w:p>
      <w:pPr>
        <w:pStyle w:val="773"/>
        <w:contextualSpacing w:val="0"/>
        <w:ind w:left="0" w:firstLine="567"/>
        <w:jc w:val="both"/>
        <w:tabs>
          <w:tab w:val="left" w:pos="851" w:leader="none"/>
        </w:tabs>
        <w:rPr>
          <w:spacing w:val="1"/>
          <w:sz w:val="20"/>
          <w:szCs w:val="20"/>
        </w:rPr>
      </w:pPr>
      <w:r>
        <w:rPr>
          <w:spacing w:val="1"/>
          <w:sz w:val="20"/>
          <w:szCs w:val="20"/>
        </w:rPr>
        <w:t xml:space="preserve">Для этого Лицензиату необходимо выполнить настройку соединения с защищённой сетью. Эту работу выполняет сотрудник, отвечающий за администрирование локальной сети </w:t>
      </w:r>
      <w:r>
        <w:rPr>
          <w:sz w:val="20"/>
          <w:szCs w:val="20"/>
        </w:rPr>
        <w:t xml:space="preserve">Лицензиата</w:t>
      </w:r>
      <w:r>
        <w:rPr>
          <w:spacing w:val="1"/>
          <w:sz w:val="20"/>
          <w:szCs w:val="20"/>
        </w:rPr>
        <w:t xml:space="preserve">. При отсутствии такого сотрудника, по дополнительной заявке Лицензиата эту работу выполняет системный инженер Лицензиара при предоставлении ему соответствующего доступа к оборудованию на стороне </w:t>
      </w:r>
      <w:r>
        <w:rPr>
          <w:sz w:val="20"/>
          <w:szCs w:val="20"/>
        </w:rPr>
        <w:t xml:space="preserve">Лицензиата</w:t>
      </w:r>
      <w:r>
        <w:rPr>
          <w:spacing w:val="1"/>
          <w:sz w:val="20"/>
          <w:szCs w:val="20"/>
        </w:rPr>
        <w:t xml:space="preserve">.</w:t>
      </w:r>
      <w:r>
        <w:rPr>
          <w:spacing w:val="1"/>
          <w:sz w:val="20"/>
          <w:szCs w:val="20"/>
        </w:rPr>
      </w:r>
    </w:p>
    <w:p>
      <w:pPr>
        <w:pStyle w:val="773"/>
        <w:numPr>
          <w:ilvl w:val="0"/>
          <w:numId w:val="24"/>
        </w:numPr>
        <w:contextualSpacing w:val="0"/>
        <w:ind w:left="0" w:right="103" w:firstLine="567"/>
        <w:jc w:val="both"/>
        <w:tabs>
          <w:tab w:val="left" w:pos="851" w:leader="none"/>
          <w:tab w:val="left" w:pos="921" w:leader="none"/>
        </w:tabs>
        <w:rPr>
          <w:sz w:val="20"/>
          <w:szCs w:val="20"/>
        </w:rPr>
      </w:pPr>
      <w:r>
        <w:rPr>
          <w:spacing w:val="1"/>
          <w:sz w:val="20"/>
          <w:szCs w:val="20"/>
        </w:rPr>
        <w:t xml:space="preserve">В случае проблем с организацией подключения к Программе </w:t>
      </w:r>
      <w:r>
        <w:rPr>
          <w:sz w:val="20"/>
          <w:szCs w:val="20"/>
        </w:rPr>
        <w:t xml:space="preserve">Лицензиат </w:t>
      </w:r>
      <w:r>
        <w:rPr>
          <w:spacing w:val="1"/>
          <w:sz w:val="20"/>
          <w:szCs w:val="20"/>
        </w:rPr>
        <w:t xml:space="preserve">может обратиться по адресу: support@n3health.ru и по телефону: +7 (812) 670-45-62. </w:t>
      </w:r>
      <w:r>
        <w:rPr>
          <w:sz w:val="20"/>
          <w:szCs w:val="20"/>
        </w:rPr>
        <w:t xml:space="preserve">Обработка запросов осуществляется с 09:00 до 18:00 (время московское) по рабочим дням. Срок получения ответа (предварительного либо окончательного) – 30</w:t>
      </w:r>
      <w:r>
        <w:rPr>
          <w:spacing w:val="-3"/>
          <w:sz w:val="20"/>
          <w:szCs w:val="20"/>
        </w:rPr>
        <w:t xml:space="preserve"> </w:t>
      </w:r>
      <w:r>
        <w:rPr>
          <w:sz w:val="20"/>
          <w:szCs w:val="20"/>
        </w:rPr>
        <w:t xml:space="preserve">минут.</w:t>
      </w:r>
      <w:r>
        <w:rPr>
          <w:sz w:val="20"/>
          <w:szCs w:val="20"/>
        </w:rPr>
      </w:r>
    </w:p>
    <w:p>
      <w:pPr>
        <w:jc w:val="center"/>
        <w:rPr>
          <w:b/>
          <w:bCs/>
          <w:iCs/>
          <w:sz w:val="20"/>
          <w:szCs w:val="20"/>
        </w:rPr>
      </w:pPr>
      <w:r>
        <w:rPr>
          <w:b/>
          <w:bCs/>
          <w:iCs/>
          <w:sz w:val="20"/>
          <w:szCs w:val="20"/>
        </w:rPr>
      </w:r>
      <w:r>
        <w:rPr>
          <w:b/>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jc w:val="center"/>
        <w:rPr>
          <w:b/>
          <w:bCs/>
          <w:iCs/>
          <w:sz w:val="20"/>
          <w:szCs w:val="20"/>
        </w:rPr>
      </w:pPr>
      <w:r>
        <w:rPr>
          <w:b/>
          <w:bCs/>
          <w:iCs/>
          <w:sz w:val="20"/>
          <w:szCs w:val="20"/>
        </w:rPr>
      </w:r>
      <w:r>
        <w:rPr>
          <w:b/>
          <w:bCs/>
          <w:iCs/>
          <w:sz w:val="20"/>
          <w:szCs w:val="20"/>
        </w:rPr>
      </w:r>
    </w:p>
    <w:p>
      <w:pPr>
        <w:jc w:val="center"/>
        <w:rPr>
          <w:bCs/>
          <w:iCs/>
          <w:sz w:val="20"/>
          <w:szCs w:val="20"/>
        </w:rPr>
      </w:pPr>
      <w:r>
        <w:rPr>
          <w:bCs/>
          <w:iCs/>
          <w:sz w:val="20"/>
          <w:szCs w:val="20"/>
        </w:rPr>
        <w:br w:type="page" w:clear="all"/>
      </w:r>
      <w:r>
        <w:rPr>
          <w:bCs/>
          <w:iCs/>
          <w:sz w:val="20"/>
          <w:szCs w:val="20"/>
        </w:rPr>
      </w:r>
    </w:p>
    <w:p>
      <w:pPr>
        <w:pStyle w:val="773"/>
        <w:contextualSpacing w:val="0"/>
        <w:ind w:left="0"/>
        <w:rPr>
          <w:sz w:val="20"/>
          <w:szCs w:val="20"/>
        </w:rPr>
      </w:pPr>
      <w:r>
        <w:rPr>
          <w:bCs/>
          <w:iCs/>
          <w:sz w:val="20"/>
          <w:szCs w:val="20"/>
        </w:rPr>
        <w:t xml:space="preserve">Приложение № 2</w:t>
      </w:r>
      <w:r>
        <w:rPr>
          <w:bCs/>
          <w:iCs/>
          <w:sz w:val="20"/>
          <w:szCs w:val="20"/>
        </w:rPr>
        <w:br/>
      </w:r>
      <w:r>
        <w:rPr>
          <w:sz w:val="20"/>
          <w:szCs w:val="20"/>
        </w:rPr>
      </w:r>
    </w:p>
    <w:p>
      <w:pPr>
        <w:jc w:val="center"/>
        <w:spacing w:before="480" w:after="240"/>
        <w:rPr>
          <w:b/>
          <w:sz w:val="20"/>
          <w:szCs w:val="20"/>
        </w:rPr>
      </w:pPr>
      <w:r>
        <w:rPr>
          <w:b/>
          <w:sz w:val="20"/>
          <w:szCs w:val="20"/>
        </w:rPr>
        <w:t xml:space="preserve">Форма анкеты на организацию доступа к компоненту Программы</w:t>
      </w:r>
      <w:r>
        <w:rPr>
          <w:b/>
          <w:sz w:val="20"/>
          <w:szCs w:val="20"/>
        </w:rPr>
      </w:r>
    </w:p>
    <w:tbl>
      <w:tblPr>
        <w:tblW w:w="9639" w:type="dxa"/>
        <w:tblInd w:w="137"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CellMar>
          <w:left w:w="150" w:type="dxa"/>
          <w:top w:w="105" w:type="dxa"/>
          <w:right w:w="150" w:type="dxa"/>
          <w:bottom w:w="105" w:type="dxa"/>
        </w:tblCellMar>
        <w:tblLook w:val="04A0" w:firstRow="1" w:lastRow="0" w:firstColumn="1" w:lastColumn="0" w:noHBand="0" w:noVBand="1"/>
      </w:tblPr>
      <w:tblGrid>
        <w:gridCol w:w="4961"/>
        <w:gridCol w:w="4678"/>
      </w:tblGrid>
      <w:tr>
        <w:tblPrEx/>
        <w:trPr>
          <w:trHeight w:val="25"/>
        </w:trPr>
        <w:tc>
          <w:tcPr>
            <w:shd w:val="clear" w:color="auto" w:fill="f2f2f2" w:themeFill="background1" w:themeFillShade="F2"/>
            <w:tcW w:w="4961" w:type="dxa"/>
            <w:textDirection w:val="lrTb"/>
            <w:noWrap w:val="false"/>
          </w:tcPr>
          <w:p>
            <w:pPr>
              <w:jc w:val="center"/>
              <w:rPr>
                <w:b/>
                <w:bCs/>
                <w:sz w:val="20"/>
                <w:szCs w:val="20"/>
              </w:rPr>
            </w:pPr>
            <w:r>
              <w:rPr>
                <w:b/>
                <w:bCs/>
                <w:sz w:val="20"/>
                <w:szCs w:val="20"/>
              </w:rPr>
              <w:t xml:space="preserve">Необходимые поля</w:t>
            </w:r>
            <w:r>
              <w:rPr>
                <w:b/>
                <w:bCs/>
                <w:sz w:val="20"/>
                <w:szCs w:val="20"/>
              </w:rPr>
            </w:r>
          </w:p>
        </w:tc>
        <w:tc>
          <w:tcPr>
            <w:shd w:val="clear" w:color="auto" w:fill="f2f2f2" w:themeFill="background1" w:themeFillShade="F2"/>
            <w:tcW w:w="4678" w:type="dxa"/>
            <w:textDirection w:val="lrTb"/>
            <w:noWrap w:val="false"/>
          </w:tcPr>
          <w:p>
            <w:pPr>
              <w:jc w:val="center"/>
              <w:rPr>
                <w:b/>
                <w:bCs/>
                <w:sz w:val="20"/>
                <w:szCs w:val="20"/>
              </w:rPr>
            </w:pPr>
            <w:r>
              <w:rPr>
                <w:b/>
                <w:bCs/>
                <w:sz w:val="20"/>
                <w:szCs w:val="20"/>
              </w:rPr>
              <w:t xml:space="preserve">Описание  </w:t>
            </w:r>
            <w:r>
              <w:rPr>
                <w:b/>
                <w:bCs/>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Необходимый компонент Программы</w:t>
            </w:r>
            <w:r>
              <w:rPr>
                <w:sz w:val="20"/>
                <w:szCs w:val="20"/>
              </w:rPr>
            </w:r>
          </w:p>
        </w:tc>
        <w:tc>
          <w:tcPr>
            <w:shd w:val="clear" w:color="auto" w:fill="auto"/>
            <w:tcW w:w="4678" w:type="dxa"/>
            <w:textDirection w:val="lrTb"/>
            <w:noWrap w:val="false"/>
          </w:tcPr>
          <w:p>
            <w:pPr>
              <w:pStyle w:val="738"/>
              <w:numPr>
                <w:ilvl w:val="0"/>
                <w:numId w:val="0"/>
              </w:numPr>
              <w:ind w:left="432" w:hanging="432"/>
              <w:keepNext w:val="0"/>
              <w:spacing w:before="0" w:after="0"/>
              <w:shd w:val="clear" w:color="auto" w:fill="ffffff"/>
              <w:rPr>
                <w:rFonts w:ascii="Times New Roman" w:hAnsi="Times New Roman" w:cs="Times New Roman"/>
                <w:b w:val="0"/>
                <w:sz w:val="20"/>
                <w:szCs w:val="20"/>
              </w:rPr>
            </w:pPr>
            <w:r>
              <w:rPr>
                <w:rFonts w:ascii="Times New Roman" w:hAnsi="Times New Roman" w:cs="Times New Roman"/>
                <w:b w:val="0"/>
                <w:sz w:val="20"/>
                <w:szCs w:val="20"/>
              </w:rPr>
            </w:r>
            <w:r>
              <w:rPr>
                <w:rFonts w:eastAsia="Calibri"/>
                <w:sz w:val="20"/>
                <w:szCs w:val="20"/>
                <w:lang w:eastAsia="en-US"/>
              </w:rPr>
              <w:t xml:space="preserve">Услуга по предоставлению прав использования (доступа) к N3Health**</w:t>
            </w:r>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Тариф </w:t>
            </w:r>
            <w:r>
              <w:rPr>
                <w:color w:val="000000" w:themeColor="text1"/>
                <w:sz w:val="20"/>
                <w:szCs w:val="20"/>
                <w:shd w:val="clear" w:color="auto" w:fill="ffffff"/>
              </w:rPr>
            </w:r>
          </w:p>
        </w:tc>
        <w:tc>
          <w:tcPr>
            <w:shd w:val="clear" w:color="auto" w:fill="auto"/>
            <w:tcW w:w="4678" w:type="dxa"/>
            <w:textDirection w:val="lrTb"/>
            <w:noWrap w:val="false"/>
          </w:tcPr>
          <w:p>
            <w:pPr>
              <w:pStyle w:val="738"/>
              <w:numPr>
                <w:ilvl w:val="0"/>
                <w:numId w:val="0"/>
              </w:numPr>
              <w:keepNext w:val="0"/>
              <w:spacing w:before="0" w:after="0"/>
              <w:shd w:val="clear" w:color="auto" w:fill="ffffff"/>
              <w:rPr>
                <w:rFonts w:ascii="Times New Roman" w:hAnsi="Times New Roman" w:cs="Times New Roman"/>
                <w:b w:val="0"/>
                <w:sz w:val="20"/>
                <w:szCs w:val="20"/>
              </w:rPr>
            </w:pPr>
            <w:r>
              <w:rPr>
                <w:bCs/>
                <w:color w:val="000000"/>
                <w:sz w:val="20"/>
                <w:szCs w:val="20"/>
              </w:rPr>
              <w:t xml:space="preserve">Т</w:t>
            </w:r>
            <w:r>
              <w:rPr>
                <w:bCs/>
                <w:color w:val="000000"/>
                <w:sz w:val="20"/>
                <w:szCs w:val="20"/>
              </w:rPr>
              <w:t xml:space="preserve">ариф «</w:t>
            </w:r>
            <w:r>
              <w:rPr>
                <w:bCs/>
                <w:color w:val="000000"/>
                <w:sz w:val="20"/>
                <w:szCs w:val="20"/>
              </w:rPr>
              <w:t xml:space="preserve">Лайт</w:t>
            </w:r>
            <w:r>
              <w:rPr>
                <w:bCs/>
                <w:color w:val="000000"/>
                <w:sz w:val="20"/>
                <w:szCs w:val="20"/>
              </w:rPr>
              <w:t xml:space="preserve">» (при передаче от 0 до 1000 эпизодов случая обслуживания)</w:t>
            </w:r>
            <w:r/>
            <w:r>
              <w:rPr>
                <w:rFonts w:ascii="Times New Roman" w:hAnsi="Times New Roman" w:cs="Times New Roman"/>
                <w:b w:val="0"/>
                <w:sz w:val="20"/>
                <w:szCs w:val="20"/>
              </w:rPr>
            </w:r>
            <w:r>
              <w:rPr>
                <w:rFonts w:ascii="Times New Roman" w:hAnsi="Times New Roman" w:cs="Times New Roman"/>
                <w:b w:val="0"/>
                <w:sz w:val="20"/>
                <w:szCs w:val="20"/>
              </w:rPr>
            </w:r>
          </w:p>
        </w:tc>
      </w:tr>
      <w:tr>
        <w:tblPrEx/>
        <w:trPr>
          <w:trHeight w:val="25"/>
        </w:trPr>
        <w:tc>
          <w:tcPr>
            <w:gridSpan w:val="2"/>
            <w:shd w:val="clear" w:color="auto" w:fill="auto"/>
            <w:tcW w:w="9639" w:type="dxa"/>
            <w:textDirection w:val="lrTb"/>
            <w:noWrap w:val="false"/>
          </w:tcPr>
          <w:p>
            <w:pPr>
              <w:jc w:val="center"/>
              <w:rPr>
                <w:bCs/>
                <w:sz w:val="20"/>
                <w:szCs w:val="20"/>
              </w:rPr>
            </w:pPr>
            <w:r>
              <w:rPr>
                <w:bCs/>
                <w:sz w:val="20"/>
                <w:szCs w:val="20"/>
              </w:rPr>
              <w:t xml:space="preserve">Данные медицинской организации</w:t>
            </w:r>
            <w:r>
              <w:rPr>
                <w:bCs/>
                <w:sz w:val="20"/>
                <w:szCs w:val="20"/>
              </w:rPr>
            </w:r>
          </w:p>
        </w:tc>
      </w:tr>
      <w:tr>
        <w:tblPrEx/>
        <w:trPr>
          <w:trHeight w:val="248"/>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rPr>
              <w:t xml:space="preserve">ИНН /КПП медицинской организации </w:t>
            </w:r>
            <w:r>
              <w:rPr>
                <w:sz w:val="20"/>
                <w:szCs w:val="20"/>
              </w:rPr>
              <w:t xml:space="preserve">или ее структурного подразделения, которому необходим доступ</w:t>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szCs w:val="20"/>
                <w:shd w:val="clear" w:color="auto" w:fill="ffffff"/>
              </w:rPr>
            </w:pPr>
            <w:r>
              <w:rPr>
                <w:color w:val="000000" w:themeColor="text1"/>
                <w:sz w:val="20"/>
                <w:szCs w:val="20"/>
                <w:shd w:val="clear" w:color="auto" w:fill="ffffff"/>
                <w:lang w:val="en-US"/>
              </w:rPr>
              <w:t xml:space="preserve">OID</w:t>
            </w:r>
            <w:r>
              <w:rPr>
                <w:color w:val="000000" w:themeColor="text1"/>
                <w:sz w:val="20"/>
                <w:szCs w:val="20"/>
                <w:shd w:val="clear" w:color="auto" w:fill="ffffff"/>
              </w:rPr>
              <w:t xml:space="preserve"> медицинской организации в справочнике Федерального реестра медицинских организаций</w:t>
            </w:r>
            <w:r>
              <w:rPr>
                <w:color w:val="000000" w:themeColor="text1"/>
                <w:sz w:val="20"/>
                <w:szCs w:val="20"/>
                <w:shd w:val="clear" w:color="auto" w:fill="ffffff"/>
              </w:rPr>
            </w:r>
          </w:p>
        </w:tc>
        <w:tc>
          <w:tcPr>
            <w:shd w:val="clear" w:color="auto" w:fill="auto"/>
            <w:tcW w:w="4678" w:type="dxa"/>
            <w:textDirection w:val="lrTb"/>
            <w:noWrap w:val="false"/>
          </w:tcPr>
          <w:p>
            <w:pPr>
              <w:ind w:right="-8"/>
              <w:shd w:val="clear" w:color="auto" w:fill="ffffff"/>
              <w:rPr>
                <w:color w:val="333333"/>
                <w:sz w:val="20"/>
                <w:szCs w:val="20"/>
              </w:rPr>
            </w:pPr>
            <w:r>
              <w:rPr>
                <w:color w:val="333333"/>
                <w:sz w:val="20"/>
                <w:szCs w:val="20"/>
              </w:rPr>
            </w:r>
            <w:r>
              <w:rPr>
                <w:color w:val="333333"/>
                <w:sz w:val="20"/>
                <w:szCs w:val="20"/>
              </w:rPr>
            </w:r>
          </w:p>
        </w:tc>
      </w:tr>
      <w:tr>
        <w:tblPrEx/>
        <w:trPr>
          <w:trHeight w:val="670"/>
        </w:trPr>
        <w:tc>
          <w:tcPr>
            <w:shd w:val="clear" w:color="auto" w:fill="auto"/>
            <w:tcW w:w="4961" w:type="dxa"/>
            <w:textDirection w:val="lrTb"/>
            <w:noWrap w:val="false"/>
          </w:tcPr>
          <w:p>
            <w:pPr>
              <w:rPr>
                <w:color w:val="000000" w:themeColor="text1"/>
                <w:sz w:val="20"/>
                <w:szCs w:val="20"/>
                <w:shd w:val="clear" w:color="auto" w:fill="ffffff"/>
              </w:rPr>
            </w:pPr>
            <w:r>
              <w:rPr>
                <w:sz w:val="20"/>
                <w:szCs w:val="20"/>
                <w:lang w:val="en-US"/>
              </w:rPr>
              <w:t xml:space="preserve">OID</w:t>
            </w:r>
            <w:r>
              <w:rPr>
                <w:sz w:val="20"/>
                <w:szCs w:val="20"/>
              </w:rPr>
              <w:t xml:space="preserve"> структурного подразделения в справочнике структурных подразделений Федерального регистра медицинских организаций</w:t>
            </w:r>
            <w:r>
              <w:rPr>
                <w:color w:val="000000" w:themeColor="text1"/>
                <w:sz w:val="20"/>
                <w:szCs w:val="20"/>
                <w:shd w:val="clear" w:color="auto" w:fill="ffffff"/>
              </w:rPr>
              <w:t xml:space="preserve"> </w:t>
            </w:r>
            <w:r>
              <w:rPr>
                <w:color w:val="000000" w:themeColor="text1"/>
                <w:sz w:val="20"/>
                <w:szCs w:val="20"/>
                <w:shd w:val="clear" w:color="auto" w:fill="ffffff"/>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p>
        </w:tc>
      </w:tr>
      <w:tr>
        <w:tblPrEx/>
        <w:trPr>
          <w:trHeight w:val="76"/>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медицинской организации</w:t>
            </w:r>
            <w:r>
              <w:rPr>
                <w:sz w:val="20"/>
                <w:szCs w:val="20"/>
              </w:rPr>
            </w:r>
          </w:p>
        </w:tc>
        <w:tc>
          <w:tcPr>
            <w:shd w:val="clear" w:color="auto" w:fill="auto"/>
            <w:tcW w:w="4678" w:type="dxa"/>
            <w:textDirection w:val="lrTb"/>
            <w:noWrap w:val="false"/>
          </w:tcPr>
          <w:p>
            <w:pPr>
              <w:shd w:val="clear" w:color="auto" w:fill="ffffff"/>
              <w:rPr>
                <w:color w:val="333333"/>
                <w:sz w:val="20"/>
                <w:szCs w:val="20"/>
              </w:rPr>
            </w:pPr>
            <w:r>
              <w:rPr>
                <w:color w:val="333333"/>
                <w:sz w:val="20"/>
                <w:szCs w:val="20"/>
              </w:rPr>
            </w:r>
            <w:r>
              <w:rPr>
                <w:color w:val="333333"/>
                <w:sz w:val="20"/>
                <w:szCs w:val="20"/>
              </w:rPr>
            </w:r>
          </w:p>
        </w:tc>
      </w:tr>
      <w:tr>
        <w:tblPrEx/>
        <w:trPr>
          <w:trHeight w:val="25"/>
        </w:trPr>
        <w:tc>
          <w:tcPr>
            <w:shd w:val="clear" w:color="auto" w:fill="auto"/>
            <w:tcW w:w="4961" w:type="dxa"/>
            <w:textDirection w:val="lrTb"/>
            <w:noWrap w:val="false"/>
          </w:tcPr>
          <w:p>
            <w:pPr>
              <w:rPr>
                <w:color w:val="000000" w:themeColor="text1"/>
                <w:sz w:val="20"/>
              </w:rPr>
            </w:pPr>
            <w:r>
              <w:rPr>
                <w:color w:val="000000" w:themeColor="text1"/>
                <w:sz w:val="20"/>
                <w:szCs w:val="20"/>
                <w:shd w:val="clear" w:color="auto" w:fill="ffffff"/>
              </w:rPr>
              <w:t xml:space="preserve">Краткое наименование медицинской организации</w:t>
            </w:r>
            <w:r>
              <w:rPr>
                <w:color w:val="000000" w:themeColor="text1"/>
                <w:sz w:val="20"/>
              </w:rPr>
            </w:r>
          </w:p>
        </w:tc>
        <w:tc>
          <w:tcPr>
            <w:shd w:val="clear" w:color="auto" w:fill="auto"/>
            <w:tcW w:w="4678" w:type="dxa"/>
            <w:textDirection w:val="lrTb"/>
            <w:noWrap w:val="false"/>
          </w:tcPr>
          <w:p>
            <w:pPr>
              <w:rPr>
                <w:sz w:val="20"/>
                <w:szCs w:val="20"/>
              </w:rPr>
            </w:pP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sz w:val="20"/>
                <w:szCs w:val="20"/>
              </w:rPr>
              <w:t xml:space="preserve">Фактический адрес (с индексом)</w:t>
            </w:r>
            <w:r>
              <w:rPr>
                <w:sz w:val="20"/>
                <w:szCs w:val="20"/>
              </w:rPr>
            </w:r>
          </w:p>
        </w:tc>
        <w:tc>
          <w:tcPr>
            <w:shd w:val="clear" w:color="auto" w:fill="auto"/>
            <w:tcW w:w="4678" w:type="dxa"/>
            <w:textDirection w:val="lrTb"/>
            <w:noWrap w:val="false"/>
          </w:tcPr>
          <w:p>
            <w:pPr>
              <w:rPr>
                <w:sz w:val="20"/>
                <w:szCs w:val="20"/>
              </w:rPr>
            </w:pPr>
            <w:r>
              <w:rPr>
                <w:sz w:val="20"/>
                <w:szCs w:val="20"/>
              </w:rPr>
            </w:r>
            <w:r>
              <w:rPr>
                <w:sz w:val="20"/>
                <w:szCs w:val="20"/>
              </w:rPr>
            </w:r>
          </w:p>
        </w:tc>
      </w:tr>
      <w:tr>
        <w:tblPrEx/>
        <w:trPr>
          <w:trHeight w:val="1048"/>
        </w:trPr>
        <w:tc>
          <w:tcPr>
            <w:shd w:val="clear" w:color="auto" w:fill="auto"/>
            <w:tcW w:w="4961" w:type="dxa"/>
            <w:textDirection w:val="lrTb"/>
            <w:noWrap w:val="false"/>
          </w:tcPr>
          <w:p>
            <w:pPr>
              <w:rPr>
                <w:sz w:val="20"/>
                <w:szCs w:val="20"/>
              </w:rPr>
            </w:pPr>
            <w:r>
              <w:rPr>
                <w:sz w:val="20"/>
                <w:szCs w:val="20"/>
              </w:rPr>
              <w:t xml:space="preserve">Представитель медицинской организации:</w:t>
            </w:r>
            <w:r>
              <w:rPr>
                <w:sz w:val="20"/>
                <w:szCs w:val="20"/>
              </w:rPr>
            </w:r>
          </w:p>
          <w:p>
            <w:pPr>
              <w:rPr>
                <w:sz w:val="20"/>
                <w:szCs w:val="20"/>
              </w:rPr>
            </w:pPr>
            <w:r>
              <w:rPr>
                <w:sz w:val="20"/>
                <w:szCs w:val="20"/>
              </w:rPr>
              <w:t xml:space="preserve">ФИО</w:t>
            </w:r>
            <w:r>
              <w:rPr>
                <w:sz w:val="20"/>
                <w:szCs w:val="20"/>
              </w:rPr>
            </w:r>
          </w:p>
          <w:p>
            <w:pPr>
              <w:rPr>
                <w:sz w:val="20"/>
                <w:szCs w:val="20"/>
              </w:rPr>
            </w:pPr>
            <w:r>
              <w:rPr>
                <w:sz w:val="20"/>
                <w:szCs w:val="20"/>
              </w:rPr>
              <w:t xml:space="preserve">должность</w:t>
            </w:r>
            <w:r>
              <w:rPr>
                <w:sz w:val="20"/>
                <w:szCs w:val="20"/>
              </w:rPr>
            </w:r>
          </w:p>
          <w:p>
            <w:pPr>
              <w:rPr>
                <w:sz w:val="20"/>
                <w:szCs w:val="20"/>
              </w:rPr>
            </w:pPr>
            <w:r>
              <w:rPr>
                <w:sz w:val="20"/>
                <w:szCs w:val="20"/>
              </w:rPr>
              <w:t xml:space="preserve">электронная почта</w:t>
            </w:r>
            <w:r>
              <w:rPr>
                <w:sz w:val="20"/>
                <w:szCs w:val="20"/>
              </w:rPr>
            </w:r>
          </w:p>
          <w:p>
            <w:pPr>
              <w:rPr>
                <w:sz w:val="20"/>
                <w:szCs w:val="20"/>
              </w:rPr>
            </w:pPr>
            <w:r>
              <w:rPr>
                <w:sz w:val="20"/>
                <w:szCs w:val="20"/>
              </w:rPr>
              <w:t xml:space="preserve">телефон</w:t>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p>
        </w:tc>
      </w:tr>
      <w:tr>
        <w:tblPrEx/>
        <w:trPr>
          <w:trHeight w:val="25"/>
        </w:trPr>
        <w:tc>
          <w:tcPr>
            <w:gridSpan w:val="2"/>
            <w:shd w:val="clear" w:color="auto" w:fill="auto"/>
            <w:tcW w:w="9639" w:type="dxa"/>
            <w:textDirection w:val="lrTb"/>
            <w:noWrap w:val="false"/>
          </w:tcPr>
          <w:p>
            <w:pPr>
              <w:jc w:val="center"/>
              <w:rPr>
                <w:sz w:val="20"/>
                <w:szCs w:val="20"/>
              </w:rPr>
            </w:pPr>
            <w:r>
              <w:rPr>
                <w:sz w:val="20"/>
                <w:szCs w:val="20"/>
              </w:rPr>
              <w:t xml:space="preserve">Данные МИС</w:t>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Полное официальное наименование МИС</w:t>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p>
        </w:tc>
      </w:tr>
      <w:tr>
        <w:tblPrEx/>
        <w:trPr>
          <w:trHeight w:val="25"/>
        </w:trPr>
        <w:tc>
          <w:tcPr>
            <w:shd w:val="clear" w:color="auto" w:fill="auto"/>
            <w:tcW w:w="4961" w:type="dxa"/>
            <w:textDirection w:val="lrTb"/>
            <w:noWrap w:val="false"/>
          </w:tcPr>
          <w:p>
            <w:pPr>
              <w:rPr>
                <w:sz w:val="20"/>
                <w:szCs w:val="20"/>
              </w:rPr>
            </w:pPr>
            <w:r>
              <w:rPr>
                <w:color w:val="000000" w:themeColor="text1"/>
                <w:sz w:val="20"/>
                <w:szCs w:val="20"/>
                <w:shd w:val="clear" w:color="auto" w:fill="ffffff"/>
              </w:rPr>
              <w:t xml:space="preserve">Краткое наименование МИС</w:t>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p>
        </w:tc>
      </w:tr>
      <w:tr>
        <w:tblPrEx/>
        <w:trPr>
          <w:trHeight w:val="68"/>
        </w:trPr>
        <w:tc>
          <w:tcPr>
            <w:shd w:val="clear" w:color="auto" w:fill="auto"/>
            <w:tcW w:w="4961" w:type="dxa"/>
            <w:textDirection w:val="lrTb"/>
            <w:noWrap w:val="false"/>
          </w:tcPr>
          <w:p>
            <w:pPr>
              <w:rPr>
                <w:sz w:val="20"/>
                <w:szCs w:val="20"/>
              </w:rPr>
            </w:pPr>
            <w:r>
              <w:rPr>
                <w:sz w:val="20"/>
                <w:szCs w:val="20"/>
              </w:rPr>
              <w:t xml:space="preserve">Адрес места нахождения правообладателя МИС (с индексом)</w:t>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p>
        </w:tc>
      </w:tr>
      <w:tr>
        <w:tblPrEx/>
        <w:trPr>
          <w:trHeight w:val="963"/>
        </w:trPr>
        <w:tc>
          <w:tcPr>
            <w:shd w:val="clear" w:color="auto" w:fill="auto"/>
            <w:tcW w:w="4961" w:type="dxa"/>
            <w:textDirection w:val="lrTb"/>
            <w:noWrap w:val="false"/>
          </w:tcPr>
          <w:p>
            <w:pPr>
              <w:rPr>
                <w:sz w:val="20"/>
                <w:szCs w:val="20"/>
              </w:rPr>
            </w:pPr>
            <w:r>
              <w:rPr>
                <w:sz w:val="20"/>
                <w:szCs w:val="20"/>
              </w:rPr>
              <w:t xml:space="preserve">Представитель правообладателя МИС (для связи):</w:t>
            </w:r>
            <w:r>
              <w:rPr>
                <w:sz w:val="20"/>
                <w:szCs w:val="20"/>
              </w:rPr>
            </w:r>
          </w:p>
          <w:p>
            <w:pPr>
              <w:rPr>
                <w:sz w:val="20"/>
                <w:szCs w:val="20"/>
              </w:rPr>
            </w:pPr>
            <w:r>
              <w:rPr>
                <w:sz w:val="20"/>
                <w:szCs w:val="20"/>
              </w:rPr>
              <w:t xml:space="preserve">ФИО</w:t>
            </w:r>
            <w:r>
              <w:rPr>
                <w:sz w:val="20"/>
                <w:szCs w:val="20"/>
              </w:rPr>
            </w:r>
          </w:p>
          <w:p>
            <w:pPr>
              <w:rPr>
                <w:sz w:val="20"/>
                <w:szCs w:val="20"/>
              </w:rPr>
            </w:pPr>
            <w:r>
              <w:rPr>
                <w:sz w:val="20"/>
                <w:szCs w:val="20"/>
              </w:rPr>
              <w:t xml:space="preserve">электронная почта</w:t>
            </w:r>
            <w:r>
              <w:rPr>
                <w:sz w:val="20"/>
                <w:szCs w:val="20"/>
              </w:rPr>
            </w:r>
          </w:p>
          <w:p>
            <w:pPr>
              <w:rPr>
                <w:sz w:val="20"/>
                <w:szCs w:val="20"/>
              </w:rPr>
            </w:pPr>
            <w:r>
              <w:rPr>
                <w:sz w:val="20"/>
                <w:szCs w:val="20"/>
              </w:rPr>
              <w:t xml:space="preserve">телефон</w:t>
            </w:r>
            <w:r>
              <w:rPr>
                <w:sz w:val="20"/>
                <w:szCs w:val="20"/>
              </w:rPr>
            </w:r>
          </w:p>
        </w:tc>
        <w:tc>
          <w:tcPr>
            <w:shd w:val="clear" w:color="auto" w:fill="auto"/>
            <w:tcW w:w="4678" w:type="dxa"/>
            <w:textDirection w:val="lrTb"/>
            <w:noWrap w:val="false"/>
          </w:tcPr>
          <w:p>
            <w:pPr>
              <w:jc w:val="both"/>
              <w:rPr>
                <w:sz w:val="20"/>
                <w:szCs w:val="20"/>
              </w:rPr>
            </w:pPr>
            <w:r>
              <w:rPr>
                <w:sz w:val="20"/>
                <w:szCs w:val="20"/>
              </w:rPr>
            </w:r>
            <w:r>
              <w:rPr>
                <w:sz w:val="20"/>
                <w:szCs w:val="20"/>
              </w:rPr>
            </w:r>
          </w:p>
        </w:tc>
      </w:tr>
    </w:tbl>
    <w:p>
      <w:pPr>
        <w:pStyle w:val="773"/>
        <w:contextualSpacing w:val="0"/>
        <w:ind w:left="0"/>
        <w:rPr>
          <w:bCs/>
          <w:iCs/>
          <w:sz w:val="20"/>
          <w:szCs w:val="20"/>
        </w:rPr>
      </w:pP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773"/>
        <w:contextualSpacing w:val="0"/>
        <w:ind w:left="0"/>
        <w:rPr>
          <w:sz w:val="20"/>
          <w:szCs w:val="20"/>
        </w:rPr>
      </w:pPr>
      <w:r>
        <w:rPr>
          <w:bCs/>
          <w:iCs/>
          <w:sz w:val="20"/>
          <w:szCs w:val="20"/>
        </w:rPr>
        <w:br w:type="page" w:clear="all"/>
      </w:r>
      <w:r>
        <w:rPr>
          <w:sz w:val="20"/>
          <w:szCs w:val="20"/>
        </w:rPr>
      </w:r>
    </w:p>
    <w:p>
      <w:pPr>
        <w:pStyle w:val="773"/>
        <w:contextualSpacing w:val="0"/>
        <w:ind w:left="0" w:firstLine="426"/>
        <w:jc w:val="both"/>
        <w:rPr>
          <w:sz w:val="20"/>
          <w:szCs w:val="20"/>
          <w:highlight w:val="none"/>
        </w:rPr>
      </w:pPr>
      <w:r>
        <w:rPr>
          <w:bCs/>
          <w:iCs/>
          <w:sz w:val="20"/>
          <w:szCs w:val="20"/>
          <w:highlight w:val="none"/>
        </w:rPr>
      </w:r>
      <w:r>
        <w:rPr>
          <w:bCs/>
          <w:iCs/>
          <w:sz w:val="20"/>
          <w:szCs w:val="20"/>
          <w:highlight w:val="none"/>
        </w:rPr>
      </w:r>
    </w:p>
    <w:p>
      <w:pPr>
        <w:pStyle w:val="773"/>
        <w:contextualSpacing w:val="0"/>
        <w:ind w:left="0" w:firstLine="426"/>
        <w:jc w:val="both"/>
        <w:rPr>
          <w:iCs/>
          <w:sz w:val="20"/>
          <w:szCs w:val="20"/>
          <w:highlight w:val="none"/>
        </w:rPr>
      </w:pPr>
      <w:r>
        <w:rPr>
          <w:bCs/>
          <w:iCs/>
          <w:sz w:val="20"/>
          <w:szCs w:val="20"/>
        </w:rPr>
        <w:t xml:space="preserve">** Является разовой услугой за каждую медицинскую организацию, стоимость включает НДС по ставке 2</w:t>
      </w:r>
      <w:r>
        <w:rPr>
          <w:bCs/>
          <w:iCs/>
          <w:sz w:val="20"/>
          <w:szCs w:val="20"/>
        </w:rPr>
        <w:t xml:space="preserve">2</w:t>
      </w:r>
      <w:r>
        <w:rPr>
          <w:bCs/>
          <w:iCs/>
          <w:sz w:val="20"/>
          <w:szCs w:val="20"/>
        </w:rPr>
        <w:t xml:space="preserve">%. Лицензиат обязан осуществить оплату в течение 5 (пяти) рабочих дней с момента получения Счета. </w:t>
      </w:r>
      <w:r>
        <w:rPr>
          <w:iCs/>
          <w:sz w:val="20"/>
          <w:szCs w:val="20"/>
          <w:highlight w:val="none"/>
        </w:rPr>
      </w:r>
    </w:p>
    <w:p>
      <w:pPr>
        <w:pStyle w:val="773"/>
        <w:contextualSpacing w:val="0"/>
        <w:ind w:left="0" w:firstLine="426"/>
        <w:jc w:val="both"/>
        <w:rPr>
          <w:bCs/>
          <w:iCs/>
          <w:sz w:val="20"/>
          <w:szCs w:val="20"/>
        </w:rPr>
      </w:pPr>
      <w:r>
        <w:rPr>
          <w:bCs/>
          <w:iCs/>
          <w:sz w:val="20"/>
          <w:szCs w:val="20"/>
        </w:rPr>
        <w:t xml:space="preserve">Подключение к ГИС субъекта РФ для передачи </w:t>
      </w:r>
      <w:r>
        <w:rPr>
          <w:bCs/>
          <w:iCs/>
          <w:sz w:val="20"/>
          <w:szCs w:val="20"/>
        </w:rPr>
        <w:t xml:space="preserve">данных  в</w:t>
      </w:r>
      <w:r>
        <w:rPr>
          <w:bCs/>
          <w:iCs/>
          <w:sz w:val="20"/>
          <w:szCs w:val="20"/>
        </w:rPr>
        <w:t xml:space="preserve"> РЭМД доступно только на тарифах «Базовый», «Профи», «Максимальный», «Индивидуальный».</w:t>
      </w:r>
      <w:bookmarkStart w:id="18" w:name="_GoBack"/>
      <w:r/>
      <w:bookmarkEnd w:id="18"/>
      <w:r/>
      <w:r>
        <w:rPr>
          <w:bCs/>
          <w:iCs/>
          <w:sz w:val="20"/>
          <w:szCs w:val="20"/>
        </w:rPr>
      </w:r>
    </w:p>
    <w:p>
      <w:pPr>
        <w:pStyle w:val="773"/>
        <w:contextualSpacing w:val="0"/>
        <w:ind w:left="0" w:firstLine="426"/>
        <w:jc w:val="both"/>
        <w:rPr>
          <w:bCs/>
          <w:iCs/>
          <w:sz w:val="20"/>
          <w:szCs w:val="20"/>
        </w:rPr>
      </w:pPr>
      <w:r>
        <w:rPr>
          <w:bCs/>
          <w:iCs/>
          <w:sz w:val="20"/>
          <w:szCs w:val="20"/>
        </w:rPr>
        <w:t xml:space="preserve">Вознаграждение Лицензиара за неисключительную лицензию на право использования программы для ЭВМ налогом на добавленную стоимость не облагается в соответствии с </w:t>
      </w:r>
      <w:r>
        <w:rPr>
          <w:bCs/>
          <w:iCs/>
          <w:sz w:val="20"/>
          <w:szCs w:val="20"/>
        </w:rPr>
        <w:t xml:space="preserve">п.п</w:t>
      </w:r>
      <w:r>
        <w:rPr>
          <w:bCs/>
          <w:iCs/>
          <w:sz w:val="20"/>
          <w:szCs w:val="20"/>
        </w:rPr>
        <w:t xml:space="preserve">. 26 п. 2 ст. 149 Налогового кодекса Российской Федерации, за исключением случаев оказания иных услуг, прямо указанных в настоящем Договоре или дополнительных соглашениях у нему. </w:t>
      </w:r>
      <w:r>
        <w:rPr>
          <w:bCs/>
          <w:iCs/>
          <w:sz w:val="20"/>
          <w:szCs w:val="20"/>
        </w:rPr>
      </w:r>
    </w:p>
    <w:p>
      <w:pPr>
        <w:pStyle w:val="773"/>
        <w:contextualSpacing w:val="0"/>
        <w:ind w:left="0" w:firstLine="426"/>
        <w:jc w:val="both"/>
        <w:rPr>
          <w:bCs/>
          <w:iCs/>
          <w:sz w:val="20"/>
          <w:szCs w:val="20"/>
        </w:rPr>
      </w:pPr>
      <w:r>
        <w:rPr>
          <w:bCs/>
          <w:iCs/>
          <w:sz w:val="20"/>
          <w:szCs w:val="20"/>
        </w:rPr>
      </w:r>
      <w:r>
        <w:rPr>
          <w:bCs/>
          <w:iCs/>
          <w:sz w:val="20"/>
          <w:szCs w:val="20"/>
        </w:rPr>
      </w:r>
    </w:p>
    <w:p>
      <w:pPr>
        <w:pStyle w:val="773"/>
        <w:contextualSpacing w:val="0"/>
        <w:ind w:left="0"/>
        <w:rPr>
          <w:sz w:val="20"/>
          <w:szCs w:val="20"/>
        </w:rPr>
      </w:pPr>
      <w:r>
        <w:rPr>
          <w:bCs/>
          <w:iCs/>
          <w:sz w:val="20"/>
          <w:szCs w:val="20"/>
        </w:rPr>
        <w:t xml:space="preserve">Приложение № 4</w:t>
      </w:r>
      <w:r>
        <w:rPr>
          <w:bCs/>
          <w:iCs/>
          <w:sz w:val="20"/>
          <w:szCs w:val="20"/>
        </w:rPr>
        <w:br/>
        <w:t xml:space="preserve">к Договору № </w:t>
      </w:r>
      <w:bookmarkStart w:id="20" w:name="Номер_договора_4"/>
      <w:r>
        <w:rPr>
          <w:bCs/>
          <w:iCs/>
          <w:sz w:val="20"/>
          <w:szCs w:val="20"/>
        </w:rPr>
        <w:t xml:space="preserve">438-МО-2026</w:t>
      </w:r>
      <w:bookmarkEnd w:id="20"/>
      <w:r>
        <w:rPr>
          <w:bCs/>
          <w:iCs/>
          <w:sz w:val="20"/>
          <w:szCs w:val="20"/>
        </w:rPr>
        <w:t xml:space="preserve"> </w:t>
      </w:r>
      <w:r>
        <w:rPr>
          <w:sz w:val="20"/>
          <w:szCs w:val="20"/>
        </w:rPr>
        <w:t xml:space="preserve">от </w:t>
      </w:r>
      <w:bookmarkStart w:id="21" w:name="Дата_4"/>
      <w:r>
        <w:rPr>
          <w:sz w:val="20"/>
          <w:szCs w:val="20"/>
        </w:rPr>
        <w:t xml:space="preserve">17.04.2026</w:t>
      </w:r>
      <w:bookmarkEnd w:id="21"/>
      <w:r/>
      <w:r>
        <w:rPr>
          <w:sz w:val="20"/>
          <w:szCs w:val="20"/>
        </w:rPr>
      </w:r>
    </w:p>
    <w:p>
      <w:pPr>
        <w:jc w:val="both"/>
        <w:spacing w:line="276" w:lineRule="auto"/>
        <w:rPr>
          <w:bCs/>
          <w:iCs/>
          <w:sz w:val="20"/>
          <w:szCs w:val="20"/>
        </w:rPr>
      </w:pPr>
      <w:r>
        <w:rPr>
          <w:bCs/>
          <w:iCs/>
          <w:sz w:val="20"/>
          <w:szCs w:val="20"/>
        </w:rPr>
      </w:r>
      <w:r>
        <w:rPr>
          <w:bCs/>
          <w:iCs/>
          <w:sz w:val="20"/>
          <w:szCs w:val="20"/>
        </w:rPr>
      </w:r>
    </w:p>
    <w:p>
      <w:pPr>
        <w:jc w:val="center"/>
        <w:spacing w:line="276" w:lineRule="auto"/>
        <w:rPr>
          <w:b/>
          <w:bCs/>
          <w:sz w:val="20"/>
        </w:rPr>
      </w:pPr>
      <w:r>
        <w:rPr>
          <w:b/>
          <w:bCs/>
          <w:sz w:val="20"/>
        </w:rPr>
        <w:t xml:space="preserve">О включении подсистемы MILA в состав передаваемых Лицензиату компонентов</w:t>
      </w:r>
      <w:r>
        <w:t xml:space="preserve"> </w:t>
      </w:r>
      <w:r>
        <w:rPr>
          <w:b/>
          <w:bCs/>
          <w:sz w:val="20"/>
        </w:rPr>
        <w:t xml:space="preserve">программного комплекса N</w:t>
      </w:r>
      <w:r>
        <w:rPr>
          <w:b/>
          <w:bCs/>
          <w:sz w:val="20"/>
        </w:rPr>
        <w:t xml:space="preserve">3.Health</w:t>
      </w:r>
      <w:r>
        <w:rPr>
          <w:b/>
          <w:bCs/>
          <w:sz w:val="20"/>
        </w:rPr>
      </w:r>
    </w:p>
    <w:p>
      <w:pPr>
        <w:jc w:val="both"/>
        <w:spacing w:line="276" w:lineRule="auto"/>
        <w:rPr>
          <w:sz w:val="20"/>
        </w:rPr>
      </w:pPr>
      <w:r>
        <w:rPr>
          <w:sz w:val="20"/>
        </w:rPr>
      </w:r>
      <w:r>
        <w:rPr>
          <w:sz w:val="20"/>
        </w:rPr>
      </w:r>
    </w:p>
    <w:p>
      <w:pPr>
        <w:jc w:val="both"/>
        <w:rPr>
          <w:sz w:val="20"/>
        </w:rPr>
      </w:pPr>
      <w:r>
        <w:rPr>
          <w:sz w:val="20"/>
        </w:rPr>
        <w:t xml:space="preserve">Настоящее приложение является неотъемлемой частью договора № </w:t>
      </w:r>
      <w:bookmarkStart w:id="22" w:name="Номер_договора_5"/>
      <w:r>
        <w:rPr>
          <w:bCs/>
          <w:iCs/>
          <w:sz w:val="20"/>
          <w:szCs w:val="20"/>
        </w:rPr>
        <w:t xml:space="preserve">438-МО-2026</w:t>
      </w:r>
      <w:bookmarkEnd w:id="22"/>
      <w:r>
        <w:rPr>
          <w:bCs/>
          <w:iCs/>
          <w:sz w:val="20"/>
          <w:szCs w:val="20"/>
        </w:rPr>
        <w:t xml:space="preserve"> </w:t>
      </w:r>
      <w:r>
        <w:rPr>
          <w:sz w:val="20"/>
          <w:szCs w:val="20"/>
        </w:rPr>
        <w:t xml:space="preserve">от </w:t>
      </w:r>
      <w:bookmarkStart w:id="23" w:name="Дата_5"/>
      <w:r>
        <w:rPr>
          <w:sz w:val="20"/>
          <w:szCs w:val="20"/>
        </w:rPr>
        <w:t xml:space="preserve">17.04.2026</w:t>
      </w:r>
      <w:bookmarkEnd w:id="23"/>
      <w:r>
        <w:rPr>
          <w:sz w:val="20"/>
        </w:rPr>
        <w:t xml:space="preserve"> </w:t>
      </w:r>
      <w:r>
        <w:rPr>
          <w:sz w:val="20"/>
        </w:rPr>
        <w:t xml:space="preserve">(далее – «Договор»), заключенного между </w:t>
      </w:r>
      <w:r>
        <w:rPr>
          <w:sz w:val="20"/>
        </w:rPr>
        <w:t xml:space="preserve">О</w:t>
      </w:r>
      <w:r>
        <w:rPr>
          <w:sz w:val="20"/>
        </w:rPr>
        <w:t xml:space="preserve">бществом с ограниченной ответственностью «</w:t>
      </w:r>
      <w:r>
        <w:rPr>
          <w:sz w:val="20"/>
        </w:rPr>
        <w:t xml:space="preserve">ЭлНетМед</w:t>
      </w:r>
      <w:r>
        <w:rPr>
          <w:sz w:val="20"/>
        </w:rPr>
        <w:t xml:space="preserve">» (ОГРН 1147847364323), именуемого в дальнейшем «Лицензиар» в лице </w:t>
      </w:r>
      <w:r>
        <w:rPr>
          <w:sz w:val="20"/>
          <w:szCs w:val="20"/>
        </w:rPr>
        <w:t xml:space="preserve">Коммерческого директора</w:t>
      </w:r>
      <w:r>
        <w:rPr>
          <w:sz w:val="20"/>
          <w:szCs w:val="20"/>
        </w:rPr>
        <w:t xml:space="preserve"> </w:t>
      </w:r>
      <w:r>
        <w:rPr>
          <w:sz w:val="20"/>
          <w:szCs w:val="20"/>
        </w:rPr>
        <w:t xml:space="preserve">Вольниковой</w:t>
      </w:r>
      <w:r>
        <w:rPr>
          <w:sz w:val="20"/>
          <w:szCs w:val="20"/>
        </w:rPr>
        <w:t xml:space="preserve"> Дарии Викторовны, действующ</w:t>
      </w:r>
      <w:r>
        <w:rPr>
          <w:sz w:val="20"/>
          <w:szCs w:val="20"/>
        </w:rPr>
        <w:t xml:space="preserve">ей</w:t>
      </w:r>
      <w:r>
        <w:rPr>
          <w:sz w:val="20"/>
          <w:szCs w:val="20"/>
        </w:rPr>
        <w:t xml:space="preserve"> на основании доверенности №</w:t>
      </w:r>
      <w:r>
        <w:rPr>
          <w:sz w:val="20"/>
          <w:szCs w:val="20"/>
        </w:rPr>
        <w:t xml:space="preserve">13/2026</w:t>
      </w:r>
      <w:r>
        <w:rPr>
          <w:sz w:val="20"/>
          <w:szCs w:val="20"/>
        </w:rPr>
        <w:t xml:space="preserve"> от </w:t>
      </w:r>
      <w:r>
        <w:rPr>
          <w:sz w:val="20"/>
          <w:szCs w:val="20"/>
        </w:rPr>
        <w:t xml:space="preserve">02</w:t>
      </w:r>
      <w:r>
        <w:rPr>
          <w:sz w:val="20"/>
          <w:szCs w:val="20"/>
        </w:rPr>
        <w:t xml:space="preserve">.0</w:t>
      </w:r>
      <w:r>
        <w:rPr>
          <w:sz w:val="20"/>
          <w:szCs w:val="20"/>
        </w:rPr>
        <w:t xml:space="preserve">2</w:t>
      </w:r>
      <w:r>
        <w:rPr>
          <w:sz w:val="20"/>
          <w:szCs w:val="20"/>
        </w:rPr>
        <w:t xml:space="preserve">.202</w:t>
      </w:r>
      <w:r>
        <w:rPr>
          <w:sz w:val="20"/>
          <w:szCs w:val="20"/>
        </w:rPr>
        <w:t xml:space="preserve">6</w:t>
      </w:r>
      <w:r>
        <w:rPr>
          <w:sz w:val="20"/>
        </w:rPr>
        <w:t xml:space="preserve"> и </w:t>
      </w:r>
      <w:bookmarkStart w:id="24" w:name="Полное_наименование_1"/>
      <w:r>
        <w:rPr>
          <w:sz w:val="20"/>
        </w:rPr>
        <w:t xml:space="preserve">ФЕДЕРАЛЬНОЕ ГОСУДАРСТВЕННОЕ БЮДЖЕТНОЕ НАУЧНОЕ УЧРЕЖДЕНИЕ "РОССИЙСКИЙ ЦЕНТР НЕВРОЛОГИИ И НЕЙРОНАУК"</w:t>
      </w:r>
      <w:bookmarkEnd w:id="24"/>
      <w:r>
        <w:rPr>
          <w:sz w:val="20"/>
        </w:rPr>
        <w:t xml:space="preserve"> (ОГРН </w:t>
      </w:r>
      <w:bookmarkStart w:id="25" w:name="ОГРН_2"/>
      <w:r>
        <w:rPr>
          <w:sz w:val="20"/>
        </w:rPr>
        <w:t xml:space="preserve">1027739766812</w:t>
      </w:r>
      <w:bookmarkEnd w:id="25"/>
      <w:r>
        <w:rPr>
          <w:sz w:val="20"/>
        </w:rPr>
        <w:t xml:space="preserve">), именуемого в дальнейшем  «Лицензиат», в лице </w:t>
      </w:r>
      <w:bookmarkStart w:id="26" w:name="Должность_представителя_5"/>
      <w:r>
        <w:rPr>
          <w:sz w:val="20"/>
        </w:rPr>
        <w:t xml:space="preserve">Директор</w:t>
      </w:r>
      <w:bookmarkEnd w:id="26"/>
      <w:r>
        <w:rPr>
          <w:sz w:val="20"/>
        </w:rPr>
        <w:t xml:space="preserve"> </w:t>
      </w:r>
      <w:bookmarkStart w:id="27" w:name="ФИО_представителя_1"/>
      <w:r>
        <w:rPr>
          <w:sz w:val="20"/>
        </w:rPr>
        <w:t xml:space="preserve">Пирадов</w:t>
      </w:r>
      <w:r>
        <w:rPr>
          <w:sz w:val="20"/>
        </w:rPr>
        <w:t xml:space="preserve"> Михаил Александрович</w:t>
      </w:r>
      <w:bookmarkEnd w:id="27"/>
      <w:r>
        <w:rPr>
          <w:sz w:val="20"/>
        </w:rPr>
        <w:t xml:space="preserve">, действующего на основании </w:t>
      </w:r>
      <w:bookmarkStart w:id="28" w:name="Основание_1"/>
      <w:r>
        <w:rPr>
          <w:sz w:val="20"/>
        </w:rPr>
        <w:t xml:space="preserve">устава</w:t>
      </w:r>
      <w:bookmarkEnd w:id="28"/>
      <w:r>
        <w:rPr>
          <w:sz w:val="20"/>
        </w:rPr>
        <w:t xml:space="preserve">. </w:t>
      </w:r>
      <w:r>
        <w:rPr>
          <w:sz w:val="20"/>
        </w:rPr>
      </w:r>
    </w:p>
    <w:p>
      <w:pPr>
        <w:jc w:val="both"/>
        <w:rPr>
          <w:sz w:val="20"/>
          <w:szCs w:val="20"/>
        </w:rPr>
      </w:pPr>
      <w:r>
        <w:rPr>
          <w:sz w:val="20"/>
          <w:szCs w:val="20"/>
        </w:rPr>
      </w:r>
      <w:r>
        <w:rPr>
          <w:sz w:val="20"/>
          <w:szCs w:val="20"/>
        </w:rPr>
      </w:r>
    </w:p>
    <w:p>
      <w:pPr>
        <w:jc w:val="both"/>
        <w:spacing w:line="276" w:lineRule="auto"/>
        <w:rPr>
          <w:sz w:val="20"/>
        </w:rPr>
      </w:pPr>
      <w:r>
        <w:rPr>
          <w:sz w:val="20"/>
        </w:rPr>
        <w:t xml:space="preserve">Настоящее приложение устанавливает включение в состав передаваемых Лицензиату в соответствии с положениями Договора на условиях простой (неисключительной) лицензии результатов интеллектуальной деятельности - подсистемы </w:t>
      </w:r>
      <w:r>
        <w:rPr>
          <w:sz w:val="20"/>
          <w:lang w:val="en-US"/>
        </w:rPr>
        <w:t xml:space="preserve">MILA</w:t>
      </w:r>
      <w:r>
        <w:rPr>
          <w:sz w:val="20"/>
        </w:rPr>
        <w:t xml:space="preserve"> программного комплекса </w:t>
      </w:r>
      <w:r>
        <w:rPr>
          <w:sz w:val="20"/>
          <w:lang w:val="en-US"/>
        </w:rPr>
        <w:t xml:space="preserve">N</w:t>
      </w:r>
      <w:r>
        <w:rPr>
          <w:sz w:val="20"/>
        </w:rPr>
        <w:t xml:space="preserve">3.</w:t>
      </w:r>
      <w:r>
        <w:rPr>
          <w:sz w:val="20"/>
          <w:lang w:val="en-US"/>
        </w:rPr>
        <w:t xml:space="preserve">Health</w:t>
      </w:r>
      <w:r>
        <w:rPr>
          <w:sz w:val="20"/>
        </w:rPr>
        <w:t xml:space="preserve"> с доступом в Личный кабинет партнера, а также с доступом к функционалу </w:t>
      </w:r>
      <w:r>
        <w:rPr>
          <w:sz w:val="20"/>
          <w:lang w:val="en-US"/>
        </w:rPr>
        <w:t xml:space="preserve">MILA</w:t>
      </w:r>
      <w:r>
        <w:rPr>
          <w:sz w:val="20"/>
        </w:rPr>
        <w:t xml:space="preserve"> </w:t>
      </w:r>
      <w:r>
        <w:rPr>
          <w:sz w:val="20"/>
        </w:rPr>
        <w:t xml:space="preserve">MedAssistant</w:t>
      </w:r>
      <w:r>
        <w:rPr>
          <w:sz w:val="20"/>
        </w:rPr>
        <w:t xml:space="preserve">, </w:t>
      </w:r>
      <w:r>
        <w:rPr>
          <w:sz w:val="20"/>
          <w:lang w:val="en-US"/>
        </w:rPr>
        <w:t xml:space="preserve">MILA</w:t>
      </w:r>
      <w:r>
        <w:rPr>
          <w:sz w:val="20"/>
        </w:rPr>
        <w:t xml:space="preserve"> </w:t>
      </w:r>
      <w:r>
        <w:rPr>
          <w:sz w:val="20"/>
          <w:lang w:val="en-US"/>
        </w:rPr>
        <w:t xml:space="preserve">Widget</w:t>
      </w:r>
      <w:r>
        <w:rPr>
          <w:sz w:val="20"/>
        </w:rPr>
        <w:t xml:space="preserve"> (далее  - «РИД»).</w:t>
      </w:r>
      <w:r>
        <w:rPr>
          <w:sz w:val="20"/>
        </w:rPr>
      </w:r>
    </w:p>
    <w:p>
      <w:pPr>
        <w:pStyle w:val="773"/>
        <w:numPr>
          <w:ilvl w:val="0"/>
          <w:numId w:val="25"/>
        </w:numPr>
        <w:jc w:val="both"/>
        <w:spacing w:after="160" w:line="276" w:lineRule="auto"/>
        <w:rPr>
          <w:sz w:val="20"/>
        </w:rPr>
      </w:pPr>
      <w:r>
        <w:rPr>
          <w:sz w:val="20"/>
        </w:rPr>
        <w:t xml:space="preserve">Вознаграждение Лицензиара за права, передаваемые в соответствии с настоящим Приложением, включено в стоимость Договора. </w:t>
      </w:r>
      <w:r>
        <w:rPr>
          <w:sz w:val="20"/>
        </w:rPr>
      </w:r>
    </w:p>
    <w:p>
      <w:pPr>
        <w:pStyle w:val="773"/>
        <w:numPr>
          <w:ilvl w:val="0"/>
          <w:numId w:val="25"/>
        </w:numPr>
        <w:jc w:val="both"/>
        <w:spacing w:after="160" w:line="276" w:lineRule="auto"/>
        <w:rPr>
          <w:sz w:val="20"/>
        </w:rPr>
      </w:pPr>
      <w:r>
        <w:rPr>
          <w:sz w:val="20"/>
        </w:rPr>
        <w:t xml:space="preserve">Лицензиар предоставляет Лицензиату право использования РИД путем удаленного доступа на условиях простой (неисключ</w:t>
      </w:r>
      <w:r>
        <w:rPr>
          <w:sz w:val="20"/>
        </w:rPr>
        <w:t xml:space="preserve">ительной) лицензии. Лицензиат не вправе изменять наименование РИД, изменять и/или удалять знаки охраны авторского права или иное указание на Лицензиара, если иное не предусмотрено договором или тарифным планом, согласованным между Лицензиатом и Лицензиаром</w:t>
      </w:r>
      <w:r>
        <w:rPr>
          <w:sz w:val="20"/>
        </w:rPr>
      </w:r>
    </w:p>
    <w:p>
      <w:pPr>
        <w:pStyle w:val="773"/>
        <w:numPr>
          <w:ilvl w:val="0"/>
          <w:numId w:val="25"/>
        </w:numPr>
        <w:jc w:val="both"/>
        <w:spacing w:after="160" w:line="276" w:lineRule="auto"/>
        <w:rPr>
          <w:sz w:val="20"/>
        </w:rPr>
      </w:pPr>
      <w:r>
        <w:rPr>
          <w:sz w:val="20"/>
        </w:rPr>
        <w:t xml:space="preserve">Лицензиар передаёт Лицензиату право использования РИД по принципу «как есть». Лицензиар не гарантирует, что все его функциональные возможности будут отвечать требованиям и ожиданиям Лицензиата и применимы для конкретной цели.</w:t>
      </w:r>
      <w:r>
        <w:rPr>
          <w:sz w:val="20"/>
        </w:rPr>
      </w:r>
    </w:p>
    <w:p>
      <w:pPr>
        <w:pStyle w:val="773"/>
        <w:numPr>
          <w:ilvl w:val="0"/>
          <w:numId w:val="25"/>
        </w:numPr>
        <w:jc w:val="both"/>
        <w:spacing w:after="160" w:line="276" w:lineRule="auto"/>
        <w:rPr>
          <w:sz w:val="20"/>
        </w:rPr>
      </w:pPr>
      <w:r>
        <w:rPr>
          <w:sz w:val="20"/>
        </w:rPr>
        <w:t xml:space="preserve">Функциональное описание РИД приведено в информационно-те</w:t>
      </w:r>
      <w:r>
        <w:rPr>
          <w:sz w:val="20"/>
        </w:rPr>
        <w:t xml:space="preserve">лекоммуникационной сети «Интернет» по следующей гиперссылке api.n3health.ru и является неотъемлемой частью настоящего Приложения. Функциональное описание, приведенное по гиперссылке в настоящем пункте, может изменяться Лицензиаром в одностороннем порядке. </w:t>
      </w:r>
      <w:r>
        <w:rPr>
          <w:sz w:val="20"/>
        </w:rPr>
      </w:r>
    </w:p>
    <w:p>
      <w:pPr>
        <w:pStyle w:val="773"/>
        <w:numPr>
          <w:ilvl w:val="0"/>
          <w:numId w:val="25"/>
        </w:numPr>
        <w:jc w:val="both"/>
        <w:spacing w:after="160" w:line="276" w:lineRule="auto"/>
        <w:rPr>
          <w:sz w:val="20"/>
        </w:rPr>
      </w:pPr>
      <w:r>
        <w:rPr>
          <w:sz w:val="20"/>
        </w:rPr>
        <w:t xml:space="preserve">В случае обработки Лицензиатом персональных данных физических лиц посредством РИД, Лицензиат обязуется гарантировать:</w:t>
      </w:r>
      <w:r>
        <w:rPr>
          <w:sz w:val="20"/>
        </w:rPr>
      </w:r>
    </w:p>
    <w:p>
      <w:pPr>
        <w:pStyle w:val="773"/>
        <w:numPr>
          <w:ilvl w:val="1"/>
          <w:numId w:val="25"/>
        </w:numPr>
        <w:jc w:val="both"/>
        <w:spacing w:after="160" w:line="276" w:lineRule="auto"/>
        <w:rPr>
          <w:sz w:val="20"/>
        </w:rPr>
      </w:pPr>
      <w:r>
        <w:rPr>
          <w:sz w:val="20"/>
        </w:rPr>
        <w:t xml:space="preserve">Наличие согласия физических лиц или иного правового основания на обработку персональных данных физических лиц для исполнения обязательств Лицензиата перед ними;</w:t>
      </w:r>
      <w:r>
        <w:rPr>
          <w:sz w:val="20"/>
        </w:rPr>
      </w:r>
    </w:p>
    <w:p>
      <w:pPr>
        <w:pStyle w:val="773"/>
        <w:numPr>
          <w:ilvl w:val="1"/>
          <w:numId w:val="25"/>
        </w:numPr>
        <w:jc w:val="both"/>
        <w:spacing w:after="160" w:line="276" w:lineRule="auto"/>
        <w:rPr>
          <w:sz w:val="20"/>
        </w:rPr>
      </w:pPr>
      <w:r>
        <w:rPr>
          <w:sz w:val="20"/>
        </w:rPr>
        <w:t xml:space="preserve">Получение персональных данных законными способами и совместимость целей, указанных при сборе персональных данных, с целями исполнения договоров, заключенных с между Лицензиатом и физическими лицами.</w:t>
      </w:r>
      <w:r>
        <w:rPr>
          <w:sz w:val="20"/>
        </w:rPr>
      </w:r>
    </w:p>
    <w:p>
      <w:pPr>
        <w:pStyle w:val="773"/>
        <w:numPr>
          <w:ilvl w:val="0"/>
          <w:numId w:val="25"/>
        </w:numPr>
        <w:jc w:val="both"/>
        <w:spacing w:after="160" w:line="276" w:lineRule="auto"/>
        <w:rPr>
          <w:sz w:val="20"/>
        </w:rPr>
      </w:pPr>
      <w:r>
        <w:rPr>
          <w:sz w:val="20"/>
        </w:rPr>
        <w:t xml:space="preserve">Настоящее Приложение является неотъемлемой частью Договора, и все вопросы, связанные с ним, будут разрешаться во исполнение и в соответствии с нормами и положениями Договора.</w:t>
      </w:r>
      <w:r>
        <w:rPr>
          <w:sz w:val="20"/>
        </w:rPr>
      </w:r>
    </w:p>
    <w:p>
      <w:pPr>
        <w:pStyle w:val="773"/>
        <w:numPr>
          <w:ilvl w:val="0"/>
          <w:numId w:val="25"/>
        </w:numPr>
        <w:jc w:val="both"/>
        <w:spacing w:after="160" w:line="276" w:lineRule="auto"/>
        <w:rPr>
          <w:sz w:val="20"/>
        </w:rPr>
      </w:pPr>
      <w:r>
        <w:rPr>
          <w:sz w:val="20"/>
        </w:rPr>
        <w:t xml:space="preserve">Настоящее Приложение составлено в 2 (двух) экземплярах, имеющих одинаковую юридическую силу, по одному для каждой из Сторон.</w:t>
      </w:r>
      <w:r>
        <w:rPr>
          <w:sz w:val="20"/>
        </w:rPr>
      </w:r>
    </w:p>
    <w:p>
      <w:pPr>
        <w:pStyle w:val="773"/>
        <w:contextualSpacing w:val="0"/>
        <w:ind w:left="0" w:firstLine="426"/>
        <w:jc w:val="both"/>
        <w:rPr>
          <w:bCs/>
          <w:iCs/>
          <w:sz w:val="20"/>
          <w:szCs w:val="20"/>
        </w:rPr>
      </w:pPr>
      <w:r>
        <w:rPr>
          <w:bCs/>
          <w:iCs/>
          <w:sz w:val="20"/>
          <w:szCs w:val="20"/>
        </w:rPr>
      </w:r>
      <w:r>
        <w:rPr>
          <w:bCs/>
          <w:iCs/>
          <w:sz w:val="20"/>
          <w:szCs w:val="20"/>
        </w:rPr>
      </w:r>
    </w:p>
    <w:tbl>
      <w:tblPr>
        <w:tblW w:w="0" w:type="auto"/>
        <w:tblLayout w:type="fixed"/>
        <w:tblLook w:val="04A0" w:firstRow="1" w:lastRow="0" w:firstColumn="1" w:lastColumn="0" w:noHBand="0" w:noVBand="1"/>
      </w:tblPr>
      <w:tblGrid>
        <w:gridCol w:w="4678"/>
        <w:gridCol w:w="4678"/>
      </w:tblGrid>
      <w:tr>
        <w:tblPrEx/>
        <w:trPr>
          <w:trHeight w:val="308"/>
        </w:trPr>
        <w:tc>
          <w:tcPr>
            <w:tcW w:w="4678" w:type="dxa"/>
            <w:textDirection w:val="lrTb"/>
            <w:noWrap w:val="false"/>
          </w:tcPr>
          <w:p>
            <w:r/>
            <w:r/>
          </w:p>
        </w:tc>
        <w:tc>
          <w:tcPr>
            <w:tcW w:w="4678" w:type="dxa"/>
            <w:textDirection w:val="lrTb"/>
            <w:noWrap w:val="false"/>
          </w:tcPr>
          <w:p>
            <w:r/>
            <w:r/>
          </w:p>
        </w:tc>
      </w:tr>
    </w:tbl>
    <w:p>
      <w:pPr>
        <w:pStyle w:val="773"/>
        <w:contextualSpacing w:val="0"/>
        <w:ind w:left="0" w:firstLine="426"/>
        <w:jc w:val="both"/>
        <w:rPr>
          <w:bCs/>
          <w:iCs/>
          <w:sz w:val="20"/>
          <w:szCs w:val="20"/>
        </w:rPr>
      </w:pPr>
      <w:r>
        <w:rPr>
          <w:bCs/>
          <w:iCs/>
          <w:sz w:val="20"/>
          <w:szCs w:val="20"/>
        </w:rPr>
      </w:r>
      <w:r>
        <w:rPr>
          <w:bCs/>
          <w:iCs/>
          <w:sz w:val="20"/>
          <w:szCs w:val="20"/>
        </w:rPr>
      </w:r>
    </w:p>
    <w:sectPr>
      <w:headerReference w:type="default" r:id="rId10"/>
      <w:footerReference w:type="default" r:id="rId11"/>
      <w:footnotePr/>
      <w:endnotePr/>
      <w:type w:val="nextPage"/>
      <w:pgSz w:w="11906" w:h="16838" w:orient="portrait"/>
      <w:pgMar w:top="284" w:right="707" w:bottom="284" w:left="851" w:header="709" w:footer="391"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alibri Light">
    <w:panose1 w:val="020F0302020204030204"/>
  </w:font>
  <w:font w:name="Times New Roman">
    <w:panose1 w:val="02020603050405020304"/>
  </w:font>
  <w:font w:name="Calibri">
    <w:panose1 w:val="020F0502020204030204"/>
  </w:font>
  <w:font w:name="Courier New">
    <w:panose1 w:val="02070309020205020404"/>
  </w:font>
  <w:font w:name="Tahoma">
    <w:panose1 w:val="020B060403050404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06684834"/>
      <w:rPr/>
    </w:sdtPr>
    <w:sdtContent>
      <w:p>
        <w:pPr>
          <w:pStyle w:val="763"/>
          <w:jc w:val="right"/>
        </w:pPr>
        <w:r>
          <w:fldChar w:fldCharType="begin"/>
        </w:r>
        <w:r>
          <w:instrText xml:space="preserve">PAGE   \* MERGEFORMAT</w:instrText>
        </w:r>
        <w:r>
          <w:fldChar w:fldCharType="separate"/>
        </w:r>
        <w:r>
          <w:t xml:space="preserve">9</w:t>
        </w:r>
        <w:r>
          <w:fldChar w:fldCharType="end"/>
        </w:r>
        <w:r/>
      </w:p>
    </w:sdtContent>
  </w:sdt>
  <w:p>
    <w:pPr>
      <w:pStyle w:val="76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2280" w:hanging="360"/>
      </w:pPr>
      <w:rPr>
        <w:rFonts w:hint="default" w:ascii="Symbol" w:hAnsi="Symbol"/>
      </w:rPr>
    </w:lvl>
    <w:lvl w:ilvl="1">
      <w:start w:val="1"/>
      <w:numFmt w:val="bullet"/>
      <w:isLgl w:val="false"/>
      <w:suff w:val="tab"/>
      <w:lvlText w:val="o"/>
      <w:lvlJc w:val="left"/>
      <w:pPr>
        <w:ind w:left="3000" w:hanging="360"/>
      </w:pPr>
      <w:rPr>
        <w:rFonts w:hint="default" w:ascii="Courier New" w:hAnsi="Courier New" w:cs="Courier New"/>
      </w:rPr>
    </w:lvl>
    <w:lvl w:ilvl="2">
      <w:start w:val="1"/>
      <w:numFmt w:val="bullet"/>
      <w:isLgl w:val="false"/>
      <w:suff w:val="tab"/>
      <w:lvlText w:val=""/>
      <w:lvlJc w:val="left"/>
      <w:pPr>
        <w:ind w:left="3720" w:hanging="360"/>
      </w:pPr>
      <w:rPr>
        <w:rFonts w:hint="default" w:ascii="Wingdings" w:hAnsi="Wingdings"/>
      </w:rPr>
    </w:lvl>
    <w:lvl w:ilvl="3">
      <w:start w:val="1"/>
      <w:numFmt w:val="bullet"/>
      <w:isLgl w:val="false"/>
      <w:suff w:val="tab"/>
      <w:lvlText w:val=""/>
      <w:lvlJc w:val="left"/>
      <w:pPr>
        <w:ind w:left="4440" w:hanging="360"/>
      </w:pPr>
      <w:rPr>
        <w:rFonts w:hint="default" w:ascii="Symbol" w:hAnsi="Symbol"/>
      </w:rPr>
    </w:lvl>
    <w:lvl w:ilvl="4">
      <w:start w:val="1"/>
      <w:numFmt w:val="bullet"/>
      <w:isLgl w:val="false"/>
      <w:suff w:val="tab"/>
      <w:lvlText w:val="o"/>
      <w:lvlJc w:val="left"/>
      <w:pPr>
        <w:ind w:left="5160" w:hanging="360"/>
      </w:pPr>
      <w:rPr>
        <w:rFonts w:hint="default" w:ascii="Courier New" w:hAnsi="Courier New" w:cs="Courier New"/>
      </w:rPr>
    </w:lvl>
    <w:lvl w:ilvl="5">
      <w:start w:val="1"/>
      <w:numFmt w:val="bullet"/>
      <w:isLgl w:val="false"/>
      <w:suff w:val="tab"/>
      <w:lvlText w:val=""/>
      <w:lvlJc w:val="left"/>
      <w:pPr>
        <w:ind w:left="5880" w:hanging="360"/>
      </w:pPr>
      <w:rPr>
        <w:rFonts w:hint="default" w:ascii="Wingdings" w:hAnsi="Wingdings"/>
      </w:rPr>
    </w:lvl>
    <w:lvl w:ilvl="6">
      <w:start w:val="1"/>
      <w:numFmt w:val="bullet"/>
      <w:isLgl w:val="false"/>
      <w:suff w:val="tab"/>
      <w:lvlText w:val=""/>
      <w:lvlJc w:val="left"/>
      <w:pPr>
        <w:ind w:left="6600" w:hanging="360"/>
      </w:pPr>
      <w:rPr>
        <w:rFonts w:hint="default" w:ascii="Symbol" w:hAnsi="Symbol"/>
      </w:rPr>
    </w:lvl>
    <w:lvl w:ilvl="7">
      <w:start w:val="1"/>
      <w:numFmt w:val="bullet"/>
      <w:isLgl w:val="false"/>
      <w:suff w:val="tab"/>
      <w:lvlText w:val="o"/>
      <w:lvlJc w:val="left"/>
      <w:pPr>
        <w:ind w:left="7320" w:hanging="360"/>
      </w:pPr>
      <w:rPr>
        <w:rFonts w:hint="default" w:ascii="Courier New" w:hAnsi="Courier New" w:cs="Courier New"/>
      </w:rPr>
    </w:lvl>
    <w:lvl w:ilvl="8">
      <w:start w:val="1"/>
      <w:numFmt w:val="bullet"/>
      <w:isLgl w:val="false"/>
      <w:suff w:val="tab"/>
      <w:lvlText w:val=""/>
      <w:lvlJc w:val="left"/>
      <w:pPr>
        <w:ind w:left="804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564" w:hanging="564"/>
      </w:pPr>
      <w:rPr>
        <w:rFonts w:hint="default"/>
        <w:sz w:val="20"/>
        <w:szCs w:val="20"/>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4">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7">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8">
    <w:multiLevelType w:val="hybridMultilevel"/>
    <w:lvl w:ilvl="0">
      <w:start w:val="1"/>
      <w:numFmt w:val="bullet"/>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3">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2"/>
      <w:numFmt w:val="decimal"/>
      <w:isLgl w:val="false"/>
      <w:suff w:val="tab"/>
      <w:lvlText w:val="%1"/>
      <w:lvlJc w:val="left"/>
      <w:pPr>
        <w:ind w:left="1647" w:hanging="360"/>
      </w:pPr>
      <w:rPr>
        <w:rFonts w:hint="default"/>
      </w:rPr>
    </w:lvl>
    <w:lvl w:ilvl="1">
      <w:start w:val="1"/>
      <w:numFmt w:val="lowerLetter"/>
      <w:isLgl w:val="false"/>
      <w:suff w:val="tab"/>
      <w:lvlText w:val="%2."/>
      <w:lvlJc w:val="left"/>
      <w:pPr>
        <w:ind w:left="2367" w:hanging="360"/>
      </w:pPr>
    </w:lvl>
    <w:lvl w:ilvl="2">
      <w:start w:val="1"/>
      <w:numFmt w:val="lowerRoman"/>
      <w:isLgl w:val="false"/>
      <w:suff w:val="tab"/>
      <w:lvlText w:val="%3."/>
      <w:lvlJc w:val="right"/>
      <w:pPr>
        <w:ind w:left="3087" w:hanging="180"/>
      </w:pPr>
    </w:lvl>
    <w:lvl w:ilvl="3">
      <w:start w:val="1"/>
      <w:numFmt w:val="decimal"/>
      <w:isLgl w:val="false"/>
      <w:suff w:val="tab"/>
      <w:lvlText w:val="%4."/>
      <w:lvlJc w:val="left"/>
      <w:pPr>
        <w:ind w:left="3807" w:hanging="360"/>
      </w:pPr>
    </w:lvl>
    <w:lvl w:ilvl="4">
      <w:start w:val="1"/>
      <w:numFmt w:val="lowerLetter"/>
      <w:isLgl w:val="false"/>
      <w:suff w:val="tab"/>
      <w:lvlText w:val="%5."/>
      <w:lvlJc w:val="left"/>
      <w:pPr>
        <w:ind w:left="4527" w:hanging="360"/>
      </w:pPr>
    </w:lvl>
    <w:lvl w:ilvl="5">
      <w:start w:val="1"/>
      <w:numFmt w:val="lowerRoman"/>
      <w:isLgl w:val="false"/>
      <w:suff w:val="tab"/>
      <w:lvlText w:val="%6."/>
      <w:lvlJc w:val="right"/>
      <w:pPr>
        <w:ind w:left="5247" w:hanging="180"/>
      </w:pPr>
    </w:lvl>
    <w:lvl w:ilvl="6">
      <w:start w:val="1"/>
      <w:numFmt w:val="decimal"/>
      <w:isLgl w:val="false"/>
      <w:suff w:val="tab"/>
      <w:lvlText w:val="%7."/>
      <w:lvlJc w:val="left"/>
      <w:pPr>
        <w:ind w:left="5967" w:hanging="360"/>
      </w:pPr>
    </w:lvl>
    <w:lvl w:ilvl="7">
      <w:start w:val="1"/>
      <w:numFmt w:val="lowerLetter"/>
      <w:isLgl w:val="false"/>
      <w:suff w:val="tab"/>
      <w:lvlText w:val="%8."/>
      <w:lvlJc w:val="left"/>
      <w:pPr>
        <w:ind w:left="6687" w:hanging="360"/>
      </w:pPr>
    </w:lvl>
    <w:lvl w:ilvl="8">
      <w:start w:val="1"/>
      <w:numFmt w:val="lowerRoman"/>
      <w:isLgl w:val="false"/>
      <w:suff w:val="tab"/>
      <w:lvlText w:val="%9."/>
      <w:lvlJc w:val="right"/>
      <w:pPr>
        <w:ind w:left="7407" w:hanging="180"/>
      </w:pPr>
    </w:lvl>
  </w:abstractNum>
  <w:abstractNum w:abstractNumId="15">
    <w:multiLevelType w:val="hybridMultilevel"/>
    <w:lvl w:ilvl="0">
      <w:start w:val="1"/>
      <w:numFmt w:val="decimal"/>
      <w:pStyle w:val="738"/>
      <w:isLgl w:val="false"/>
      <w:suff w:val="tab"/>
      <w:lvlText w:val="%1."/>
      <w:lvlJc w:val="left"/>
      <w:pPr>
        <w:ind w:left="432" w:hanging="432"/>
        <w:tabs>
          <w:tab w:val="left" w:pos="432" w:leader="none"/>
        </w:tabs>
      </w:pPr>
      <w:rPr>
        <w:rFonts w:ascii="Times New Roman" w:hAnsi="Times New Roman" w:eastAsia="Times New Roman" w:cs="Times New Roman"/>
      </w:rPr>
    </w:lvl>
    <w:lvl w:ilvl="1">
      <w:start w:val="1"/>
      <w:numFmt w:val="decimal"/>
      <w:pStyle w:val="739"/>
      <w:isLgl w:val="false"/>
      <w:suff w:val="tab"/>
      <w:lvlText w:val="%1.%2"/>
      <w:lvlJc w:val="left"/>
      <w:pPr>
        <w:ind w:left="576" w:hanging="576"/>
        <w:tabs>
          <w:tab w:val="left" w:pos="576" w:leader="none"/>
        </w:tabs>
      </w:pPr>
      <w:rPr>
        <w:rFonts w:hint="default"/>
        <w:b w:val="0"/>
        <w:u w:val="none"/>
      </w:rPr>
    </w:lvl>
    <w:lvl w:ilvl="2">
      <w:start w:val="1"/>
      <w:numFmt w:val="decimal"/>
      <w:pStyle w:val="740"/>
      <w:isLgl w:val="false"/>
      <w:suff w:val="tab"/>
      <w:lvlText w:val="%1.%2.%3"/>
      <w:lvlJc w:val="left"/>
      <w:pPr>
        <w:ind w:left="720" w:hanging="720"/>
        <w:tabs>
          <w:tab w:val="left" w:pos="720" w:leader="none"/>
        </w:tabs>
      </w:pPr>
      <w:rPr>
        <w:rFonts w:hint="default"/>
        <w:b w:val="0"/>
        <w:u w:val="none"/>
      </w:rPr>
    </w:lvl>
    <w:lvl w:ilvl="3">
      <w:start w:val="1"/>
      <w:numFmt w:val="decimal"/>
      <w:pStyle w:val="741"/>
      <w:isLgl w:val="false"/>
      <w:suff w:val="tab"/>
      <w:lvlText w:val="%1.%2.%3.%4"/>
      <w:lvlJc w:val="left"/>
      <w:pPr>
        <w:ind w:left="864" w:hanging="864"/>
        <w:tabs>
          <w:tab w:val="left" w:pos="864" w:leader="none"/>
        </w:tabs>
      </w:pPr>
      <w:rPr>
        <w:rFonts w:hint="default"/>
        <w:b w:val="0"/>
        <w:u w:val="none"/>
      </w:rPr>
    </w:lvl>
    <w:lvl w:ilvl="4">
      <w:start w:val="1"/>
      <w:numFmt w:val="decimal"/>
      <w:pStyle w:val="742"/>
      <w:isLgl w:val="false"/>
      <w:suff w:val="tab"/>
      <w:lvlText w:val="%1.%2.%3.%4.%5"/>
      <w:lvlJc w:val="left"/>
      <w:pPr>
        <w:ind w:left="1008" w:hanging="1008"/>
        <w:tabs>
          <w:tab w:val="left" w:pos="1008" w:leader="none"/>
        </w:tabs>
      </w:pPr>
      <w:rPr>
        <w:rFonts w:hint="default"/>
        <w:b w:val="0"/>
        <w:u w:val="none"/>
      </w:rPr>
    </w:lvl>
    <w:lvl w:ilvl="5">
      <w:start w:val="1"/>
      <w:numFmt w:val="decimal"/>
      <w:pStyle w:val="743"/>
      <w:isLgl w:val="false"/>
      <w:suff w:val="tab"/>
      <w:lvlText w:val="%1.%2.%3.%4.%5.%6"/>
      <w:lvlJc w:val="left"/>
      <w:pPr>
        <w:ind w:left="1152" w:hanging="1152"/>
        <w:tabs>
          <w:tab w:val="left" w:pos="1152" w:leader="none"/>
        </w:tabs>
      </w:pPr>
      <w:rPr>
        <w:rFonts w:hint="default"/>
        <w:b w:val="0"/>
        <w:u w:val="none"/>
      </w:rPr>
    </w:lvl>
    <w:lvl w:ilvl="6">
      <w:start w:val="1"/>
      <w:numFmt w:val="decimal"/>
      <w:pStyle w:val="744"/>
      <w:isLgl w:val="false"/>
      <w:suff w:val="tab"/>
      <w:lvlText w:val="%1.%2.%3.%4.%5.%6.%7"/>
      <w:lvlJc w:val="left"/>
      <w:pPr>
        <w:ind w:left="1296" w:hanging="1296"/>
        <w:tabs>
          <w:tab w:val="left" w:pos="1296" w:leader="none"/>
        </w:tabs>
      </w:pPr>
      <w:rPr>
        <w:rFonts w:hint="default"/>
        <w:b w:val="0"/>
        <w:u w:val="none"/>
      </w:rPr>
    </w:lvl>
    <w:lvl w:ilvl="7">
      <w:start w:val="1"/>
      <w:numFmt w:val="decimal"/>
      <w:pStyle w:val="745"/>
      <w:isLgl w:val="false"/>
      <w:suff w:val="tab"/>
      <w:lvlText w:val="%1.%2.%3.%4.%5.%6.%7.%8"/>
      <w:lvlJc w:val="left"/>
      <w:pPr>
        <w:ind w:left="1440" w:hanging="1440"/>
        <w:tabs>
          <w:tab w:val="left" w:pos="1440" w:leader="none"/>
        </w:tabs>
      </w:pPr>
      <w:rPr>
        <w:rFonts w:hint="default"/>
        <w:b w:val="0"/>
        <w:u w:val="none"/>
      </w:rPr>
    </w:lvl>
    <w:lvl w:ilvl="8">
      <w:start w:val="1"/>
      <w:numFmt w:val="decimal"/>
      <w:pStyle w:val="746"/>
      <w:isLgl w:val="false"/>
      <w:suff w:val="tab"/>
      <w:lvlText w:val="%1.%2.%3.%4.%5.%6.%7.%8.%9"/>
      <w:lvlJc w:val="left"/>
      <w:pPr>
        <w:ind w:left="1584" w:hanging="1584"/>
        <w:tabs>
          <w:tab w:val="left" w:pos="1584" w:leader="none"/>
        </w:tabs>
      </w:pPr>
      <w:rPr>
        <w:rFonts w:hint="default"/>
        <w:b w:val="0"/>
        <w:u w:val="none"/>
      </w:rPr>
    </w:lvl>
  </w:abstractNum>
  <w:abstractNum w:abstractNumId="16">
    <w:multiLevelType w:val="hybridMultilevel"/>
    <w:lvl w:ilvl="0">
      <w:start w:val="4"/>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7">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1627" w:hanging="360"/>
      </w:pPr>
      <w:rPr>
        <w:rFonts w:hint="default" w:ascii="Symbol" w:hAnsi="Symbol"/>
      </w:rPr>
    </w:lvl>
    <w:lvl w:ilvl="1">
      <w:start w:val="1"/>
      <w:numFmt w:val="bullet"/>
      <w:isLgl w:val="false"/>
      <w:suff w:val="tab"/>
      <w:lvlText w:val="o"/>
      <w:lvlJc w:val="left"/>
      <w:pPr>
        <w:ind w:left="2347" w:hanging="360"/>
      </w:pPr>
      <w:rPr>
        <w:rFonts w:hint="default" w:ascii="Courier New" w:hAnsi="Courier New" w:cs="Courier New"/>
      </w:rPr>
    </w:lvl>
    <w:lvl w:ilvl="2">
      <w:start w:val="1"/>
      <w:numFmt w:val="bullet"/>
      <w:isLgl w:val="false"/>
      <w:suff w:val="tab"/>
      <w:lvlText w:val=""/>
      <w:lvlJc w:val="left"/>
      <w:pPr>
        <w:ind w:left="3067" w:hanging="360"/>
      </w:pPr>
      <w:rPr>
        <w:rFonts w:hint="default" w:ascii="Wingdings" w:hAnsi="Wingdings"/>
      </w:rPr>
    </w:lvl>
    <w:lvl w:ilvl="3">
      <w:start w:val="1"/>
      <w:numFmt w:val="bullet"/>
      <w:isLgl w:val="false"/>
      <w:suff w:val="tab"/>
      <w:lvlText w:val=""/>
      <w:lvlJc w:val="left"/>
      <w:pPr>
        <w:ind w:left="3787" w:hanging="360"/>
      </w:pPr>
      <w:rPr>
        <w:rFonts w:hint="default" w:ascii="Symbol" w:hAnsi="Symbol"/>
      </w:rPr>
    </w:lvl>
    <w:lvl w:ilvl="4">
      <w:start w:val="1"/>
      <w:numFmt w:val="bullet"/>
      <w:isLgl w:val="false"/>
      <w:suff w:val="tab"/>
      <w:lvlText w:val="o"/>
      <w:lvlJc w:val="left"/>
      <w:pPr>
        <w:ind w:left="4507" w:hanging="360"/>
      </w:pPr>
      <w:rPr>
        <w:rFonts w:hint="default" w:ascii="Courier New" w:hAnsi="Courier New" w:cs="Courier New"/>
      </w:rPr>
    </w:lvl>
    <w:lvl w:ilvl="5">
      <w:start w:val="1"/>
      <w:numFmt w:val="bullet"/>
      <w:isLgl w:val="false"/>
      <w:suff w:val="tab"/>
      <w:lvlText w:val=""/>
      <w:lvlJc w:val="left"/>
      <w:pPr>
        <w:ind w:left="5227" w:hanging="360"/>
      </w:pPr>
      <w:rPr>
        <w:rFonts w:hint="default" w:ascii="Wingdings" w:hAnsi="Wingdings"/>
      </w:rPr>
    </w:lvl>
    <w:lvl w:ilvl="6">
      <w:start w:val="1"/>
      <w:numFmt w:val="bullet"/>
      <w:isLgl w:val="false"/>
      <w:suff w:val="tab"/>
      <w:lvlText w:val=""/>
      <w:lvlJc w:val="left"/>
      <w:pPr>
        <w:ind w:left="5947" w:hanging="360"/>
      </w:pPr>
      <w:rPr>
        <w:rFonts w:hint="default" w:ascii="Symbol" w:hAnsi="Symbol"/>
      </w:rPr>
    </w:lvl>
    <w:lvl w:ilvl="7">
      <w:start w:val="1"/>
      <w:numFmt w:val="bullet"/>
      <w:isLgl w:val="false"/>
      <w:suff w:val="tab"/>
      <w:lvlText w:val="o"/>
      <w:lvlJc w:val="left"/>
      <w:pPr>
        <w:ind w:left="6667" w:hanging="360"/>
      </w:pPr>
      <w:rPr>
        <w:rFonts w:hint="default" w:ascii="Courier New" w:hAnsi="Courier New" w:cs="Courier New"/>
      </w:rPr>
    </w:lvl>
    <w:lvl w:ilvl="8">
      <w:start w:val="1"/>
      <w:numFmt w:val="bullet"/>
      <w:isLgl w:val="false"/>
      <w:suff w:val="tab"/>
      <w:lvlText w:val=""/>
      <w:lvlJc w:val="left"/>
      <w:pPr>
        <w:ind w:left="7387" w:hanging="360"/>
      </w:pPr>
      <w:rPr>
        <w:rFonts w:hint="default" w:ascii="Wingdings" w:hAnsi="Wingdings"/>
      </w:rPr>
    </w:lvl>
  </w:abstractNum>
  <w:abstractNum w:abstractNumId="19">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0">
    <w:multiLevelType w:val="hybridMultilevel"/>
    <w:lvl w:ilvl="0">
      <w:start w:val="1"/>
      <w:numFmt w:val="lowerLetter"/>
      <w:isLgl w:val="false"/>
      <w:suff w:val="tab"/>
      <w:lvlText w:val="%1)"/>
      <w:lvlJc w:val="left"/>
      <w:pPr>
        <w:ind w:left="1344" w:hanging="360"/>
      </w:pPr>
    </w:lvl>
    <w:lvl w:ilvl="1">
      <w:start w:val="1"/>
      <w:numFmt w:val="lowerLetter"/>
      <w:isLgl w:val="false"/>
      <w:suff w:val="tab"/>
      <w:lvlText w:val="%2."/>
      <w:lvlJc w:val="left"/>
      <w:pPr>
        <w:ind w:left="2064" w:hanging="360"/>
      </w:pPr>
    </w:lvl>
    <w:lvl w:ilvl="2">
      <w:start w:val="1"/>
      <w:numFmt w:val="lowerRoman"/>
      <w:isLgl w:val="false"/>
      <w:suff w:val="tab"/>
      <w:lvlText w:val="%3."/>
      <w:lvlJc w:val="right"/>
      <w:pPr>
        <w:ind w:left="2784" w:hanging="180"/>
      </w:pPr>
    </w:lvl>
    <w:lvl w:ilvl="3">
      <w:start w:val="1"/>
      <w:numFmt w:val="decimal"/>
      <w:isLgl w:val="false"/>
      <w:suff w:val="tab"/>
      <w:lvlText w:val="%4."/>
      <w:lvlJc w:val="left"/>
      <w:pPr>
        <w:ind w:left="3504" w:hanging="360"/>
      </w:pPr>
    </w:lvl>
    <w:lvl w:ilvl="4">
      <w:start w:val="1"/>
      <w:numFmt w:val="lowerLetter"/>
      <w:isLgl w:val="false"/>
      <w:suff w:val="tab"/>
      <w:lvlText w:val="%5."/>
      <w:lvlJc w:val="left"/>
      <w:pPr>
        <w:ind w:left="4224" w:hanging="360"/>
      </w:pPr>
    </w:lvl>
    <w:lvl w:ilvl="5">
      <w:start w:val="1"/>
      <w:numFmt w:val="lowerRoman"/>
      <w:isLgl w:val="false"/>
      <w:suff w:val="tab"/>
      <w:lvlText w:val="%6."/>
      <w:lvlJc w:val="right"/>
      <w:pPr>
        <w:ind w:left="4944" w:hanging="180"/>
      </w:pPr>
    </w:lvl>
    <w:lvl w:ilvl="6">
      <w:start w:val="1"/>
      <w:numFmt w:val="decimal"/>
      <w:isLgl w:val="false"/>
      <w:suff w:val="tab"/>
      <w:lvlText w:val="%7."/>
      <w:lvlJc w:val="left"/>
      <w:pPr>
        <w:ind w:left="5664" w:hanging="360"/>
      </w:pPr>
    </w:lvl>
    <w:lvl w:ilvl="7">
      <w:start w:val="1"/>
      <w:numFmt w:val="lowerLetter"/>
      <w:isLgl w:val="false"/>
      <w:suff w:val="tab"/>
      <w:lvlText w:val="%8."/>
      <w:lvlJc w:val="left"/>
      <w:pPr>
        <w:ind w:left="6384" w:hanging="360"/>
      </w:pPr>
    </w:lvl>
    <w:lvl w:ilvl="8">
      <w:start w:val="1"/>
      <w:numFmt w:val="lowerRoman"/>
      <w:isLgl w:val="false"/>
      <w:suff w:val="tab"/>
      <w:lvlText w:val="%9."/>
      <w:lvlJc w:val="right"/>
      <w:pPr>
        <w:ind w:left="7104" w:hanging="180"/>
      </w:pPr>
    </w:lvl>
  </w:abstractNum>
  <w:abstractNum w:abstractNumId="21">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abstractNum w:abstractNumId="22">
    <w:multiLevelType w:val="hybridMultilevel"/>
    <w:lvl w:ilvl="0">
      <w:start w:val="1"/>
      <w:numFmt w:val="lowerLetter"/>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2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4">
    <w:multiLevelType w:val="hybridMultilevel"/>
    <w:lvl w:ilvl="0">
      <w:start w:val="1"/>
      <w:numFmt w:val="lowerLetter"/>
      <w:isLgl w:val="false"/>
      <w:suff w:val="tab"/>
      <w:lvlText w:val="%1)"/>
      <w:lvlJc w:val="left"/>
      <w:pPr>
        <w:ind w:left="1854" w:hanging="360"/>
      </w:pPr>
    </w:lvl>
    <w:lvl w:ilvl="1">
      <w:start w:val="1"/>
      <w:numFmt w:val="lowerLetter"/>
      <w:isLgl w:val="false"/>
      <w:suff w:val="tab"/>
      <w:lvlText w:val="%2."/>
      <w:lvlJc w:val="left"/>
      <w:pPr>
        <w:ind w:left="2574" w:hanging="360"/>
      </w:pPr>
    </w:lvl>
    <w:lvl w:ilvl="2">
      <w:start w:val="1"/>
      <w:numFmt w:val="lowerRoman"/>
      <w:isLgl w:val="false"/>
      <w:suff w:val="tab"/>
      <w:lvlText w:val="%3."/>
      <w:lvlJc w:val="right"/>
      <w:pPr>
        <w:ind w:left="3294" w:hanging="180"/>
      </w:pPr>
    </w:lvl>
    <w:lvl w:ilvl="3">
      <w:start w:val="1"/>
      <w:numFmt w:val="decimal"/>
      <w:isLgl w:val="false"/>
      <w:suff w:val="tab"/>
      <w:lvlText w:val="%4."/>
      <w:lvlJc w:val="left"/>
      <w:pPr>
        <w:ind w:left="4014" w:hanging="360"/>
      </w:pPr>
    </w:lvl>
    <w:lvl w:ilvl="4">
      <w:start w:val="1"/>
      <w:numFmt w:val="lowerLetter"/>
      <w:isLgl w:val="false"/>
      <w:suff w:val="tab"/>
      <w:lvlText w:val="%5."/>
      <w:lvlJc w:val="left"/>
      <w:pPr>
        <w:ind w:left="4734" w:hanging="360"/>
      </w:pPr>
    </w:lvl>
    <w:lvl w:ilvl="5">
      <w:start w:val="1"/>
      <w:numFmt w:val="lowerRoman"/>
      <w:isLgl w:val="false"/>
      <w:suff w:val="tab"/>
      <w:lvlText w:val="%6."/>
      <w:lvlJc w:val="right"/>
      <w:pPr>
        <w:ind w:left="5454" w:hanging="180"/>
      </w:pPr>
    </w:lvl>
    <w:lvl w:ilvl="6">
      <w:start w:val="1"/>
      <w:numFmt w:val="decimal"/>
      <w:isLgl w:val="false"/>
      <w:suff w:val="tab"/>
      <w:lvlText w:val="%7."/>
      <w:lvlJc w:val="left"/>
      <w:pPr>
        <w:ind w:left="6174" w:hanging="360"/>
      </w:pPr>
    </w:lvl>
    <w:lvl w:ilvl="7">
      <w:start w:val="1"/>
      <w:numFmt w:val="lowerLetter"/>
      <w:isLgl w:val="false"/>
      <w:suff w:val="tab"/>
      <w:lvlText w:val="%8."/>
      <w:lvlJc w:val="left"/>
      <w:pPr>
        <w:ind w:left="6894" w:hanging="360"/>
      </w:pPr>
    </w:lvl>
    <w:lvl w:ilvl="8">
      <w:start w:val="1"/>
      <w:numFmt w:val="lowerRoman"/>
      <w:isLgl w:val="false"/>
      <w:suff w:val="tab"/>
      <w:lvlText w:val="%9."/>
      <w:lvlJc w:val="right"/>
      <w:pPr>
        <w:ind w:left="7614" w:hanging="180"/>
      </w:pPr>
    </w:lvl>
  </w:abstractNum>
  <w:num w:numId="1">
    <w:abstractNumId w:val="15"/>
  </w:num>
  <w:num w:numId="2">
    <w:abstractNumId w:val="2"/>
  </w:num>
  <w:num w:numId="3">
    <w:abstractNumId w:val="19"/>
  </w:num>
  <w:num w:numId="4">
    <w:abstractNumId w:val="13"/>
  </w:num>
  <w:num w:numId="5">
    <w:abstractNumId w:val="8"/>
  </w:num>
  <w:num w:numId="6">
    <w:abstractNumId w:val="3"/>
  </w:num>
  <w:num w:numId="7">
    <w:abstractNumId w:val="0"/>
  </w:num>
  <w:num w:numId="8">
    <w:abstractNumId w:val="6"/>
  </w:num>
  <w:num w:numId="9">
    <w:abstractNumId w:val="4"/>
  </w:num>
  <w:num w:numId="10">
    <w:abstractNumId w:val="9"/>
  </w:num>
  <w:num w:numId="11">
    <w:abstractNumId w:val="18"/>
  </w:num>
  <w:num w:numId="12">
    <w:abstractNumId w:val="12"/>
  </w:num>
  <w:num w:numId="13">
    <w:abstractNumId w:val="20"/>
  </w:num>
  <w:num w:numId="14">
    <w:abstractNumId w:val="22"/>
  </w:num>
  <w:num w:numId="15">
    <w:abstractNumId w:val="10"/>
  </w:num>
  <w:num w:numId="16">
    <w:abstractNumId w:val="24"/>
  </w:num>
  <w:num w:numId="17">
    <w:abstractNumId w:val="1"/>
  </w:num>
  <w:num w:numId="18">
    <w:abstractNumId w:val="21"/>
  </w:num>
  <w:num w:numId="19">
    <w:abstractNumId w:val="7"/>
  </w:num>
  <w:num w:numId="20">
    <w:abstractNumId w:val="17"/>
  </w:num>
  <w:num w:numId="21">
    <w:abstractNumId w:val="5"/>
  </w:num>
  <w:num w:numId="22">
    <w:abstractNumId w:val="14"/>
  </w:num>
  <w:num w:numId="23">
    <w:abstractNumId w:val="23"/>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7"/>
    <w:link w:val="738"/>
    <w:uiPriority w:val="9"/>
    <w:rPr>
      <w:rFonts w:ascii="Arial" w:hAnsi="Arial" w:eastAsia="Arial" w:cs="Arial"/>
      <w:sz w:val="40"/>
      <w:szCs w:val="40"/>
    </w:rPr>
  </w:style>
  <w:style w:type="character" w:styleId="16">
    <w:name w:val="Heading 2 Char"/>
    <w:basedOn w:val="747"/>
    <w:link w:val="739"/>
    <w:uiPriority w:val="9"/>
    <w:rPr>
      <w:rFonts w:ascii="Arial" w:hAnsi="Arial" w:eastAsia="Arial" w:cs="Arial"/>
      <w:sz w:val="34"/>
    </w:rPr>
  </w:style>
  <w:style w:type="character" w:styleId="18">
    <w:name w:val="Heading 3 Char"/>
    <w:basedOn w:val="747"/>
    <w:link w:val="740"/>
    <w:uiPriority w:val="9"/>
    <w:rPr>
      <w:rFonts w:ascii="Arial" w:hAnsi="Arial" w:eastAsia="Arial" w:cs="Arial"/>
      <w:sz w:val="30"/>
      <w:szCs w:val="30"/>
    </w:rPr>
  </w:style>
  <w:style w:type="character" w:styleId="20">
    <w:name w:val="Heading 4 Char"/>
    <w:basedOn w:val="747"/>
    <w:link w:val="741"/>
    <w:uiPriority w:val="9"/>
    <w:rPr>
      <w:rFonts w:ascii="Arial" w:hAnsi="Arial" w:eastAsia="Arial" w:cs="Arial"/>
      <w:b/>
      <w:bCs/>
      <w:sz w:val="26"/>
      <w:szCs w:val="26"/>
    </w:rPr>
  </w:style>
  <w:style w:type="character" w:styleId="22">
    <w:name w:val="Heading 5 Char"/>
    <w:basedOn w:val="747"/>
    <w:link w:val="742"/>
    <w:uiPriority w:val="9"/>
    <w:rPr>
      <w:rFonts w:ascii="Arial" w:hAnsi="Arial" w:eastAsia="Arial" w:cs="Arial"/>
      <w:b/>
      <w:bCs/>
      <w:sz w:val="24"/>
      <w:szCs w:val="24"/>
    </w:rPr>
  </w:style>
  <w:style w:type="character" w:styleId="24">
    <w:name w:val="Heading 6 Char"/>
    <w:basedOn w:val="747"/>
    <w:link w:val="743"/>
    <w:uiPriority w:val="9"/>
    <w:rPr>
      <w:rFonts w:ascii="Arial" w:hAnsi="Arial" w:eastAsia="Arial" w:cs="Arial"/>
      <w:b/>
      <w:bCs/>
      <w:sz w:val="22"/>
      <w:szCs w:val="22"/>
    </w:rPr>
  </w:style>
  <w:style w:type="character" w:styleId="26">
    <w:name w:val="Heading 7 Char"/>
    <w:basedOn w:val="747"/>
    <w:link w:val="744"/>
    <w:uiPriority w:val="9"/>
    <w:rPr>
      <w:rFonts w:ascii="Arial" w:hAnsi="Arial" w:eastAsia="Arial" w:cs="Arial"/>
      <w:b/>
      <w:bCs/>
      <w:i/>
      <w:iCs/>
      <w:sz w:val="22"/>
      <w:szCs w:val="22"/>
    </w:rPr>
  </w:style>
  <w:style w:type="character" w:styleId="28">
    <w:name w:val="Heading 8 Char"/>
    <w:basedOn w:val="747"/>
    <w:link w:val="745"/>
    <w:uiPriority w:val="9"/>
    <w:rPr>
      <w:rFonts w:ascii="Arial" w:hAnsi="Arial" w:eastAsia="Arial" w:cs="Arial"/>
      <w:i/>
      <w:iCs/>
      <w:sz w:val="22"/>
      <w:szCs w:val="22"/>
    </w:rPr>
  </w:style>
  <w:style w:type="character" w:styleId="30">
    <w:name w:val="Heading 9 Char"/>
    <w:basedOn w:val="747"/>
    <w:link w:val="746"/>
    <w:uiPriority w:val="9"/>
    <w:rPr>
      <w:rFonts w:ascii="Arial" w:hAnsi="Arial" w:eastAsia="Arial" w:cs="Arial"/>
      <w:i/>
      <w:iCs/>
      <w:sz w:val="21"/>
      <w:szCs w:val="21"/>
    </w:rPr>
  </w:style>
  <w:style w:type="paragraph" w:styleId="34">
    <w:name w:val="Title"/>
    <w:basedOn w:val="737"/>
    <w:next w:val="737"/>
    <w:link w:val="35"/>
    <w:uiPriority w:val="10"/>
    <w:qFormat/>
    <w:pPr>
      <w:contextualSpacing/>
      <w:spacing w:before="300" w:after="200"/>
    </w:pPr>
    <w:rPr>
      <w:sz w:val="48"/>
      <w:szCs w:val="48"/>
    </w:rPr>
  </w:style>
  <w:style w:type="character" w:styleId="35">
    <w:name w:val="Title Char"/>
    <w:basedOn w:val="747"/>
    <w:link w:val="34"/>
    <w:uiPriority w:val="10"/>
    <w:rPr>
      <w:sz w:val="48"/>
      <w:szCs w:val="48"/>
    </w:rPr>
  </w:style>
  <w:style w:type="paragraph" w:styleId="36">
    <w:name w:val="Subtitle"/>
    <w:basedOn w:val="737"/>
    <w:next w:val="737"/>
    <w:link w:val="37"/>
    <w:uiPriority w:val="11"/>
    <w:qFormat/>
    <w:pPr>
      <w:spacing w:before="200" w:after="200"/>
    </w:pPr>
    <w:rPr>
      <w:sz w:val="24"/>
      <w:szCs w:val="24"/>
    </w:rPr>
  </w:style>
  <w:style w:type="character" w:styleId="37">
    <w:name w:val="Subtitle Char"/>
    <w:basedOn w:val="747"/>
    <w:link w:val="36"/>
    <w:uiPriority w:val="11"/>
    <w:rPr>
      <w:sz w:val="24"/>
      <w:szCs w:val="24"/>
    </w:rPr>
  </w:style>
  <w:style w:type="paragraph" w:styleId="38">
    <w:name w:val="Quote"/>
    <w:basedOn w:val="737"/>
    <w:next w:val="737"/>
    <w:link w:val="39"/>
    <w:uiPriority w:val="29"/>
    <w:qFormat/>
    <w:pPr>
      <w:ind w:left="720" w:right="720"/>
    </w:pPr>
    <w:rPr>
      <w:i/>
    </w:rPr>
  </w:style>
  <w:style w:type="character" w:styleId="39">
    <w:name w:val="Quote Char"/>
    <w:link w:val="38"/>
    <w:uiPriority w:val="29"/>
    <w:rPr>
      <w:i/>
    </w:rPr>
  </w:style>
  <w:style w:type="paragraph" w:styleId="40">
    <w:name w:val="Intense Quote"/>
    <w:basedOn w:val="737"/>
    <w:next w:val="73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47"/>
    <w:link w:val="760"/>
    <w:uiPriority w:val="99"/>
  </w:style>
  <w:style w:type="character" w:styleId="45">
    <w:name w:val="Footer Char"/>
    <w:basedOn w:val="747"/>
    <w:link w:val="763"/>
    <w:uiPriority w:val="99"/>
  </w:style>
  <w:style w:type="paragraph" w:styleId="46">
    <w:name w:val="Caption"/>
    <w:basedOn w:val="737"/>
    <w:next w:val="737"/>
    <w:link w:val="47"/>
    <w:uiPriority w:val="35"/>
    <w:semiHidden/>
    <w:unhideWhenUsed/>
    <w:qFormat/>
    <w:pPr>
      <w:spacing w:line="276" w:lineRule="auto"/>
    </w:pPr>
    <w:rPr>
      <w:b/>
      <w:bCs/>
      <w:color w:val="4f81bd" w:themeColor="accent1"/>
      <w:sz w:val="18"/>
      <w:szCs w:val="18"/>
    </w:rPr>
  </w:style>
  <w:style w:type="character" w:styleId="47">
    <w:name w:val="Caption Char"/>
    <w:basedOn w:val="747"/>
    <w:link w:val="46"/>
    <w:uiPriority w:val="35"/>
    <w:rPr>
      <w:b/>
      <w:bCs/>
      <w:color w:val="4f81bd" w:themeColor="accent1"/>
      <w:sz w:val="18"/>
      <w:szCs w:val="18"/>
    </w:rPr>
  </w:style>
  <w:style w:type="table" w:styleId="49">
    <w:name w:val="Table Grid Light"/>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4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4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4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4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4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4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4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4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4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4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4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4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4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4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4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4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4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4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74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4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4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4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4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4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74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4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4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4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4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4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4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4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4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4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4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4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4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4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4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4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4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4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4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4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4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4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74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4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4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4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74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4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4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74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4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4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4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74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4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4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4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4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4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4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4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4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4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74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4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4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4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74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4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4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74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4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4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4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74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74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4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4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74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4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4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4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74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4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4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4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4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4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4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4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759"/>
    <w:uiPriority w:val="99"/>
    <w:rPr>
      <w:sz w:val="18"/>
    </w:rPr>
  </w:style>
  <w:style w:type="paragraph" w:styleId="178">
    <w:name w:val="endnote text"/>
    <w:basedOn w:val="73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47"/>
    <w:uiPriority w:val="99"/>
    <w:semiHidden/>
    <w:unhideWhenUsed/>
    <w:rPr>
      <w:vertAlign w:val="superscript"/>
    </w:rPr>
  </w:style>
  <w:style w:type="paragraph" w:styleId="181">
    <w:name w:val="toc 1"/>
    <w:basedOn w:val="737"/>
    <w:next w:val="737"/>
    <w:uiPriority w:val="39"/>
    <w:unhideWhenUsed/>
    <w:pPr>
      <w:ind w:left="0" w:right="0" w:firstLine="0"/>
      <w:spacing w:after="57"/>
    </w:pPr>
  </w:style>
  <w:style w:type="paragraph" w:styleId="182">
    <w:name w:val="toc 2"/>
    <w:basedOn w:val="737"/>
    <w:next w:val="737"/>
    <w:uiPriority w:val="39"/>
    <w:unhideWhenUsed/>
    <w:pPr>
      <w:ind w:left="283" w:right="0" w:firstLine="0"/>
      <w:spacing w:after="57"/>
    </w:pPr>
  </w:style>
  <w:style w:type="paragraph" w:styleId="183">
    <w:name w:val="toc 3"/>
    <w:basedOn w:val="737"/>
    <w:next w:val="737"/>
    <w:uiPriority w:val="39"/>
    <w:unhideWhenUsed/>
    <w:pPr>
      <w:ind w:left="567" w:right="0" w:firstLine="0"/>
      <w:spacing w:after="57"/>
    </w:pPr>
  </w:style>
  <w:style w:type="paragraph" w:styleId="184">
    <w:name w:val="toc 4"/>
    <w:basedOn w:val="737"/>
    <w:next w:val="737"/>
    <w:uiPriority w:val="39"/>
    <w:unhideWhenUsed/>
    <w:pPr>
      <w:ind w:left="850" w:right="0" w:firstLine="0"/>
      <w:spacing w:after="57"/>
    </w:pPr>
  </w:style>
  <w:style w:type="paragraph" w:styleId="185">
    <w:name w:val="toc 5"/>
    <w:basedOn w:val="737"/>
    <w:next w:val="737"/>
    <w:uiPriority w:val="39"/>
    <w:unhideWhenUsed/>
    <w:pPr>
      <w:ind w:left="1134" w:right="0" w:firstLine="0"/>
      <w:spacing w:after="57"/>
    </w:pPr>
  </w:style>
  <w:style w:type="paragraph" w:styleId="186">
    <w:name w:val="toc 6"/>
    <w:basedOn w:val="737"/>
    <w:next w:val="737"/>
    <w:uiPriority w:val="39"/>
    <w:unhideWhenUsed/>
    <w:pPr>
      <w:ind w:left="1417" w:right="0" w:firstLine="0"/>
      <w:spacing w:after="57"/>
    </w:pPr>
  </w:style>
  <w:style w:type="paragraph" w:styleId="187">
    <w:name w:val="toc 7"/>
    <w:basedOn w:val="737"/>
    <w:next w:val="737"/>
    <w:uiPriority w:val="39"/>
    <w:unhideWhenUsed/>
    <w:pPr>
      <w:ind w:left="1701" w:right="0" w:firstLine="0"/>
      <w:spacing w:after="57"/>
    </w:pPr>
  </w:style>
  <w:style w:type="paragraph" w:styleId="188">
    <w:name w:val="toc 8"/>
    <w:basedOn w:val="737"/>
    <w:next w:val="737"/>
    <w:uiPriority w:val="39"/>
    <w:unhideWhenUsed/>
    <w:pPr>
      <w:ind w:left="1984" w:right="0" w:firstLine="0"/>
      <w:spacing w:after="57"/>
    </w:pPr>
  </w:style>
  <w:style w:type="paragraph" w:styleId="189">
    <w:name w:val="toc 9"/>
    <w:basedOn w:val="737"/>
    <w:next w:val="737"/>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7"/>
    <w:next w:val="737"/>
    <w:uiPriority w:val="99"/>
    <w:unhideWhenUsed/>
    <w:pPr>
      <w:spacing w:after="0" w:afterAutospacing="0"/>
    </w:pPr>
  </w:style>
  <w:style w:type="paragraph" w:styleId="737" w:default="1">
    <w:name w:val="Normal"/>
    <w:qFormat/>
    <w:rPr>
      <w:sz w:val="24"/>
      <w:szCs w:val="24"/>
    </w:rPr>
  </w:style>
  <w:style w:type="paragraph" w:styleId="738">
    <w:name w:val="Heading 1"/>
    <w:basedOn w:val="737"/>
    <w:next w:val="737"/>
    <w:link w:val="778"/>
    <w:uiPriority w:val="9"/>
    <w:qFormat/>
    <w:pPr>
      <w:numPr>
        <w:ilvl w:val="0"/>
        <w:numId w:val="1"/>
      </w:numPr>
      <w:keepNext/>
      <w:spacing w:before="240" w:after="60"/>
      <w:outlineLvl w:val="0"/>
    </w:pPr>
    <w:rPr>
      <w:rFonts w:ascii="Arial" w:hAnsi="Arial" w:cs="Arial"/>
      <w:b/>
      <w:bCs/>
      <w:sz w:val="32"/>
      <w:szCs w:val="32"/>
    </w:rPr>
  </w:style>
  <w:style w:type="paragraph" w:styleId="739">
    <w:name w:val="Heading 2"/>
    <w:basedOn w:val="737"/>
    <w:next w:val="737"/>
    <w:link w:val="783"/>
    <w:uiPriority w:val="9"/>
    <w:qFormat/>
    <w:pPr>
      <w:numPr>
        <w:ilvl w:val="1"/>
        <w:numId w:val="1"/>
      </w:numPr>
      <w:keepNext/>
      <w:spacing w:before="240" w:after="60"/>
      <w:outlineLvl w:val="1"/>
    </w:pPr>
    <w:rPr>
      <w:rFonts w:ascii="Arial" w:hAnsi="Arial" w:cs="Arial"/>
      <w:b/>
      <w:bCs/>
      <w:i/>
      <w:iCs/>
      <w:sz w:val="28"/>
      <w:szCs w:val="28"/>
    </w:rPr>
  </w:style>
  <w:style w:type="paragraph" w:styleId="740">
    <w:name w:val="Heading 3"/>
    <w:basedOn w:val="737"/>
    <w:next w:val="737"/>
    <w:link w:val="784"/>
    <w:uiPriority w:val="9"/>
    <w:qFormat/>
    <w:pPr>
      <w:numPr>
        <w:ilvl w:val="2"/>
        <w:numId w:val="1"/>
      </w:numPr>
      <w:keepNext/>
      <w:spacing w:before="240" w:after="60"/>
      <w:outlineLvl w:val="2"/>
    </w:pPr>
    <w:rPr>
      <w:rFonts w:ascii="Arial" w:hAnsi="Arial" w:cs="Arial"/>
      <w:b/>
      <w:bCs/>
      <w:sz w:val="26"/>
      <w:szCs w:val="26"/>
    </w:rPr>
  </w:style>
  <w:style w:type="paragraph" w:styleId="741">
    <w:name w:val="Heading 4"/>
    <w:basedOn w:val="737"/>
    <w:next w:val="737"/>
    <w:link w:val="786"/>
    <w:uiPriority w:val="9"/>
    <w:qFormat/>
    <w:pPr>
      <w:numPr>
        <w:ilvl w:val="3"/>
        <w:numId w:val="1"/>
      </w:numPr>
      <w:keepNext/>
      <w:spacing w:before="240" w:after="60"/>
      <w:outlineLvl w:val="3"/>
    </w:pPr>
    <w:rPr>
      <w:b/>
      <w:bCs/>
      <w:sz w:val="28"/>
      <w:szCs w:val="28"/>
    </w:rPr>
  </w:style>
  <w:style w:type="paragraph" w:styleId="742">
    <w:name w:val="Heading 5"/>
    <w:basedOn w:val="737"/>
    <w:next w:val="737"/>
    <w:link w:val="787"/>
    <w:uiPriority w:val="9"/>
    <w:qFormat/>
    <w:pPr>
      <w:numPr>
        <w:ilvl w:val="4"/>
        <w:numId w:val="1"/>
      </w:numPr>
      <w:spacing w:before="240" w:after="60"/>
      <w:outlineLvl w:val="4"/>
    </w:pPr>
    <w:rPr>
      <w:b/>
      <w:bCs/>
      <w:i/>
      <w:iCs/>
      <w:sz w:val="26"/>
      <w:szCs w:val="26"/>
    </w:rPr>
  </w:style>
  <w:style w:type="paragraph" w:styleId="743">
    <w:name w:val="Heading 6"/>
    <w:basedOn w:val="737"/>
    <w:next w:val="737"/>
    <w:link w:val="788"/>
    <w:uiPriority w:val="9"/>
    <w:qFormat/>
    <w:pPr>
      <w:numPr>
        <w:ilvl w:val="5"/>
        <w:numId w:val="1"/>
      </w:numPr>
      <w:spacing w:before="240" w:after="60"/>
      <w:outlineLvl w:val="5"/>
    </w:pPr>
    <w:rPr>
      <w:b/>
      <w:bCs/>
      <w:sz w:val="22"/>
      <w:szCs w:val="22"/>
    </w:rPr>
  </w:style>
  <w:style w:type="paragraph" w:styleId="744">
    <w:name w:val="Heading 7"/>
    <w:basedOn w:val="737"/>
    <w:next w:val="737"/>
    <w:link w:val="789"/>
    <w:uiPriority w:val="9"/>
    <w:qFormat/>
    <w:pPr>
      <w:numPr>
        <w:ilvl w:val="6"/>
        <w:numId w:val="1"/>
      </w:numPr>
      <w:spacing w:before="240" w:after="60"/>
      <w:outlineLvl w:val="6"/>
    </w:pPr>
  </w:style>
  <w:style w:type="paragraph" w:styleId="745">
    <w:name w:val="Heading 8"/>
    <w:basedOn w:val="737"/>
    <w:next w:val="737"/>
    <w:link w:val="790"/>
    <w:uiPriority w:val="9"/>
    <w:qFormat/>
    <w:pPr>
      <w:numPr>
        <w:ilvl w:val="7"/>
        <w:numId w:val="1"/>
      </w:numPr>
      <w:spacing w:before="240" w:after="60"/>
      <w:outlineLvl w:val="7"/>
    </w:pPr>
    <w:rPr>
      <w:i/>
      <w:iCs/>
    </w:rPr>
  </w:style>
  <w:style w:type="paragraph" w:styleId="746">
    <w:name w:val="Heading 9"/>
    <w:basedOn w:val="737"/>
    <w:next w:val="737"/>
    <w:link w:val="791"/>
    <w:uiPriority w:val="9"/>
    <w:qFormat/>
    <w:pPr>
      <w:numPr>
        <w:ilvl w:val="8"/>
        <w:numId w:val="1"/>
      </w:numPr>
      <w:spacing w:before="240" w:after="60"/>
      <w:outlineLvl w:val="8"/>
    </w:pPr>
    <w:rPr>
      <w:rFonts w:ascii="Arial" w:hAnsi="Arial" w:cs="Arial"/>
      <w:sz w:val="22"/>
      <w:szCs w:val="22"/>
    </w:rPr>
  </w:style>
  <w:style w:type="character" w:styleId="747" w:default="1">
    <w:name w:val="Default Paragraph Font"/>
    <w:uiPriority w:val="1"/>
    <w:semiHidden/>
    <w:unhideWhenUsed/>
  </w:style>
  <w:style w:type="table" w:styleId="748" w:default="1">
    <w:name w:val="Normal Table"/>
    <w:uiPriority w:val="99"/>
    <w:semiHidden/>
    <w:unhideWhenUsed/>
    <w:tblPr>
      <w:tblInd w:w="0" w:type="dxa"/>
      <w:tblCellMar>
        <w:left w:w="108" w:type="dxa"/>
        <w:top w:w="0" w:type="dxa"/>
        <w:right w:w="108" w:type="dxa"/>
        <w:bottom w:w="0" w:type="dxa"/>
      </w:tblCellMar>
    </w:tblPr>
  </w:style>
  <w:style w:type="numbering" w:styleId="749" w:default="1">
    <w:name w:val="No List"/>
    <w:uiPriority w:val="99"/>
    <w:semiHidden/>
    <w:unhideWhenUsed/>
  </w:style>
  <w:style w:type="character" w:styleId="750">
    <w:name w:val="footnote reference"/>
    <w:semiHidden/>
    <w:qFormat/>
    <w:rPr>
      <w:vertAlign w:val="superscript"/>
    </w:rPr>
  </w:style>
  <w:style w:type="character" w:styleId="751">
    <w:name w:val="annotation reference"/>
    <w:uiPriority w:val="99"/>
    <w:semiHidden/>
    <w:qFormat/>
    <w:rPr>
      <w:sz w:val="16"/>
      <w:szCs w:val="16"/>
    </w:rPr>
  </w:style>
  <w:style w:type="character" w:styleId="752">
    <w:name w:val="Emphasis"/>
    <w:basedOn w:val="747"/>
    <w:uiPriority w:val="20"/>
    <w:qFormat/>
    <w:rPr>
      <w:i/>
      <w:iCs/>
    </w:rPr>
  </w:style>
  <w:style w:type="character" w:styleId="753">
    <w:name w:val="Hyperlink"/>
    <w:uiPriority w:val="99"/>
    <w:qFormat/>
    <w:rPr>
      <w:color w:val="0000ff"/>
      <w:u w:val="single"/>
    </w:rPr>
  </w:style>
  <w:style w:type="character" w:styleId="754">
    <w:name w:val="page number"/>
    <w:basedOn w:val="747"/>
    <w:qFormat/>
  </w:style>
  <w:style w:type="paragraph" w:styleId="755">
    <w:name w:val="Balloon Text"/>
    <w:basedOn w:val="737"/>
    <w:link w:val="785"/>
    <w:uiPriority w:val="99"/>
    <w:semiHidden/>
    <w:qFormat/>
    <w:rPr>
      <w:rFonts w:ascii="Tahoma" w:hAnsi="Tahoma" w:cs="Tahoma"/>
      <w:sz w:val="16"/>
      <w:szCs w:val="16"/>
    </w:rPr>
  </w:style>
  <w:style w:type="paragraph" w:styleId="756">
    <w:name w:val="Body Text 2"/>
    <w:basedOn w:val="737"/>
    <w:qFormat/>
    <w:pPr>
      <w:spacing w:after="120" w:line="480" w:lineRule="auto"/>
    </w:pPr>
  </w:style>
  <w:style w:type="paragraph" w:styleId="757">
    <w:name w:val="annotation text"/>
    <w:basedOn w:val="737"/>
    <w:link w:val="792"/>
    <w:uiPriority w:val="99"/>
    <w:semiHidden/>
    <w:qFormat/>
    <w:rPr>
      <w:sz w:val="20"/>
      <w:szCs w:val="20"/>
    </w:rPr>
  </w:style>
  <w:style w:type="paragraph" w:styleId="758">
    <w:name w:val="annotation subject"/>
    <w:basedOn w:val="757"/>
    <w:next w:val="757"/>
    <w:link w:val="793"/>
    <w:uiPriority w:val="99"/>
    <w:semiHidden/>
    <w:qFormat/>
    <w:rPr>
      <w:b/>
      <w:bCs/>
    </w:rPr>
  </w:style>
  <w:style w:type="paragraph" w:styleId="759">
    <w:name w:val="footnote text"/>
    <w:basedOn w:val="737"/>
    <w:semiHidden/>
    <w:qFormat/>
    <w:rPr>
      <w:sz w:val="20"/>
      <w:szCs w:val="20"/>
    </w:rPr>
  </w:style>
  <w:style w:type="paragraph" w:styleId="760">
    <w:name w:val="Header"/>
    <w:basedOn w:val="737"/>
    <w:link w:val="768"/>
    <w:uiPriority w:val="99"/>
    <w:qFormat/>
    <w:pPr>
      <w:tabs>
        <w:tab w:val="center" w:pos="4677" w:leader="none"/>
        <w:tab w:val="right" w:pos="9355" w:leader="none"/>
      </w:tabs>
    </w:pPr>
    <w:rPr>
      <w:lang w:val="zh-CN" w:eastAsia="zh-CN"/>
    </w:rPr>
  </w:style>
  <w:style w:type="paragraph" w:styleId="761">
    <w:name w:val="Body Text"/>
    <w:basedOn w:val="737"/>
    <w:qFormat/>
    <w:pPr>
      <w:spacing w:after="120"/>
    </w:pPr>
    <w:rPr>
      <w:sz w:val="20"/>
      <w:szCs w:val="20"/>
    </w:rPr>
  </w:style>
  <w:style w:type="paragraph" w:styleId="762">
    <w:name w:val="Body Text Indent"/>
    <w:basedOn w:val="737"/>
    <w:qFormat/>
    <w:pPr>
      <w:ind w:left="283"/>
      <w:spacing w:after="120"/>
    </w:pPr>
  </w:style>
  <w:style w:type="paragraph" w:styleId="763">
    <w:name w:val="Footer"/>
    <w:basedOn w:val="737"/>
    <w:link w:val="774"/>
    <w:uiPriority w:val="99"/>
    <w:qFormat/>
    <w:pPr>
      <w:tabs>
        <w:tab w:val="center" w:pos="4677" w:leader="none"/>
        <w:tab w:val="right" w:pos="9355" w:leader="none"/>
      </w:tabs>
    </w:pPr>
  </w:style>
  <w:style w:type="paragraph" w:styleId="764">
    <w:name w:val="Normal (Web)"/>
    <w:basedOn w:val="737"/>
    <w:uiPriority w:val="99"/>
    <w:qFormat/>
    <w:pPr>
      <w:spacing w:before="100" w:beforeAutospacing="1" w:after="100" w:afterAutospacing="1"/>
    </w:pPr>
  </w:style>
  <w:style w:type="table" w:styleId="765">
    <w:name w:val="Table Grid"/>
    <w:basedOn w:val="748"/>
    <w:uiPriority w:val="3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66" w:customStyle="1">
    <w:name w:val="postbody1"/>
    <w:qFormat/>
    <w:rPr>
      <w:sz w:val="20"/>
      <w:szCs w:val="20"/>
    </w:rPr>
  </w:style>
  <w:style w:type="paragraph" w:styleId="767" w:customStyle="1">
    <w:name w:val="Таблицы (моноширинный)"/>
    <w:basedOn w:val="737"/>
    <w:next w:val="737"/>
    <w:qFormat/>
    <w:pPr>
      <w:jc w:val="both"/>
    </w:pPr>
    <w:rPr>
      <w:rFonts w:ascii="Courier New" w:hAnsi="Courier New" w:cs="Courier New"/>
      <w:sz w:val="20"/>
      <w:szCs w:val="20"/>
    </w:rPr>
  </w:style>
  <w:style w:type="character" w:styleId="768" w:customStyle="1">
    <w:name w:val="Верхний колонтитул Знак"/>
    <w:link w:val="760"/>
    <w:uiPriority w:val="99"/>
    <w:qFormat/>
    <w:rPr>
      <w:sz w:val="24"/>
      <w:szCs w:val="24"/>
    </w:rPr>
  </w:style>
  <w:style w:type="character" w:styleId="769" w:customStyle="1">
    <w:name w:val="apple-converted-space"/>
    <w:qFormat/>
  </w:style>
  <w:style w:type="character" w:styleId="770" w:customStyle="1">
    <w:name w:val="skype_pnh_container"/>
    <w:qFormat/>
  </w:style>
  <w:style w:type="character" w:styleId="771" w:customStyle="1">
    <w:name w:val="skype_pnh_text_span"/>
    <w:qFormat/>
  </w:style>
  <w:style w:type="paragraph" w:styleId="772" w:customStyle="1">
    <w:name w:val="Жирный"/>
    <w:basedOn w:val="737"/>
    <w:qFormat/>
    <w:pPr>
      <w:jc w:val="center"/>
      <w:spacing w:before="120" w:after="120"/>
    </w:pPr>
    <w:rPr>
      <w:rFonts w:ascii="Tahoma" w:hAnsi="Tahoma" w:cs="Tahoma"/>
      <w:b/>
      <w:bCs/>
      <w:sz w:val="20"/>
    </w:rPr>
  </w:style>
  <w:style w:type="paragraph" w:styleId="773">
    <w:name w:val="List Paragraph"/>
    <w:basedOn w:val="737"/>
    <w:link w:val="797"/>
    <w:uiPriority w:val="34"/>
    <w:qFormat/>
    <w:pPr>
      <w:contextualSpacing/>
      <w:ind w:left="720"/>
    </w:pPr>
  </w:style>
  <w:style w:type="character" w:styleId="774" w:customStyle="1">
    <w:name w:val="Нижний колонтитул Знак"/>
    <w:link w:val="763"/>
    <w:uiPriority w:val="99"/>
    <w:qFormat/>
    <w:rPr>
      <w:sz w:val="24"/>
      <w:szCs w:val="24"/>
    </w:rPr>
  </w:style>
  <w:style w:type="paragraph" w:styleId="775" w:customStyle="1">
    <w:name w:val="Без интервала1"/>
    <w:next w:val="776"/>
    <w:uiPriority w:val="1"/>
    <w:qFormat/>
    <w:rPr>
      <w:rFonts w:ascii="Calibri" w:hAnsi="Calibri"/>
      <w:sz w:val="22"/>
      <w:szCs w:val="22"/>
    </w:rPr>
  </w:style>
  <w:style w:type="paragraph" w:styleId="776">
    <w:name w:val="No Spacing"/>
    <w:uiPriority w:val="1"/>
    <w:qFormat/>
    <w:rPr>
      <w:sz w:val="24"/>
      <w:szCs w:val="24"/>
    </w:rPr>
  </w:style>
  <w:style w:type="character" w:styleId="777" w:customStyle="1">
    <w:name w:val="Без интервала Знак"/>
    <w:uiPriority w:val="1"/>
    <w:qFormat/>
    <w:rPr>
      <w:rFonts w:eastAsia="Times New Roman"/>
      <w:lang w:eastAsia="ru-RU"/>
    </w:rPr>
  </w:style>
  <w:style w:type="character" w:styleId="778" w:customStyle="1">
    <w:name w:val="Заголовок 1 Знак"/>
    <w:link w:val="738"/>
    <w:uiPriority w:val="9"/>
    <w:qFormat/>
    <w:rPr>
      <w:rFonts w:ascii="Arial" w:hAnsi="Arial" w:cs="Arial"/>
      <w:b/>
      <w:bCs/>
      <w:sz w:val="32"/>
      <w:szCs w:val="32"/>
    </w:rPr>
  </w:style>
  <w:style w:type="paragraph" w:styleId="779" w:customStyle="1">
    <w:name w:val="Заголовок оглавления1"/>
    <w:basedOn w:val="738"/>
    <w:next w:val="737"/>
    <w:uiPriority w:val="39"/>
    <w:unhideWhenUsed/>
    <w:qFormat/>
    <w:pPr>
      <w:ind w:left="960" w:hanging="960"/>
      <w:keepLines/>
      <w:spacing w:after="0" w:line="259" w:lineRule="auto"/>
      <w:tabs>
        <w:tab w:val="clear" w:pos="432" w:leader="none"/>
        <w:tab w:val="left" w:pos="960" w:leader="none"/>
      </w:tabs>
      <w:outlineLvl w:val="9"/>
    </w:pPr>
    <w:rPr>
      <w:rFonts w:ascii="Calibri Light" w:hAnsi="Calibri Light" w:cs="Times New Roman"/>
      <w:b w:val="0"/>
      <w:bCs w:val="0"/>
      <w:color w:val="2e74b5"/>
    </w:rPr>
  </w:style>
  <w:style w:type="paragraph" w:styleId="780" w:customStyle="1">
    <w:name w:val="Оглавление 21"/>
    <w:basedOn w:val="737"/>
    <w:next w:val="737"/>
    <w:uiPriority w:val="39"/>
    <w:unhideWhenUsed/>
    <w:qFormat/>
    <w:pPr>
      <w:ind w:left="220"/>
      <w:spacing w:after="100" w:line="259" w:lineRule="auto"/>
    </w:pPr>
    <w:rPr>
      <w:rFonts w:ascii="Calibri" w:hAnsi="Calibri"/>
      <w:sz w:val="22"/>
      <w:szCs w:val="22"/>
    </w:rPr>
  </w:style>
  <w:style w:type="paragraph" w:styleId="781" w:customStyle="1">
    <w:name w:val="Оглавление 11"/>
    <w:basedOn w:val="737"/>
    <w:next w:val="737"/>
    <w:uiPriority w:val="39"/>
    <w:unhideWhenUsed/>
    <w:qFormat/>
    <w:pPr>
      <w:spacing w:after="100" w:line="259" w:lineRule="auto"/>
    </w:pPr>
    <w:rPr>
      <w:rFonts w:ascii="Calibri" w:hAnsi="Calibri"/>
      <w:sz w:val="22"/>
      <w:szCs w:val="22"/>
    </w:rPr>
  </w:style>
  <w:style w:type="paragraph" w:styleId="782" w:customStyle="1">
    <w:name w:val="Оглавление 31"/>
    <w:basedOn w:val="737"/>
    <w:next w:val="737"/>
    <w:uiPriority w:val="39"/>
    <w:unhideWhenUsed/>
    <w:qFormat/>
    <w:pPr>
      <w:ind w:left="440"/>
      <w:spacing w:after="100" w:line="259" w:lineRule="auto"/>
      <w:tabs>
        <w:tab w:val="left" w:pos="1320" w:leader="none"/>
        <w:tab w:val="right" w:pos="9345" w:leader="dot"/>
      </w:tabs>
    </w:pPr>
    <w:rPr>
      <w:rFonts w:ascii="Calibri" w:hAnsi="Calibri"/>
      <w:sz w:val="22"/>
      <w:szCs w:val="22"/>
    </w:rPr>
  </w:style>
  <w:style w:type="character" w:styleId="783" w:customStyle="1">
    <w:name w:val="Заголовок 2 Знак"/>
    <w:link w:val="739"/>
    <w:uiPriority w:val="9"/>
    <w:qFormat/>
    <w:rPr>
      <w:rFonts w:ascii="Arial" w:hAnsi="Arial" w:cs="Arial"/>
      <w:b/>
      <w:bCs/>
      <w:i/>
      <w:iCs/>
      <w:sz w:val="28"/>
      <w:szCs w:val="28"/>
    </w:rPr>
  </w:style>
  <w:style w:type="character" w:styleId="784" w:customStyle="1">
    <w:name w:val="Заголовок 3 Знак"/>
    <w:link w:val="740"/>
    <w:uiPriority w:val="9"/>
    <w:qFormat/>
    <w:rPr>
      <w:rFonts w:ascii="Arial" w:hAnsi="Arial" w:cs="Arial"/>
      <w:b/>
      <w:bCs/>
      <w:sz w:val="26"/>
      <w:szCs w:val="26"/>
    </w:rPr>
  </w:style>
  <w:style w:type="character" w:styleId="785" w:customStyle="1">
    <w:name w:val="Текст выноски Знак"/>
    <w:link w:val="755"/>
    <w:uiPriority w:val="99"/>
    <w:semiHidden/>
    <w:qFormat/>
    <w:rPr>
      <w:rFonts w:ascii="Tahoma" w:hAnsi="Tahoma" w:cs="Tahoma"/>
      <w:sz w:val="16"/>
      <w:szCs w:val="16"/>
    </w:rPr>
  </w:style>
  <w:style w:type="character" w:styleId="786" w:customStyle="1">
    <w:name w:val="Заголовок 4 Знак"/>
    <w:link w:val="741"/>
    <w:uiPriority w:val="9"/>
    <w:qFormat/>
    <w:rPr>
      <w:b/>
      <w:bCs/>
      <w:sz w:val="28"/>
      <w:szCs w:val="28"/>
    </w:rPr>
  </w:style>
  <w:style w:type="character" w:styleId="787" w:customStyle="1">
    <w:name w:val="Заголовок 5 Знак"/>
    <w:link w:val="742"/>
    <w:uiPriority w:val="9"/>
    <w:qFormat/>
    <w:rPr>
      <w:b/>
      <w:bCs/>
      <w:i/>
      <w:iCs/>
      <w:sz w:val="26"/>
      <w:szCs w:val="26"/>
    </w:rPr>
  </w:style>
  <w:style w:type="character" w:styleId="788" w:customStyle="1">
    <w:name w:val="Заголовок 6 Знак"/>
    <w:link w:val="743"/>
    <w:uiPriority w:val="9"/>
    <w:qFormat/>
    <w:rPr>
      <w:b/>
      <w:bCs/>
      <w:sz w:val="22"/>
      <w:szCs w:val="22"/>
    </w:rPr>
  </w:style>
  <w:style w:type="character" w:styleId="789" w:customStyle="1">
    <w:name w:val="Заголовок 7 Знак"/>
    <w:link w:val="744"/>
    <w:uiPriority w:val="9"/>
    <w:qFormat/>
    <w:rPr>
      <w:sz w:val="24"/>
      <w:szCs w:val="24"/>
    </w:rPr>
  </w:style>
  <w:style w:type="character" w:styleId="790" w:customStyle="1">
    <w:name w:val="Заголовок 8 Знак"/>
    <w:link w:val="745"/>
    <w:uiPriority w:val="9"/>
    <w:qFormat/>
    <w:rPr>
      <w:i/>
      <w:iCs/>
      <w:sz w:val="24"/>
      <w:szCs w:val="24"/>
    </w:rPr>
  </w:style>
  <w:style w:type="character" w:styleId="791" w:customStyle="1">
    <w:name w:val="Заголовок 9 Знак"/>
    <w:link w:val="746"/>
    <w:uiPriority w:val="9"/>
    <w:qFormat/>
    <w:rPr>
      <w:rFonts w:ascii="Arial" w:hAnsi="Arial" w:cs="Arial"/>
      <w:sz w:val="22"/>
      <w:szCs w:val="22"/>
    </w:rPr>
  </w:style>
  <w:style w:type="character" w:styleId="792" w:customStyle="1">
    <w:name w:val="Текст примечания Знак"/>
    <w:link w:val="757"/>
    <w:uiPriority w:val="99"/>
    <w:semiHidden/>
    <w:qFormat/>
  </w:style>
  <w:style w:type="character" w:styleId="793" w:customStyle="1">
    <w:name w:val="Тема примечания Знак"/>
    <w:link w:val="758"/>
    <w:uiPriority w:val="99"/>
    <w:semiHidden/>
    <w:qFormat/>
    <w:rPr>
      <w:b/>
      <w:bCs/>
    </w:rPr>
  </w:style>
  <w:style w:type="character" w:styleId="794" w:customStyle="1">
    <w:name w:val="Сильное выделение1"/>
    <w:uiPriority w:val="21"/>
    <w:qFormat/>
    <w:rPr>
      <w:i/>
      <w:iCs/>
      <w:color w:val="5b9bd5"/>
    </w:rPr>
  </w:style>
  <w:style w:type="paragraph" w:styleId="795" w:customStyle="1">
    <w:name w:val="Рецензия1"/>
    <w:hidden/>
    <w:uiPriority w:val="99"/>
    <w:semiHidden/>
    <w:qFormat/>
    <w:rPr>
      <w:rFonts w:ascii="Calibri" w:hAnsi="Calibri" w:eastAsia="Calibri"/>
      <w:sz w:val="22"/>
      <w:szCs w:val="22"/>
      <w:lang w:eastAsia="en-US"/>
    </w:rPr>
  </w:style>
  <w:style w:type="character" w:styleId="796" w:customStyle="1">
    <w:name w:val="Сильное выделение2"/>
    <w:uiPriority w:val="21"/>
    <w:qFormat/>
    <w:rPr>
      <w:b/>
      <w:bCs/>
      <w:i/>
      <w:iCs/>
      <w:color w:val="4f81bd"/>
    </w:rPr>
  </w:style>
  <w:style w:type="character" w:styleId="797" w:customStyle="1">
    <w:name w:val="Абзац списка Знак"/>
    <w:link w:val="773"/>
    <w:uiPriority w:val="34"/>
    <w:qFormat/>
    <w:rPr>
      <w:sz w:val="24"/>
      <w:szCs w:val="24"/>
    </w:rPr>
  </w:style>
  <w:style w:type="character" w:styleId="798">
    <w:name w:val="Placeholder Text"/>
    <w:basedOn w:val="747"/>
    <w:uiPriority w:val="99"/>
    <w:semiHidden/>
    <w:qFormat/>
    <w:rPr>
      <w:color w:val="808080"/>
    </w:rPr>
  </w:style>
  <w:style w:type="character" w:styleId="799" w:customStyle="1">
    <w:name w:val="Неразрешенное упоминание1"/>
    <w:basedOn w:val="747"/>
    <w:uiPriority w:val="99"/>
    <w:semiHidden/>
    <w:unhideWhenUsed/>
    <w:qFormat/>
    <w:rPr>
      <w:color w:val="605e5c"/>
      <w:shd w:val="clear" w:color="auto" w:fill="e1dfdd"/>
    </w:rPr>
  </w:style>
  <w:style w:type="character" w:styleId="800" w:customStyle="1">
    <w:name w:val="Неразрешенное упоминание2"/>
    <w:basedOn w:val="747"/>
    <w:uiPriority w:val="99"/>
    <w:semiHidden/>
    <w:unhideWhenUsed/>
    <w:qFormat/>
    <w:rPr>
      <w:color w:val="605e5c"/>
      <w:shd w:val="clear" w:color="auto" w:fill="e1dfdd"/>
    </w:rPr>
  </w:style>
  <w:style w:type="character" w:styleId="801" w:customStyle="1">
    <w:name w:val="Неразрешенное упоминание21"/>
    <w:basedOn w:val="747"/>
    <w:uiPriority w:val="99"/>
    <w:semiHidden/>
    <w:unhideWhenUsed/>
    <w:qFormat/>
    <w:rPr>
      <w:color w:val="605e5c"/>
      <w:shd w:val="clear" w:color="auto" w:fill="e1dfdd"/>
    </w:rPr>
  </w:style>
  <w:style w:type="paragraph" w:styleId="802" w:customStyle="1">
    <w:name w:val="228bf8a64b8551e1msonormal"/>
    <w:basedOn w:val="737"/>
    <w:qFormat/>
    <w:pPr>
      <w:spacing w:before="100" w:beforeAutospacing="1" w:after="100" w:afterAutospacing="1"/>
    </w:pPr>
  </w:style>
  <w:style w:type="character" w:styleId="803" w:customStyle="1">
    <w:name w:val="wmi-callto"/>
    <w:basedOn w:val="747"/>
    <w:qFormat/>
  </w:style>
  <w:style w:type="character" w:styleId="804" w:customStyle="1">
    <w:name w:val="Неразрешенное упоминание3"/>
    <w:basedOn w:val="747"/>
    <w:uiPriority w:val="99"/>
    <w:semiHidden/>
    <w:unhideWhenUsed/>
    <w:qFormat/>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AC75987912FD431D9D7959A4F2276D59"/>
        <w:category>
          <w:name w:val="Общие"/>
          <w:gallery w:val="placeholder"/>
        </w:category>
        <w:types>
          <w:type w:val="bbPlcHdr"/>
        </w:types>
        <w:behaviors>
          <w:behavior w:val="content"/>
        </w:behaviors>
        <w:guid w:val="{285BDE7E-09FB-4376-B8FC-D553E4DEFBCA}"/>
      </w:docPartPr>
      <w:docPartBody>
        <w:p>
          <w:pPr>
            <w:pStyle w:val="1241"/>
          </w:pPr>
          <w:r>
            <w:rPr>
              <w:rStyle w:val="1240"/>
            </w:rPr>
            <w:t xml:space="preserve">Место для ввода текста.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ru-RU" w:eastAsia="ru-RU" w:bidi="ar-SA"/>
        <w14:ligatures w14:val="standardContextual"/>
      </w:rPr>
    </w:rPrDefault>
    <w:pPrDefault>
      <w:pPr>
        <w:spacing w:before="0" w:beforeAutospacing="0" w:after="160" w:afterAutospacing="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50">
    <w:name w:val="Heading 1"/>
    <w:basedOn w:val="1236"/>
    <w:next w:val="1236"/>
    <w:link w:val="251"/>
    <w:uiPriority w:val="9"/>
    <w:qFormat/>
    <w:pPr>
      <w:keepLines/>
      <w:keepNext/>
      <w:spacing w:before="480" w:after="200"/>
      <w:outlineLvl w:val="0"/>
    </w:pPr>
    <w:rPr>
      <w:rFonts w:ascii="Arial" w:hAnsi="Arial" w:eastAsia="Arial" w:cs="Arial"/>
      <w:sz w:val="40"/>
      <w:szCs w:val="40"/>
    </w:rPr>
  </w:style>
  <w:style w:type="character" w:styleId="251">
    <w:name w:val="Heading 1 Char"/>
    <w:basedOn w:val="1237"/>
    <w:link w:val="250"/>
    <w:uiPriority w:val="9"/>
    <w:rPr>
      <w:rFonts w:ascii="Arial" w:hAnsi="Arial" w:eastAsia="Arial" w:cs="Arial"/>
      <w:sz w:val="40"/>
      <w:szCs w:val="40"/>
    </w:rPr>
  </w:style>
  <w:style w:type="paragraph" w:styleId="252">
    <w:name w:val="Heading 2"/>
    <w:basedOn w:val="1236"/>
    <w:next w:val="1236"/>
    <w:link w:val="253"/>
    <w:uiPriority w:val="9"/>
    <w:unhideWhenUsed/>
    <w:qFormat/>
    <w:pPr>
      <w:keepLines/>
      <w:keepNext/>
      <w:spacing w:before="360" w:after="200"/>
      <w:outlineLvl w:val="1"/>
    </w:pPr>
    <w:rPr>
      <w:rFonts w:ascii="Arial" w:hAnsi="Arial" w:eastAsia="Arial" w:cs="Arial"/>
      <w:sz w:val="34"/>
    </w:rPr>
  </w:style>
  <w:style w:type="character" w:styleId="253">
    <w:name w:val="Heading 2 Char"/>
    <w:basedOn w:val="1237"/>
    <w:link w:val="252"/>
    <w:uiPriority w:val="9"/>
    <w:rPr>
      <w:rFonts w:ascii="Arial" w:hAnsi="Arial" w:eastAsia="Arial" w:cs="Arial"/>
      <w:sz w:val="34"/>
    </w:rPr>
  </w:style>
  <w:style w:type="paragraph" w:styleId="254">
    <w:name w:val="Heading 3"/>
    <w:basedOn w:val="1236"/>
    <w:next w:val="1236"/>
    <w:link w:val="255"/>
    <w:uiPriority w:val="9"/>
    <w:unhideWhenUsed/>
    <w:qFormat/>
    <w:pPr>
      <w:keepLines/>
      <w:keepNext/>
      <w:spacing w:before="320" w:after="200"/>
      <w:outlineLvl w:val="2"/>
    </w:pPr>
    <w:rPr>
      <w:rFonts w:ascii="Arial" w:hAnsi="Arial" w:eastAsia="Arial" w:cs="Arial"/>
      <w:sz w:val="30"/>
      <w:szCs w:val="30"/>
    </w:rPr>
  </w:style>
  <w:style w:type="character" w:styleId="255">
    <w:name w:val="Heading 3 Char"/>
    <w:basedOn w:val="1237"/>
    <w:link w:val="254"/>
    <w:uiPriority w:val="9"/>
    <w:rPr>
      <w:rFonts w:ascii="Arial" w:hAnsi="Arial" w:eastAsia="Arial" w:cs="Arial"/>
      <w:sz w:val="30"/>
      <w:szCs w:val="30"/>
    </w:rPr>
  </w:style>
  <w:style w:type="paragraph" w:styleId="256">
    <w:name w:val="Heading 4"/>
    <w:basedOn w:val="1236"/>
    <w:next w:val="1236"/>
    <w:link w:val="257"/>
    <w:uiPriority w:val="9"/>
    <w:unhideWhenUsed/>
    <w:qFormat/>
    <w:pPr>
      <w:keepLines/>
      <w:keepNext/>
      <w:spacing w:before="320" w:after="200"/>
      <w:outlineLvl w:val="3"/>
    </w:pPr>
    <w:rPr>
      <w:rFonts w:ascii="Arial" w:hAnsi="Arial" w:eastAsia="Arial" w:cs="Arial"/>
      <w:b/>
      <w:bCs/>
      <w:sz w:val="26"/>
      <w:szCs w:val="26"/>
    </w:rPr>
  </w:style>
  <w:style w:type="character" w:styleId="257">
    <w:name w:val="Heading 4 Char"/>
    <w:basedOn w:val="1237"/>
    <w:link w:val="256"/>
    <w:uiPriority w:val="9"/>
    <w:rPr>
      <w:rFonts w:ascii="Arial" w:hAnsi="Arial" w:eastAsia="Arial" w:cs="Arial"/>
      <w:b/>
      <w:bCs/>
      <w:sz w:val="26"/>
      <w:szCs w:val="26"/>
    </w:rPr>
  </w:style>
  <w:style w:type="paragraph" w:styleId="258">
    <w:name w:val="Heading 5"/>
    <w:basedOn w:val="1236"/>
    <w:next w:val="1236"/>
    <w:link w:val="259"/>
    <w:uiPriority w:val="9"/>
    <w:unhideWhenUsed/>
    <w:qFormat/>
    <w:pPr>
      <w:keepLines/>
      <w:keepNext/>
      <w:spacing w:before="320" w:after="200"/>
      <w:outlineLvl w:val="4"/>
    </w:pPr>
    <w:rPr>
      <w:rFonts w:ascii="Arial" w:hAnsi="Arial" w:eastAsia="Arial" w:cs="Arial"/>
      <w:b/>
      <w:bCs/>
      <w:sz w:val="24"/>
      <w:szCs w:val="24"/>
    </w:rPr>
  </w:style>
  <w:style w:type="character" w:styleId="259">
    <w:name w:val="Heading 5 Char"/>
    <w:basedOn w:val="1237"/>
    <w:link w:val="258"/>
    <w:uiPriority w:val="9"/>
    <w:rPr>
      <w:rFonts w:ascii="Arial" w:hAnsi="Arial" w:eastAsia="Arial" w:cs="Arial"/>
      <w:b/>
      <w:bCs/>
      <w:sz w:val="24"/>
      <w:szCs w:val="24"/>
    </w:rPr>
  </w:style>
  <w:style w:type="paragraph" w:styleId="260">
    <w:name w:val="Heading 6"/>
    <w:basedOn w:val="1236"/>
    <w:next w:val="1236"/>
    <w:link w:val="261"/>
    <w:uiPriority w:val="9"/>
    <w:unhideWhenUsed/>
    <w:qFormat/>
    <w:pPr>
      <w:keepLines/>
      <w:keepNext/>
      <w:spacing w:before="320" w:after="200"/>
      <w:outlineLvl w:val="5"/>
    </w:pPr>
    <w:rPr>
      <w:rFonts w:ascii="Arial" w:hAnsi="Arial" w:eastAsia="Arial" w:cs="Arial"/>
      <w:b/>
      <w:bCs/>
      <w:sz w:val="22"/>
      <w:szCs w:val="22"/>
    </w:rPr>
  </w:style>
  <w:style w:type="character" w:styleId="261">
    <w:name w:val="Heading 6 Char"/>
    <w:basedOn w:val="1237"/>
    <w:link w:val="260"/>
    <w:uiPriority w:val="9"/>
    <w:rPr>
      <w:rFonts w:ascii="Arial" w:hAnsi="Arial" w:eastAsia="Arial" w:cs="Arial"/>
      <w:b/>
      <w:bCs/>
      <w:sz w:val="22"/>
      <w:szCs w:val="22"/>
    </w:rPr>
  </w:style>
  <w:style w:type="paragraph" w:styleId="262">
    <w:name w:val="Heading 7"/>
    <w:basedOn w:val="1236"/>
    <w:next w:val="1236"/>
    <w:link w:val="263"/>
    <w:uiPriority w:val="9"/>
    <w:unhideWhenUsed/>
    <w:qFormat/>
    <w:pPr>
      <w:keepLines/>
      <w:keepNext/>
      <w:spacing w:before="320" w:after="200"/>
      <w:outlineLvl w:val="6"/>
    </w:pPr>
    <w:rPr>
      <w:rFonts w:ascii="Arial" w:hAnsi="Arial" w:eastAsia="Arial" w:cs="Arial"/>
      <w:b/>
      <w:bCs/>
      <w:i/>
      <w:iCs/>
      <w:sz w:val="22"/>
      <w:szCs w:val="22"/>
    </w:rPr>
  </w:style>
  <w:style w:type="character" w:styleId="263">
    <w:name w:val="Heading 7 Char"/>
    <w:basedOn w:val="1237"/>
    <w:link w:val="262"/>
    <w:uiPriority w:val="9"/>
    <w:rPr>
      <w:rFonts w:ascii="Arial" w:hAnsi="Arial" w:eastAsia="Arial" w:cs="Arial"/>
      <w:b/>
      <w:bCs/>
      <w:i/>
      <w:iCs/>
      <w:sz w:val="22"/>
      <w:szCs w:val="22"/>
    </w:rPr>
  </w:style>
  <w:style w:type="paragraph" w:styleId="264">
    <w:name w:val="Heading 8"/>
    <w:basedOn w:val="1236"/>
    <w:next w:val="1236"/>
    <w:link w:val="265"/>
    <w:uiPriority w:val="9"/>
    <w:unhideWhenUsed/>
    <w:qFormat/>
    <w:pPr>
      <w:keepLines/>
      <w:keepNext/>
      <w:spacing w:before="320" w:after="200"/>
      <w:outlineLvl w:val="7"/>
    </w:pPr>
    <w:rPr>
      <w:rFonts w:ascii="Arial" w:hAnsi="Arial" w:eastAsia="Arial" w:cs="Arial"/>
      <w:i/>
      <w:iCs/>
      <w:sz w:val="22"/>
      <w:szCs w:val="22"/>
    </w:rPr>
  </w:style>
  <w:style w:type="character" w:styleId="265">
    <w:name w:val="Heading 8 Char"/>
    <w:basedOn w:val="1237"/>
    <w:link w:val="264"/>
    <w:uiPriority w:val="9"/>
    <w:rPr>
      <w:rFonts w:ascii="Arial" w:hAnsi="Arial" w:eastAsia="Arial" w:cs="Arial"/>
      <w:i/>
      <w:iCs/>
      <w:sz w:val="22"/>
      <w:szCs w:val="22"/>
    </w:rPr>
  </w:style>
  <w:style w:type="paragraph" w:styleId="266">
    <w:name w:val="Heading 9"/>
    <w:basedOn w:val="1236"/>
    <w:next w:val="1236"/>
    <w:link w:val="267"/>
    <w:uiPriority w:val="9"/>
    <w:unhideWhenUsed/>
    <w:qFormat/>
    <w:pPr>
      <w:keepLines/>
      <w:keepNext/>
      <w:spacing w:before="320" w:after="200"/>
      <w:outlineLvl w:val="8"/>
    </w:pPr>
    <w:rPr>
      <w:rFonts w:ascii="Arial" w:hAnsi="Arial" w:eastAsia="Arial" w:cs="Arial"/>
      <w:i/>
      <w:iCs/>
      <w:sz w:val="21"/>
      <w:szCs w:val="21"/>
    </w:rPr>
  </w:style>
  <w:style w:type="character" w:styleId="267">
    <w:name w:val="Heading 9 Char"/>
    <w:basedOn w:val="1237"/>
    <w:link w:val="266"/>
    <w:uiPriority w:val="9"/>
    <w:rPr>
      <w:rFonts w:ascii="Arial" w:hAnsi="Arial" w:eastAsia="Arial" w:cs="Arial"/>
      <w:i/>
      <w:iCs/>
      <w:sz w:val="21"/>
      <w:szCs w:val="21"/>
    </w:rPr>
  </w:style>
  <w:style w:type="paragraph" w:styleId="268">
    <w:name w:val="List Paragraph"/>
    <w:basedOn w:val="1236"/>
    <w:uiPriority w:val="34"/>
    <w:qFormat/>
    <w:pPr>
      <w:contextualSpacing/>
      <w:ind w:left="720"/>
    </w:pPr>
  </w:style>
  <w:style w:type="paragraph" w:styleId="270">
    <w:name w:val="No Spacing"/>
    <w:uiPriority w:val="1"/>
    <w:qFormat/>
    <w:pPr>
      <w:spacing w:before="0" w:after="0" w:line="240" w:lineRule="auto"/>
    </w:pPr>
  </w:style>
  <w:style w:type="paragraph" w:styleId="271">
    <w:name w:val="Title"/>
    <w:basedOn w:val="1236"/>
    <w:next w:val="1236"/>
    <w:link w:val="272"/>
    <w:uiPriority w:val="10"/>
    <w:qFormat/>
    <w:pPr>
      <w:contextualSpacing/>
      <w:spacing w:before="300" w:after="200"/>
    </w:pPr>
    <w:rPr>
      <w:sz w:val="48"/>
      <w:szCs w:val="48"/>
    </w:rPr>
  </w:style>
  <w:style w:type="character" w:styleId="272">
    <w:name w:val="Title Char"/>
    <w:basedOn w:val="1237"/>
    <w:link w:val="271"/>
    <w:uiPriority w:val="10"/>
    <w:rPr>
      <w:sz w:val="48"/>
      <w:szCs w:val="48"/>
    </w:rPr>
  </w:style>
  <w:style w:type="paragraph" w:styleId="273">
    <w:name w:val="Subtitle"/>
    <w:basedOn w:val="1236"/>
    <w:next w:val="1236"/>
    <w:link w:val="274"/>
    <w:uiPriority w:val="11"/>
    <w:qFormat/>
    <w:pPr>
      <w:spacing w:before="200" w:after="200"/>
    </w:pPr>
    <w:rPr>
      <w:sz w:val="24"/>
      <w:szCs w:val="24"/>
    </w:rPr>
  </w:style>
  <w:style w:type="character" w:styleId="274">
    <w:name w:val="Subtitle Char"/>
    <w:basedOn w:val="1237"/>
    <w:link w:val="273"/>
    <w:uiPriority w:val="11"/>
    <w:rPr>
      <w:sz w:val="24"/>
      <w:szCs w:val="24"/>
    </w:rPr>
  </w:style>
  <w:style w:type="paragraph" w:styleId="275">
    <w:name w:val="Quote"/>
    <w:basedOn w:val="1236"/>
    <w:next w:val="1236"/>
    <w:link w:val="276"/>
    <w:uiPriority w:val="29"/>
    <w:qFormat/>
    <w:pPr>
      <w:ind w:left="720" w:right="720"/>
    </w:pPr>
    <w:rPr>
      <w:i/>
    </w:rPr>
  </w:style>
  <w:style w:type="character" w:styleId="276">
    <w:name w:val="Quote Char"/>
    <w:link w:val="275"/>
    <w:uiPriority w:val="29"/>
    <w:rPr>
      <w:i/>
    </w:rPr>
  </w:style>
  <w:style w:type="paragraph" w:styleId="277">
    <w:name w:val="Intense Quote"/>
    <w:basedOn w:val="1236"/>
    <w:next w:val="1236"/>
    <w:link w:val="27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278">
    <w:name w:val="Intense Quote Char"/>
    <w:link w:val="277"/>
    <w:uiPriority w:val="30"/>
    <w:rPr>
      <w:i/>
    </w:rPr>
  </w:style>
  <w:style w:type="paragraph" w:styleId="279">
    <w:name w:val="Header"/>
    <w:basedOn w:val="1236"/>
    <w:link w:val="280"/>
    <w:uiPriority w:val="99"/>
    <w:unhideWhenUsed/>
    <w:pPr>
      <w:spacing w:after="0" w:line="240" w:lineRule="auto"/>
      <w:tabs>
        <w:tab w:val="center" w:pos="7143" w:leader="none"/>
        <w:tab w:val="right" w:pos="14287" w:leader="none"/>
      </w:tabs>
    </w:pPr>
  </w:style>
  <w:style w:type="character" w:styleId="280">
    <w:name w:val="Header Char"/>
    <w:basedOn w:val="1237"/>
    <w:link w:val="279"/>
    <w:uiPriority w:val="99"/>
  </w:style>
  <w:style w:type="paragraph" w:styleId="281">
    <w:name w:val="Footer"/>
    <w:basedOn w:val="1236"/>
    <w:link w:val="282"/>
    <w:uiPriority w:val="99"/>
    <w:unhideWhenUsed/>
    <w:pPr>
      <w:spacing w:after="0" w:line="240" w:lineRule="auto"/>
      <w:tabs>
        <w:tab w:val="center" w:pos="7143" w:leader="none"/>
        <w:tab w:val="right" w:pos="14287" w:leader="none"/>
      </w:tabs>
    </w:pPr>
  </w:style>
  <w:style w:type="character" w:styleId="282">
    <w:name w:val="Footer Char"/>
    <w:basedOn w:val="1237"/>
    <w:link w:val="281"/>
    <w:uiPriority w:val="99"/>
  </w:style>
  <w:style w:type="paragraph" w:styleId="283">
    <w:name w:val="Caption"/>
    <w:basedOn w:val="1236"/>
    <w:next w:val="1236"/>
    <w:link w:val="284"/>
    <w:uiPriority w:val="35"/>
    <w:semiHidden/>
    <w:unhideWhenUsed/>
    <w:qFormat/>
    <w:pPr>
      <w:spacing w:line="276" w:lineRule="auto"/>
    </w:pPr>
    <w:rPr>
      <w:b/>
      <w:bCs/>
      <w:color w:val="4f81bd" w:themeColor="accent1"/>
      <w:sz w:val="18"/>
      <w:szCs w:val="18"/>
    </w:rPr>
  </w:style>
  <w:style w:type="character" w:styleId="284">
    <w:name w:val="Caption Char"/>
    <w:basedOn w:val="1237"/>
    <w:link w:val="283"/>
    <w:uiPriority w:val="35"/>
    <w:rPr>
      <w:b/>
      <w:bCs/>
      <w:color w:val="4f81bd" w:themeColor="accent1"/>
      <w:sz w:val="18"/>
      <w:szCs w:val="18"/>
    </w:rPr>
  </w:style>
  <w:style w:type="table" w:styleId="285">
    <w:name w:val="Table Grid"/>
    <w:basedOn w:val="123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6">
    <w:name w:val="Table Grid Light"/>
    <w:basedOn w:val="12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287">
    <w:name w:val="Plain Table 1"/>
    <w:basedOn w:val="12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88">
    <w:name w:val="Plain Table 2"/>
    <w:basedOn w:val="12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89">
    <w:name w:val="Plain Table 3"/>
    <w:basedOn w:val="12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90">
    <w:name w:val="Plain Table 4"/>
    <w:basedOn w:val="12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91">
    <w:name w:val="Plain Table 5"/>
    <w:basedOn w:val="12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292">
    <w:name w:val="Grid Table 1 Light"/>
    <w:basedOn w:val="12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293">
    <w:name w:val="Grid Table 1 Light - Accent 1"/>
    <w:basedOn w:val="12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294">
    <w:name w:val="Grid Table 1 Light - Accent 2"/>
    <w:basedOn w:val="12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295">
    <w:name w:val="Grid Table 1 Light - Accent 3"/>
    <w:basedOn w:val="12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296">
    <w:name w:val="Grid Table 1 Light - Accent 4"/>
    <w:basedOn w:val="12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297">
    <w:name w:val="Grid Table 1 Light - Accent 5"/>
    <w:basedOn w:val="12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298">
    <w:name w:val="Grid Table 1 Light - Accent 6"/>
    <w:basedOn w:val="12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299">
    <w:name w:val="Grid Table 2"/>
    <w:basedOn w:val="12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300">
    <w:name w:val="Grid Table 2 - Accent 1"/>
    <w:basedOn w:val="12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301">
    <w:name w:val="Grid Table 2 - Accent 2"/>
    <w:basedOn w:val="12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302">
    <w:name w:val="Grid Table 2 - Accent 3"/>
    <w:basedOn w:val="12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303">
    <w:name w:val="Grid Table 2 - Accent 4"/>
    <w:basedOn w:val="12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304">
    <w:name w:val="Grid Table 2 - Accent 5"/>
    <w:basedOn w:val="12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305">
    <w:name w:val="Grid Table 2 - Accent 6"/>
    <w:basedOn w:val="12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306">
    <w:name w:val="Grid Table 3"/>
    <w:basedOn w:val="12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7">
    <w:name w:val="Grid Table 3 - Accent 1"/>
    <w:basedOn w:val="12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8">
    <w:name w:val="Grid Table 3 - Accent 2"/>
    <w:basedOn w:val="12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09">
    <w:name w:val="Grid Table 3 - Accent 3"/>
    <w:basedOn w:val="12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0">
    <w:name w:val="Grid Table 3 - Accent 4"/>
    <w:basedOn w:val="12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1">
    <w:name w:val="Grid Table 3 - Accent 5"/>
    <w:basedOn w:val="12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2">
    <w:name w:val="Grid Table 3 - Accent 6"/>
    <w:basedOn w:val="12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313">
    <w:name w:val="Grid Table 4"/>
    <w:basedOn w:val="12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314">
    <w:name w:val="Grid Table 4 - Accent 1"/>
    <w:basedOn w:val="12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315">
    <w:name w:val="Grid Table 4 - Accent 2"/>
    <w:basedOn w:val="12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316">
    <w:name w:val="Grid Table 4 - Accent 3"/>
    <w:basedOn w:val="12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317">
    <w:name w:val="Grid Table 4 - Accent 4"/>
    <w:basedOn w:val="12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318">
    <w:name w:val="Grid Table 4 - Accent 5"/>
    <w:basedOn w:val="12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319">
    <w:name w:val="Grid Table 4 - Accent 6"/>
    <w:basedOn w:val="12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320">
    <w:name w:val="Grid Table 5 Dark"/>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321">
    <w:name w:val="Grid Table 5 Dark- Accent 1"/>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322">
    <w:name w:val="Grid Table 5 Dark - Accent 2"/>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323">
    <w:name w:val="Grid Table 5 Dark - Accent 3"/>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324">
    <w:name w:val="Grid Table 5 Dark- Accent 4"/>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325">
    <w:name w:val="Grid Table 5 Dark - Accent 5"/>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326">
    <w:name w:val="Grid Table 5 Dark - Accent 6"/>
    <w:basedOn w:val="12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327">
    <w:name w:val="Grid Table 6 Colorful"/>
    <w:basedOn w:val="12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328">
    <w:name w:val="Grid Table 6 Colorful - Accent 1"/>
    <w:basedOn w:val="12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329">
    <w:name w:val="Grid Table 6 Colorful - Accent 2"/>
    <w:basedOn w:val="12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330">
    <w:name w:val="Grid Table 6 Colorful - Accent 3"/>
    <w:basedOn w:val="12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331">
    <w:name w:val="Grid Table 6 Colorful - Accent 4"/>
    <w:basedOn w:val="12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332">
    <w:name w:val="Grid Table 6 Colorful - Accent 5"/>
    <w:basedOn w:val="12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3">
    <w:name w:val="Grid Table 6 Colorful - Accent 6"/>
    <w:basedOn w:val="12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334">
    <w:name w:val="Grid Table 7 Colorful"/>
    <w:basedOn w:val="12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335">
    <w:name w:val="Grid Table 7 Colorful - Accent 1"/>
    <w:basedOn w:val="12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336">
    <w:name w:val="Grid Table 7 Colorful - Accent 2"/>
    <w:basedOn w:val="12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337">
    <w:name w:val="Grid Table 7 Colorful - Accent 3"/>
    <w:basedOn w:val="12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338">
    <w:name w:val="Grid Table 7 Colorful - Accent 4"/>
    <w:basedOn w:val="12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339">
    <w:name w:val="Grid Table 7 Colorful - Accent 5"/>
    <w:basedOn w:val="12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340">
    <w:name w:val="Grid Table 7 Colorful - Accent 6"/>
    <w:basedOn w:val="12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341">
    <w:name w:val="List Table 1 Light"/>
    <w:basedOn w:val="12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342">
    <w:name w:val="List Table 1 Light - Accent 1"/>
    <w:basedOn w:val="12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343">
    <w:name w:val="List Table 1 Light - Accent 2"/>
    <w:basedOn w:val="12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344">
    <w:name w:val="List Table 1 Light - Accent 3"/>
    <w:basedOn w:val="12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345">
    <w:name w:val="List Table 1 Light - Accent 4"/>
    <w:basedOn w:val="12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346">
    <w:name w:val="List Table 1 Light - Accent 5"/>
    <w:basedOn w:val="12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347">
    <w:name w:val="List Table 1 Light - Accent 6"/>
    <w:basedOn w:val="12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348">
    <w:name w:val="List Table 2"/>
    <w:basedOn w:val="12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349">
    <w:name w:val="List Table 2 - Accent 1"/>
    <w:basedOn w:val="12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350">
    <w:name w:val="List Table 2 - Accent 2"/>
    <w:basedOn w:val="12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351">
    <w:name w:val="List Table 2 - Accent 3"/>
    <w:basedOn w:val="12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352">
    <w:name w:val="List Table 2 - Accent 4"/>
    <w:basedOn w:val="12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353">
    <w:name w:val="List Table 2 - Accent 5"/>
    <w:basedOn w:val="12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354">
    <w:name w:val="List Table 2 - Accent 6"/>
    <w:basedOn w:val="12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355">
    <w:name w:val="List Table 3"/>
    <w:basedOn w:val="12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56">
    <w:name w:val="List Table 3 - Accent 1"/>
    <w:basedOn w:val="12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57">
    <w:name w:val="List Table 3 - Accent 2"/>
    <w:basedOn w:val="12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358">
    <w:name w:val="List Table 3 - Accent 3"/>
    <w:basedOn w:val="12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359">
    <w:name w:val="List Table 3 - Accent 4"/>
    <w:basedOn w:val="12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360">
    <w:name w:val="List Table 3 - Accent 5"/>
    <w:basedOn w:val="12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361">
    <w:name w:val="List Table 3 - Accent 6"/>
    <w:basedOn w:val="12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362">
    <w:name w:val="List Table 4"/>
    <w:basedOn w:val="12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363">
    <w:name w:val="List Table 4 - Accent 1"/>
    <w:basedOn w:val="12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364">
    <w:name w:val="List Table 4 - Accent 2"/>
    <w:basedOn w:val="12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365">
    <w:name w:val="List Table 4 - Accent 3"/>
    <w:basedOn w:val="12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366">
    <w:name w:val="List Table 4 - Accent 4"/>
    <w:basedOn w:val="12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367">
    <w:name w:val="List Table 4 - Accent 5"/>
    <w:basedOn w:val="12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368">
    <w:name w:val="List Table 4 - Accent 6"/>
    <w:basedOn w:val="12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369">
    <w:name w:val="List Table 5 Dark"/>
    <w:basedOn w:val="12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0">
    <w:name w:val="List Table 5 Dark - Accent 1"/>
    <w:basedOn w:val="12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1">
    <w:name w:val="List Table 5 Dark - Accent 2"/>
    <w:basedOn w:val="12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2">
    <w:name w:val="List Table 5 Dark - Accent 3"/>
    <w:basedOn w:val="12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3">
    <w:name w:val="List Table 5 Dark - Accent 4"/>
    <w:basedOn w:val="12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4">
    <w:name w:val="List Table 5 Dark - Accent 5"/>
    <w:basedOn w:val="12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5">
    <w:name w:val="List Table 5 Dark - Accent 6"/>
    <w:basedOn w:val="12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376">
    <w:name w:val="List Table 6 Colorful"/>
    <w:basedOn w:val="12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377">
    <w:name w:val="List Table 6 Colorful - Accent 1"/>
    <w:basedOn w:val="12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378">
    <w:name w:val="List Table 6 Colorful - Accent 2"/>
    <w:basedOn w:val="12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379">
    <w:name w:val="List Table 6 Colorful - Accent 3"/>
    <w:basedOn w:val="12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380">
    <w:name w:val="List Table 6 Colorful - Accent 4"/>
    <w:basedOn w:val="12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381">
    <w:name w:val="List Table 6 Colorful - Accent 5"/>
    <w:basedOn w:val="12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382">
    <w:name w:val="List Table 6 Colorful - Accent 6"/>
    <w:basedOn w:val="12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383">
    <w:name w:val="List Table 7 Colorful"/>
    <w:basedOn w:val="12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384">
    <w:name w:val="List Table 7 Colorful - Accent 1"/>
    <w:basedOn w:val="12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385">
    <w:name w:val="List Table 7 Colorful - Accent 2"/>
    <w:basedOn w:val="12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386">
    <w:name w:val="List Table 7 Colorful - Accent 3"/>
    <w:basedOn w:val="12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387">
    <w:name w:val="List Table 7 Colorful - Accent 4"/>
    <w:basedOn w:val="12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388">
    <w:name w:val="List Table 7 Colorful - Accent 5"/>
    <w:basedOn w:val="12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389">
    <w:name w:val="List Table 7 Colorful - Accent 6"/>
    <w:basedOn w:val="12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390">
    <w:name w:val="Lined - Accent"/>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1">
    <w:name w:val="Lined - Accent 1"/>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2">
    <w:name w:val="Lined - Accent 2"/>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393">
    <w:name w:val="Lined - Accent 3"/>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394">
    <w:name w:val="Lined - Accent 4"/>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395">
    <w:name w:val="Lined - Accent 5"/>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396">
    <w:name w:val="Lined - Accent 6"/>
    <w:basedOn w:val="12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397">
    <w:name w:val="Bordered &amp; Lined - Accent"/>
    <w:basedOn w:val="12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398">
    <w:name w:val="Bordered &amp; Lined - Accent 1"/>
    <w:basedOn w:val="12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399">
    <w:name w:val="Bordered &amp; Lined - Accent 2"/>
    <w:basedOn w:val="12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400">
    <w:name w:val="Bordered &amp; Lined - Accent 3"/>
    <w:basedOn w:val="12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401">
    <w:name w:val="Bordered &amp; Lined - Accent 4"/>
    <w:basedOn w:val="12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402">
    <w:name w:val="Bordered &amp; Lined - Accent 5"/>
    <w:basedOn w:val="12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403">
    <w:name w:val="Bordered &amp; Lined - Accent 6"/>
    <w:basedOn w:val="12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404">
    <w:name w:val="Bordered"/>
    <w:basedOn w:val="12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405">
    <w:name w:val="Bordered - Accent 1"/>
    <w:basedOn w:val="12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406">
    <w:name w:val="Bordered - Accent 2"/>
    <w:basedOn w:val="12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407">
    <w:name w:val="Bordered - Accent 3"/>
    <w:basedOn w:val="12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408">
    <w:name w:val="Bordered - Accent 4"/>
    <w:basedOn w:val="12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409">
    <w:name w:val="Bordered - Accent 5"/>
    <w:basedOn w:val="12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410">
    <w:name w:val="Bordered - Accent 6"/>
    <w:basedOn w:val="12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411">
    <w:name w:val="Hyperlink"/>
    <w:uiPriority w:val="99"/>
    <w:unhideWhenUsed/>
    <w:rPr>
      <w:color w:val="0000ff" w:themeColor="hyperlink"/>
      <w:u w:val="single"/>
    </w:rPr>
  </w:style>
  <w:style w:type="paragraph" w:styleId="412">
    <w:name w:val="footnote text"/>
    <w:basedOn w:val="1236"/>
    <w:link w:val="413"/>
    <w:uiPriority w:val="99"/>
    <w:semiHidden/>
    <w:unhideWhenUsed/>
    <w:pPr>
      <w:spacing w:after="40" w:line="240" w:lineRule="auto"/>
    </w:pPr>
    <w:rPr>
      <w:sz w:val="18"/>
    </w:rPr>
  </w:style>
  <w:style w:type="character" w:styleId="413">
    <w:name w:val="Footnote Text Char"/>
    <w:link w:val="412"/>
    <w:uiPriority w:val="99"/>
    <w:rPr>
      <w:sz w:val="18"/>
    </w:rPr>
  </w:style>
  <w:style w:type="character" w:styleId="414">
    <w:name w:val="footnote reference"/>
    <w:basedOn w:val="1237"/>
    <w:uiPriority w:val="99"/>
    <w:unhideWhenUsed/>
    <w:rPr>
      <w:vertAlign w:val="superscript"/>
    </w:rPr>
  </w:style>
  <w:style w:type="paragraph" w:styleId="415">
    <w:name w:val="endnote text"/>
    <w:basedOn w:val="1236"/>
    <w:link w:val="416"/>
    <w:uiPriority w:val="99"/>
    <w:semiHidden/>
    <w:unhideWhenUsed/>
    <w:pPr>
      <w:spacing w:after="0" w:line="240" w:lineRule="auto"/>
    </w:pPr>
    <w:rPr>
      <w:sz w:val="20"/>
    </w:rPr>
  </w:style>
  <w:style w:type="character" w:styleId="416">
    <w:name w:val="Endnote Text Char"/>
    <w:link w:val="415"/>
    <w:uiPriority w:val="99"/>
    <w:rPr>
      <w:sz w:val="20"/>
    </w:rPr>
  </w:style>
  <w:style w:type="character" w:styleId="417">
    <w:name w:val="endnote reference"/>
    <w:basedOn w:val="1237"/>
    <w:uiPriority w:val="99"/>
    <w:semiHidden/>
    <w:unhideWhenUsed/>
    <w:rPr>
      <w:vertAlign w:val="superscript"/>
    </w:rPr>
  </w:style>
  <w:style w:type="paragraph" w:styleId="418">
    <w:name w:val="toc 1"/>
    <w:basedOn w:val="1236"/>
    <w:next w:val="1236"/>
    <w:uiPriority w:val="39"/>
    <w:unhideWhenUsed/>
    <w:pPr>
      <w:ind w:left="0" w:right="0" w:firstLine="0"/>
      <w:spacing w:after="57"/>
    </w:pPr>
  </w:style>
  <w:style w:type="paragraph" w:styleId="419">
    <w:name w:val="toc 2"/>
    <w:basedOn w:val="1236"/>
    <w:next w:val="1236"/>
    <w:uiPriority w:val="39"/>
    <w:unhideWhenUsed/>
    <w:pPr>
      <w:ind w:left="283" w:right="0" w:firstLine="0"/>
      <w:spacing w:after="57"/>
    </w:pPr>
  </w:style>
  <w:style w:type="paragraph" w:styleId="420">
    <w:name w:val="toc 3"/>
    <w:basedOn w:val="1236"/>
    <w:next w:val="1236"/>
    <w:uiPriority w:val="39"/>
    <w:unhideWhenUsed/>
    <w:pPr>
      <w:ind w:left="567" w:right="0" w:firstLine="0"/>
      <w:spacing w:after="57"/>
    </w:pPr>
  </w:style>
  <w:style w:type="paragraph" w:styleId="421">
    <w:name w:val="toc 4"/>
    <w:basedOn w:val="1236"/>
    <w:next w:val="1236"/>
    <w:uiPriority w:val="39"/>
    <w:unhideWhenUsed/>
    <w:pPr>
      <w:ind w:left="850" w:right="0" w:firstLine="0"/>
      <w:spacing w:after="57"/>
    </w:pPr>
  </w:style>
  <w:style w:type="paragraph" w:styleId="422">
    <w:name w:val="toc 5"/>
    <w:basedOn w:val="1236"/>
    <w:next w:val="1236"/>
    <w:uiPriority w:val="39"/>
    <w:unhideWhenUsed/>
    <w:pPr>
      <w:ind w:left="1134" w:right="0" w:firstLine="0"/>
      <w:spacing w:after="57"/>
    </w:pPr>
  </w:style>
  <w:style w:type="paragraph" w:styleId="423">
    <w:name w:val="toc 6"/>
    <w:basedOn w:val="1236"/>
    <w:next w:val="1236"/>
    <w:uiPriority w:val="39"/>
    <w:unhideWhenUsed/>
    <w:pPr>
      <w:ind w:left="1417" w:right="0" w:firstLine="0"/>
      <w:spacing w:after="57"/>
    </w:pPr>
  </w:style>
  <w:style w:type="paragraph" w:styleId="424">
    <w:name w:val="toc 7"/>
    <w:basedOn w:val="1236"/>
    <w:next w:val="1236"/>
    <w:uiPriority w:val="39"/>
    <w:unhideWhenUsed/>
    <w:pPr>
      <w:ind w:left="1701" w:right="0" w:firstLine="0"/>
      <w:spacing w:after="57"/>
    </w:pPr>
  </w:style>
  <w:style w:type="paragraph" w:styleId="425">
    <w:name w:val="toc 8"/>
    <w:basedOn w:val="1236"/>
    <w:next w:val="1236"/>
    <w:uiPriority w:val="39"/>
    <w:unhideWhenUsed/>
    <w:pPr>
      <w:ind w:left="1984" w:right="0" w:firstLine="0"/>
      <w:spacing w:after="57"/>
    </w:pPr>
  </w:style>
  <w:style w:type="paragraph" w:styleId="426">
    <w:name w:val="toc 9"/>
    <w:basedOn w:val="1236"/>
    <w:next w:val="1236"/>
    <w:uiPriority w:val="39"/>
    <w:unhideWhenUsed/>
    <w:pPr>
      <w:ind w:left="2268" w:right="0" w:firstLine="0"/>
      <w:spacing w:after="57"/>
    </w:pPr>
  </w:style>
  <w:style w:type="paragraph" w:styleId="427">
    <w:name w:val="TOC Heading"/>
    <w:uiPriority w:val="39"/>
    <w:unhideWhenUsed/>
  </w:style>
  <w:style w:type="paragraph" w:styleId="428">
    <w:name w:val="table of figures"/>
    <w:basedOn w:val="1236"/>
    <w:next w:val="1236"/>
    <w:uiPriority w:val="99"/>
    <w:unhideWhenUsed/>
    <w:pPr>
      <w:spacing w:after="0" w:afterAutospacing="0"/>
    </w:pPr>
  </w:style>
  <w:style w:type="paragraph" w:styleId="1236" w:default="1">
    <w:name w:val="Normal"/>
    <w:qFormat/>
  </w:style>
  <w:style w:type="character" w:styleId="1237" w:default="1">
    <w:name w:val="Default Paragraph Font"/>
    <w:uiPriority w:val="1"/>
    <w:semiHidden/>
    <w:unhideWhenUsed/>
  </w:style>
  <w:style w:type="table" w:styleId="1238" w:default="1">
    <w:name w:val="Normal Table"/>
    <w:uiPriority w:val="99"/>
    <w:semiHidden/>
    <w:unhideWhenUsed/>
    <w:tblPr>
      <w:tblInd w:w="0" w:type="dxa"/>
      <w:tblCellMar>
        <w:left w:w="108" w:type="dxa"/>
        <w:top w:w="0" w:type="dxa"/>
        <w:right w:w="108" w:type="dxa"/>
        <w:bottom w:w="0" w:type="dxa"/>
      </w:tblCellMar>
    </w:tblPr>
  </w:style>
  <w:style w:type="numbering" w:styleId="1239" w:default="1">
    <w:name w:val="No List"/>
    <w:uiPriority w:val="99"/>
    <w:semiHidden/>
    <w:unhideWhenUsed/>
  </w:style>
  <w:style w:type="character" w:styleId="1240">
    <w:name w:val="Placeholder Text"/>
    <w:basedOn w:val="1237"/>
    <w:uiPriority w:val="99"/>
    <w:qFormat/>
    <w:rPr>
      <w:color w:val="808080"/>
    </w:rPr>
  </w:style>
  <w:style w:type="paragraph" w:styleId="1241" w:customStyle="1">
    <w:name w:val="AC75987912FD431D9D7959A4F2276D59"/>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10DF-DB6E-406D-BE02-D961DF26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Возмездное оказание услуг</dc:subject>
  <dc:creator>Ruu Cha</dc:creator>
  <cp:lastModifiedBy>ilyushina.a.yu</cp:lastModifiedBy>
  <cp:revision>5</cp:revision>
  <dcterms:created xsi:type="dcterms:W3CDTF">2026-04-17T13:37:00Z</dcterms:created>
  <dcterms:modified xsi:type="dcterms:W3CDTF">2026-06-03T07:05:49Z</dcterms:modified>
  <cp:category>Медицинские компании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401DEA0D284440588645D465F86459D8_13</vt:lpwstr>
  </property>
</Properties>
</file>