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xmlns:wp="http://schemas.openxmlformats.org/drawingml/2006/wordprocessingDrawing" xmlns:wpg="http://schemas.microsoft.com/office/word/2010/wordprocessingGroup" xmlns:wps="http://schemas.microsoft.com/office/word/2010/wordprocessingShape">
  <w:body>
    <w:tbl>
      <w:tblPr>
        <w:tblStyle w:val="TableStyle0"/>
        <w:tblW w:w="10605" w:type="dxa"/>
        <w:tblLayout w:type="fixed"/>
        <w:tblCellMar>
          <w:left w:w="0" w:type="dxa"/>
          <w:right w:w="0" w:type="dxa"/>
        </w:tblCellMar>
        <w:tblLook w:val="04A0"/>
      </w:tblPr>
      <w:tblGrid>
        <w:gridCol w:w="945"/>
        <w:gridCol w:w="9660"/>
      </w:tblGrid>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jc w:val="center"/>
            </w:pPr>
            <w:r>
              <w:rPr>
                <w:rFonts w:ascii="Times New Roman" w:hAnsi="Times New Roman"/>
                <w:sz w:val="18"/>
                <w:szCs w:val="18"/>
              </w:rPr>
              <w:t>Договор № 597-Р</w:t>
            </w:r>
          </w:p>
        </w:tc>
      </w:tr>
    </w:tbl>
    <w:tbl>
      <w:tblPr>
        <w:tblStyle w:val="TableStyle1"/>
        <w:tblW w:w="10605" w:type="dxa"/>
        <w:tblLayout w:type="fixed"/>
        <w:tblCellMar>
          <w:left w:w="0" w:type="dxa"/>
          <w:right w:w="0" w:type="dxa"/>
        </w:tblCellMar>
        <w:tblLook w:val="04A0"/>
      </w:tblPr>
      <w:tblGrid>
        <w:gridCol w:w="945"/>
        <w:gridCol w:w="4830"/>
        <w:gridCol w:w="4830"/>
      </w:tblGrid>
      <w:tr>
        <w:trPr>
          <w:cantSplit/>
          <w:trHeight w:val="0" w:hRule="auto"/>
        </w:trPr>
        <w:tc>
          <w:tcPr>
            <w:tcW w:w="945" w:type="dxa"/>
            <w:shd w:val="clear" w:color="auto" w:fill="auto"/>
            <w:textDirection w:val="lrTb"/>
            <w:vAlign w:val="bottom"/>
          </w:tcPr>
          <w:p>
            <w:pPr>
              <w:spacing w:after="0"/>
              <w:jc w:val="left"/>
            </w:pPr>
          </w:p>
        </w:tc>
        <w:tc>
          <w:tcPr>
            <w:tcW w:w="4830" w:type="dxa"/>
            <w:shd w:val="clear" w:color="auto" w:fill="auto"/>
            <w:textDirection w:val="lrTb"/>
            <w:vAlign w:val="bottom"/>
          </w:tcPr>
          <w:p>
            <w:pPr>
              <w:spacing w:after="0"/>
              <w:jc w:val="left"/>
            </w:pPr>
            <w:r>
              <w:rPr>
                <w:rFonts w:ascii="Times New Roman" w:hAnsi="Times New Roman"/>
                <w:sz w:val="18"/>
                <w:szCs w:val="18"/>
              </w:rPr>
              <w:t>г. Красноярск</w:t>
            </w:r>
          </w:p>
        </w:tc>
        <w:tc>
          <w:tcPr>
            <w:tcW w:w="4830" w:type="dxa"/>
            <w:shd w:val="clear" w:color="auto" w:fill="auto"/>
            <w:textDirection w:val="lrTb"/>
            <w:vAlign w:val="bottom"/>
          </w:tcPr>
          <w:p>
            <w:pPr>
              <w:spacing w:after="0"/>
              <w:jc w:val="right"/>
            </w:pPr>
            <w:r>
              <w:rPr>
                <w:rFonts w:ascii="Times New Roman" w:hAnsi="Times New Roman"/>
                <w:sz w:val="18"/>
                <w:szCs w:val="18"/>
              </w:rPr>
              <w:t>«08» апреля 2026 г.</w:t>
            </w:r>
          </w:p>
        </w:tc>
      </w:tr>
    </w:tbl>
    <w:tbl>
      <w:tblPr>
        <w:tblStyle w:val="TableStyle2"/>
        <w:tblW w:w="10605" w:type="dxa"/>
        <w:tblLayout w:type="fixed"/>
        <w:tblCellMar>
          <w:left w:w="0" w:type="dxa"/>
          <w:right w:w="0" w:type="dxa"/>
        </w:tblCellMar>
        <w:tblLook w:val="04A0"/>
      </w:tblPr>
      <w:tblGrid>
        <w:gridCol w:w="945"/>
        <w:gridCol w:w="9660"/>
      </w:tblGrid>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left"/>
            </w:pP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 xml:space="preserve">    Федеральное бюджетное учреждение «Государственный региональный центр стандартизации, метрологии и испытаний в Красноярском крае, Республике Хакасия и Республике Тыва» (ФБУ «Красноярский ЦСМ»), именуемое в дальнейшем Исполнитель, в лице  инженера первой категории Романовой Виктории Андреевны, действующего на основании доверенности 28/10-24/50 от 11.09.2024, и ФЕДЕРАЛЬНОЕ ГОСУДАРСТВЕННОЕ КАЗЕННОЕ УЧРЕЖДЕНИЕ "СПЕЦИАЛЬНОЕ УПРАВЛЕНИЕ ФЕДЕРАЛЬНОЙ ПРОТИВОПОЖАРНОЙ СЛУЖБЫ № 19 МИНИСТЕРСТВА РОССИЙСКОЙ ФЕДЕРАЦИИ ПО ДЕЛАМ ГРАЖДАНСКОЙ ОБОРОНЫ, ЧРЕЗВЫЧАЙНЫМ СИТУАЦИЯМ И ЛИКВИДАЦИИ ПОСЛЕДСТВИЙ СТИХИЙНЫХ БЕДСТВИЙ" именуемое в дальнейшем Заказчик, в лице ________________________________________ ________________________________________________________________________________________________________________________________________, действующего на основании __________________________, с другой стороны, руководствуясь п.4 ч.1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jc w:val="center"/>
            </w:pPr>
            <w:r>
              <w:rPr>
                <w:rFonts w:ascii="Times New Roman" w:hAnsi="Times New Roman"/>
                <w:sz w:val="18"/>
                <w:szCs w:val="18"/>
              </w:rPr>
              <w:t>1. Предмет договора.</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1.1. Согласно настоящему договору  Исполнитель по заданию Заказчика, обязуется оказать следующие услуги:</w:t>
            </w:r>
          </w:p>
        </w:tc>
      </w:tr>
    </w:tbl>
    <w:tbl>
      <w:tblPr>
        <w:tblStyle w:val="TableStyle3"/>
        <w:tblW w:w="10605" w:type="dxa"/>
        <w:tblLayout w:type="fixed"/>
        <w:tblCellMar>
          <w:left w:w="0" w:type="dxa"/>
          <w:right w:w="0" w:type="dxa"/>
        </w:tblCellMar>
        <w:tblLook w:val="04A0"/>
      </w:tblPr>
      <w:tblGrid>
        <w:gridCol w:w="945"/>
        <w:gridCol w:w="525"/>
        <w:gridCol w:w="8085"/>
        <w:gridCol w:w="1050"/>
      </w:tblGrid>
      <w:tr>
        <w:trPr>
          <w:cantSplit/>
          <w:trHeight w:val="0" w:hRule="auto"/>
        </w:trPr>
        <w:tc>
          <w:tcPr>
            <w:tcW w:w="945" w:type="dxa"/>
            <w:shd w:val="clear" w:color="auto" w:fill="auto"/>
            <w:textDirection w:val="lrTb"/>
            <w:vAlign w:val="bottom"/>
          </w:tcPr>
          <w:p>
            <w:pPr>
              <w:spacing w:after="0"/>
              <w:wordWrap w:val="1"/>
              <w:jc w:val="both"/>
            </w:pPr>
          </w:p>
        </w:tc>
        <w:tc>
          <w:tcPr>
            <w:tcW w:w="525" w:type="dxa"/>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sz w:val="18"/>
                <w:szCs w:val="18"/>
              </w:rPr>
              <w:t>№ п/п</w:t>
            </w:r>
          </w:p>
        </w:tc>
        <w:tc>
          <w:tcPr>
            <w:tcW w:w="8085" w:type="dxa"/>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sz w:val="18"/>
                <w:szCs w:val="18"/>
              </w:rPr>
              <w:t>Наименование услуг, наименование СИ (ИО)</w:t>
            </w:r>
          </w:p>
        </w:tc>
        <w:tc>
          <w:tcPr>
            <w:tcW w:w="1050" w:type="dxa"/>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sz w:val="18"/>
                <w:szCs w:val="18"/>
              </w:rPr>
              <w:t>Кол-во</w:t>
            </w:r>
          </w:p>
        </w:tc>
      </w:tr>
      <w:tr>
        <w:trPr>
          <w:cantSplit/>
          <w:trHeight w:val="0" w:hRule="auto"/>
        </w:trPr>
        <w:tc>
          <w:tcPr>
            <w:tcW w:w="945" w:type="dxa"/>
            <w:shd w:val="clear" w:color="auto" w:fill="auto"/>
            <w:textDirection w:val="lrTb"/>
            <w:vAlign w:val="bottom"/>
          </w:tcPr>
          <w:p>
            <w:pPr>
              <w:spacing w:after="0"/>
              <w:wordWrap w:val="1"/>
              <w:jc w:val="both"/>
            </w:pPr>
          </w:p>
        </w:tc>
        <w:tc>
          <w:tcPr>
            <w:tcW w:w="525"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1</w:t>
            </w:r>
          </w:p>
        </w:tc>
        <w:tc>
          <w:tcPr>
            <w:tcW w:w="8085"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18"/>
                <w:szCs w:val="18"/>
              </w:rPr>
              <w:t>Диагностика СИ: Динамометр общего назначения ДПУ-0,5-2</w:t>
            </w:r>
          </w:p>
        </w:tc>
        <w:tc>
          <w:tcPr>
            <w:tcW w:w="105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1</w:t>
            </w:r>
          </w:p>
        </w:tc>
      </w:tr>
      <w:tr>
        <w:trPr>
          <w:cantSplit/>
          <w:trHeight w:val="0" w:hRule="auto"/>
        </w:trPr>
        <w:tc>
          <w:tcPr>
            <w:tcW w:w="945" w:type="dxa"/>
            <w:shd w:val="clear" w:color="auto" w:fill="auto"/>
            <w:textDirection w:val="lrTb"/>
            <w:vAlign w:val="bottom"/>
          </w:tcPr>
          <w:p>
            <w:pPr>
              <w:spacing w:after="0"/>
              <w:wordWrap w:val="1"/>
              <w:jc w:val="both"/>
            </w:pPr>
          </w:p>
        </w:tc>
        <w:tc>
          <w:tcPr>
            <w:tcW w:w="525"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2</w:t>
            </w:r>
          </w:p>
        </w:tc>
        <w:tc>
          <w:tcPr>
            <w:tcW w:w="8085"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18"/>
                <w:szCs w:val="18"/>
              </w:rPr>
              <w:t>Диагностика СИ: Динамометр общего назначения ДПУ-5-2</w:t>
            </w:r>
          </w:p>
        </w:tc>
        <w:tc>
          <w:tcPr>
            <w:tcW w:w="105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1</w:t>
            </w:r>
          </w:p>
        </w:tc>
      </w:tr>
    </w:tbl>
    <w:tbl>
      <w:tblPr>
        <w:tblStyle w:val="TableStyle4"/>
        <w:tblW w:w="10605" w:type="dxa"/>
        <w:tblLayout w:type="fixed"/>
        <w:tblCellMar>
          <w:left w:w="0" w:type="dxa"/>
          <w:right w:w="0" w:type="dxa"/>
        </w:tblCellMar>
        <w:tblLook w:val="04A0"/>
      </w:tblPr>
      <w:tblGrid>
        <w:gridCol w:w="945"/>
        <w:gridCol w:w="9660"/>
      </w:tblGrid>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а Заказчик принять и оплатить оказанные услуги, в соответствии с разделом 3 настоящего договора.</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1.2. Наименование оборудования, категория ремонта, количество и стоимость, в каждом конкретном случае отражаются в Актах нарядах (Приложение № 2) являющимся неотъемлемой частью договора.</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wordWrap w:val="1"/>
              <w:jc w:val="left"/>
            </w:pPr>
            <w:r>
              <w:rPr>
                <w:rFonts w:ascii="Times New Roman" w:hAnsi="Times New Roman"/>
                <w:sz w:val="18"/>
                <w:szCs w:val="18"/>
              </w:rPr>
              <w:t>1.3.Результаты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 </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wordWrap w:val="1"/>
              <w:jc w:val="left"/>
            </w:pPr>
            <w:r>
              <w:rPr>
                <w:rFonts w:ascii="Times New Roman" w:hAnsi="Times New Roman"/>
                <w:sz w:val="18"/>
                <w:szCs w:val="18"/>
              </w:rPr>
              <w:t>1.4. По заявлению Заказчика на средство измерений наносится знак поверки, и (или) выдается свидетельство о поверке средства измерений, и (или) в паспорт (формуляр) средства измерений вносится запись о проведенной поверке, заверяемая подписью поверителя и знаком поверки, с указанием даты поверки, или выдается извещение о непригодности к применению средства измерений.</w:t>
            </w:r>
          </w:p>
          <w:p>
            <w:pPr>
              <w:spacing w:after="0"/>
              <w:wordWrap w:val="1"/>
              <w:jc w:val="left"/>
            </w:pPr>
            <w:r>
              <w:rPr>
                <w:rFonts w:ascii="Times New Roman" w:hAnsi="Times New Roman"/>
                <w:sz w:val="18"/>
                <w:szCs w:val="18"/>
              </w:rPr>
              <w:t>При необходимости оформления для Заказчика Выписки из Федерального информационного фонда по обеспечению единства измерений о поверке СИ такая выписка может быть представлена Исполнителем в течение 5-ти рабочих дней со дня публикации сведений в Федеральном информационном фонде.</w:t>
            </w:r>
          </w:p>
        </w:tc>
      </w:tr>
      <w:tr>
        <w:trPr>
          <w:cantSplit/>
          <w:trHeight w:val="0" w:hRule="auto"/>
        </w:trPr>
        <w:tc>
          <w:tcPr>
            <w:tcW w:w="945" w:type="dxa"/>
            <w:vMerge w:val="restart"/>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jc w:val="center"/>
            </w:pPr>
            <w:r>
              <w:rPr>
                <w:rFonts w:ascii="Times New Roman" w:hAnsi="Times New Roman"/>
                <w:sz w:val="18"/>
                <w:szCs w:val="18"/>
              </w:rPr>
              <w:t>2. Права и обязанности Сторон.</w:t>
            </w:r>
          </w:p>
        </w:tc>
      </w:tr>
      <w:tr>
        <w:trPr>
          <w:cantSplit/>
          <w:trHeight w:val="0" w:hRule="auto"/>
        </w:trPr>
        <w:tc>
          <w:tcPr>
            <w:tcW w:w="945" w:type="dxa"/>
            <w:vMerge w:val="continue"/>
            <w:shd w:val="clear" w:color="auto" w:fill="auto"/>
            <w:textDirection w:val="lrTb"/>
            <w:vAlign w:val="bottom"/>
          </w:tcPr>
          <w:p/>
        </w:tc>
        <w:tc>
          <w:tcPr>
            <w:tcW w:w="9660" w:type="dxa"/>
            <w:shd w:val="clear" w:color="auto" w:fill="auto"/>
            <w:textDirection w:val="lrTb"/>
            <w:vAlign w:val="bottom"/>
          </w:tcPr>
          <w:p>
            <w:pPr>
              <w:spacing w:after="0"/>
              <w:wordWrap w:val="1"/>
              <w:jc w:val="both"/>
            </w:pPr>
            <w:r>
              <w:rPr>
                <w:rFonts w:ascii="Times New Roman" w:hAnsi="Times New Roman"/>
                <w:sz w:val="18"/>
                <w:szCs w:val="18"/>
              </w:rPr>
              <w:t>2.1. Исполнитель обязуется:</w:t>
            </w:r>
          </w:p>
        </w:tc>
      </w:tr>
      <w:tr>
        <w:trPr>
          <w:cantSplit/>
          <w:trHeight w:val="0" w:hRule="auto"/>
        </w:trPr>
        <w:tc>
          <w:tcPr>
            <w:tcW w:w="945" w:type="dxa"/>
            <w:vMerge w:val="continue"/>
            <w:shd w:val="clear" w:color="auto" w:fill="auto"/>
            <w:textDirection w:val="lrTb"/>
            <w:vAlign w:val="bottom"/>
          </w:tcPr>
          <w:p/>
        </w:tc>
        <w:tc>
          <w:tcPr>
            <w:tcW w:w="9660" w:type="dxa"/>
            <w:shd w:val="clear" w:color="auto" w:fill="auto"/>
            <w:textDirection w:val="lrTb"/>
            <w:vAlign w:val="bottom"/>
          </w:tcPr>
          <w:p>
            <w:pPr>
              <w:spacing w:after="0"/>
              <w:wordWrap w:val="1"/>
              <w:jc w:val="both"/>
            </w:pPr>
            <w:r>
              <w:rPr>
                <w:rFonts w:ascii="Times New Roman" w:hAnsi="Times New Roman"/>
                <w:sz w:val="18"/>
                <w:szCs w:val="18"/>
              </w:rPr>
              <w:t>2.1.1. оказать услуги (выполнить работы), предусмотренные п. 1.1. настоящего договора в  течение 15 (пятнцадцати) рабочих дней с момента  поступления на склад Исполнителя всех необходимых запасных частей.</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2.1.2. В случае если сданное в ремонт СИ направляется Исполнителем на ремонт в субподрядную организацию, сроки ремонта определяются фактическим временем необходимым для реализации логистических и метрологических мероприятий и согласовываются с Заказчиком в отдельном порядке. Ответственность за действия субподрядной организации несет Исполнитель.</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2.1.3. оформить счет, приемную квитанцию, два экземпляра Акта об оказании услуг для оформления их со стороны Заказчика.</w:t>
            </w:r>
          </w:p>
        </w:tc>
      </w:tr>
      <w:tr>
        <w:trPr>
          <w:cantSplit/>
          <w:trHeight w:val="0" w:hRule="auto"/>
        </w:trPr>
        <w:tc>
          <w:tcPr>
            <w:tcW w:w="945" w:type="dxa"/>
            <w:shd w:val="clear" w:color="auto" w:fill="auto"/>
            <w:textDirection w:val="lrTb"/>
            <w:vAlign w:val="bottom"/>
          </w:tcPr>
          <w:p>
            <w:pPr>
              <w:spacing w:after="0"/>
              <w:wordWrap w:val="1"/>
              <w:jc w:val="left"/>
            </w:pPr>
          </w:p>
        </w:tc>
        <w:tc>
          <w:tcPr>
            <w:tcW w:w="9660" w:type="dxa"/>
            <w:shd w:val="clear" w:color="auto" w:fill="auto"/>
            <w:textDirection w:val="lrTb"/>
            <w:vAlign w:val="bottom"/>
          </w:tcPr>
          <w:p>
            <w:pPr>
              <w:spacing w:after="0"/>
              <w:wordWrap w:val="1"/>
              <w:jc w:val="both"/>
            </w:pPr>
            <w:r>
              <w:rPr>
                <w:rFonts w:ascii="Times New Roman" w:hAnsi="Times New Roman"/>
                <w:sz w:val="18"/>
                <w:szCs w:val="18"/>
              </w:rPr>
              <w:t>2.1.4. по завершении оказания услуг информировать Заказчика о готовности СИ из ремонта посредством электронного уведомления, при наличии у Исполнителя технической возможности.</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2.1.5. по завершении оказания услуг по ремонту, подписать со своей стороны Акт об оказании услуг и оформить Заказчику счет-фактуру установленного образца. Подписание актов об оказании услуг со стороны Исполнителя осуществляется ответственными лицами на основании приказа. Счет-фактура выдается представителю Заказчика в течение 5 календарных дней с даты предоставления подписанного со стороны Заказчика Акта об оказании услуг после окончания ремонта. При оформлении счета-фактуры Исполнитель руководствуется требованиями Налогового кодекса РФ.</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2.1.6. обеспечить сохранность переданных Заказчиком для оказания услуг СИ в течение срока оказания услуг.</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2.1.7. Исполнитель обязан передать сведения о результатах поверки средств измерений в Федеральный информационный фонд по обеспечению единства измерений в срок, установленный Федеральным законом от 26.06.2008 года №102-ФЗ «Об обеспечении единства измерений».</w:t>
            </w:r>
          </w:p>
        </w:tc>
      </w:tr>
      <w:tr>
        <w:trPr>
          <w:cantSplit/>
          <w:trHeight w:val="0" w:hRule="auto"/>
        </w:trPr>
        <w:tc>
          <w:tcPr>
            <w:tcW w:w="945" w:type="dxa"/>
            <w:vMerge w:val="restart"/>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2.2. Исполнитель вправе:</w:t>
            </w:r>
          </w:p>
        </w:tc>
      </w:tr>
      <w:tr>
        <w:trPr>
          <w:cantSplit/>
          <w:trHeight w:val="0" w:hRule="auto"/>
        </w:trPr>
        <w:tc>
          <w:tcPr>
            <w:tcW w:w="945" w:type="dxa"/>
            <w:vMerge w:val="continue"/>
            <w:shd w:val="clear" w:color="auto" w:fill="auto"/>
            <w:textDirection w:val="lrTb"/>
            <w:vAlign w:val="bottom"/>
          </w:tcPr>
          <w:p/>
        </w:tc>
        <w:tc>
          <w:tcPr>
            <w:tcW w:w="9660" w:type="dxa"/>
            <w:shd w:val="clear" w:color="auto" w:fill="auto"/>
            <w:textDirection w:val="lrTb"/>
            <w:vAlign w:val="bottom"/>
          </w:tcPr>
          <w:p>
            <w:pPr>
              <w:spacing w:after="0"/>
              <w:wordWrap w:val="1"/>
              <w:jc w:val="both"/>
            </w:pPr>
            <w:r>
              <w:rPr>
                <w:rFonts w:ascii="Times New Roman" w:hAnsi="Times New Roman"/>
                <w:sz w:val="18"/>
                <w:szCs w:val="18"/>
              </w:rPr>
              <w:t>2.2.1. Запрашивать у Заказчика документы, разъяснения и дополнительные сведения, необходимые для оказания услуг.</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wordWrap w:val="1"/>
              <w:jc w:val="left"/>
            </w:pPr>
            <w:r>
              <w:rPr>
                <w:rFonts w:ascii="Times New Roman" w:hAnsi="Times New Roman"/>
                <w:sz w:val="18"/>
                <w:szCs w:val="18"/>
              </w:rPr>
              <w:t>2.2.2. В случае отсутствия на СИ идентификационного  (заводского, серийного, инвентарного или номенклатурного) номера, Исполнитель вправе присвоить номер СИ самостоятельно, с целью последующей его идентификации и внесения информации в Федеральный информационный фонд по обеспечению единства измерений и Свидетельство о поверке (если его оформление предусмотрено договоренностью сторон).</w:t>
            </w:r>
          </w:p>
        </w:tc>
      </w:tr>
      <w:tr>
        <w:trPr>
          <w:cantSplit/>
          <w:trHeight w:val="0" w:hRule="auto"/>
        </w:trPr>
        <w:tc>
          <w:tcPr>
            <w:tcW w:w="945" w:type="dxa"/>
            <w:vMerge w:val="restart"/>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left"/>
            </w:pPr>
            <w:r>
              <w:rPr>
                <w:rFonts w:ascii="Times New Roman" w:hAnsi="Times New Roman"/>
                <w:sz w:val="18"/>
                <w:szCs w:val="18"/>
              </w:rPr>
              <w:t>2.3. Заказчик обязуется:</w:t>
            </w:r>
          </w:p>
        </w:tc>
      </w:tr>
      <w:tr>
        <w:trPr>
          <w:cantSplit/>
          <w:trHeight w:val="0" w:hRule="auto"/>
        </w:trPr>
        <w:tc>
          <w:tcPr>
            <w:tcW w:w="945" w:type="dxa"/>
            <w:vMerge w:val="continue"/>
            <w:shd w:val="clear" w:color="auto" w:fill="auto"/>
            <w:textDirection w:val="lrTb"/>
            <w:vAlign w:val="bottom"/>
          </w:tcPr>
          <w:p/>
        </w:tc>
        <w:tc>
          <w:tcPr>
            <w:tcW w:w="9660" w:type="dxa"/>
            <w:shd w:val="clear" w:color="auto" w:fill="auto"/>
            <w:textDirection w:val="lrTb"/>
            <w:vAlign w:val="bottom"/>
          </w:tcPr>
          <w:p>
            <w:pPr>
              <w:spacing w:after="0"/>
              <w:jc w:val="left"/>
            </w:pPr>
            <w:r>
              <w:rPr>
                <w:rFonts w:ascii="Times New Roman" w:hAnsi="Times New Roman"/>
                <w:sz w:val="18"/>
                <w:szCs w:val="18"/>
              </w:rPr>
              <w:t>2.3.1. предоставить СИ на ремонт по заявке.</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2.3.2. предоставить СИ на ремонт расконсервированными, очищенными от пыли и грязи, исправными, укомплектованными соединительными проводами и другими устройствами, необходимыми для проведения ремонта.</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2.3.3. оформить заявку по форме, размещенной на официальном сайте Исполнителя www.krascsm.ru.</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left"/>
            </w:pPr>
            <w:r>
              <w:rPr>
                <w:rFonts w:ascii="Times New Roman" w:hAnsi="Times New Roman"/>
                <w:sz w:val="18"/>
                <w:szCs w:val="18"/>
              </w:rPr>
              <w:t>2.3.4. оплатить услуги в порядке и сроки, установленные настоящим договором.</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2.3.5. по завершении оказания услуг предоставить для получения Исполнителю надлежаще оформленную приемную квитанцию (с указанием должности представителя Заказчика, подписи, расшифровки подписи) и доверенность на получение СИ, ИО представителем Заказчика.</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2.3.6. по завершении оказания услуг подписать Акт об оказании услуг или предоставить мотивированный отказ от подписания Акта об оказании услуг, вернуть его для оформления Исполнителю и в течение 5 календарных дней получить счет-фактуру.</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left"/>
            </w:pPr>
            <w:r>
              <w:rPr>
                <w:rFonts w:ascii="Times New Roman" w:hAnsi="Times New Roman"/>
                <w:sz w:val="18"/>
                <w:szCs w:val="18"/>
              </w:rPr>
              <w:t>2.3.7. в случае отказа от ремонта оплатить диагностику и возместить транспортные расходы.</w:t>
            </w:r>
          </w:p>
        </w:tc>
      </w:tr>
      <w:tr>
        <w:trPr>
          <w:cantSplit/>
          <w:trHeight w:val="0" w:hRule="auto"/>
        </w:trPr>
        <w:tc>
          <w:tcPr>
            <w:tcW w:w="945" w:type="dxa"/>
            <w:vMerge w:val="restart"/>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left"/>
            </w:pPr>
            <w:r>
              <w:rPr>
                <w:rFonts w:ascii="Times New Roman" w:hAnsi="Times New Roman"/>
                <w:sz w:val="18"/>
                <w:szCs w:val="18"/>
              </w:rPr>
              <w:t>2.4. Заказчик вправе:</w:t>
            </w:r>
          </w:p>
        </w:tc>
      </w:tr>
      <w:tr>
        <w:trPr>
          <w:cantSplit/>
          <w:trHeight w:val="0" w:hRule="auto"/>
        </w:trPr>
        <w:tc>
          <w:tcPr>
            <w:tcW w:w="945" w:type="dxa"/>
            <w:vMerge w:val="continue"/>
            <w:shd w:val="clear" w:color="auto" w:fill="auto"/>
            <w:textDirection w:val="lrTb"/>
            <w:vAlign w:val="bottom"/>
          </w:tcPr>
          <w:p/>
        </w:tc>
        <w:tc>
          <w:tcPr>
            <w:tcW w:w="9660" w:type="dxa"/>
            <w:shd w:val="clear" w:color="auto" w:fill="auto"/>
            <w:textDirection w:val="lrTb"/>
            <w:vAlign w:val="bottom"/>
          </w:tcPr>
          <w:p>
            <w:pPr>
              <w:spacing w:after="0"/>
              <w:wordWrap w:val="1"/>
              <w:jc w:val="both"/>
            </w:pPr>
            <w:r>
              <w:rPr>
                <w:rFonts w:ascii="Times New Roman" w:hAnsi="Times New Roman"/>
                <w:sz w:val="18"/>
                <w:szCs w:val="18"/>
              </w:rPr>
              <w:t>2.4.1. самостоятельно ознакомиться с копиями учредительных документов, аттестатами аккредитации, Прейскурантами и другими документами Исполнителя на его официальном сайте: http://www.krascsm.ru, копии документов, имеющихся на официальном сайте, на бумажном носителе Исполнителем не предоставляются (исключение заверенная копия доверенности).</w:t>
            </w:r>
          </w:p>
        </w:tc>
      </w:tr>
      <w:tr>
        <w:trPr>
          <w:cantSplit/>
          <w:trHeight w:val="0" w:hRule="auto"/>
        </w:trPr>
        <w:tc>
          <w:tcPr>
            <w:tcW w:w="945" w:type="dxa"/>
            <w:vMerge w:val="restart"/>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jc w:val="center"/>
            </w:pPr>
            <w:r>
              <w:rPr>
                <w:rFonts w:ascii="Times New Roman" w:hAnsi="Times New Roman"/>
                <w:sz w:val="18"/>
                <w:szCs w:val="18"/>
              </w:rPr>
              <w:t>3. Стоимость услуг и порядок расчетов.</w:t>
            </w:r>
          </w:p>
        </w:tc>
      </w:tr>
      <w:tr>
        <w:trPr>
          <w:cantSplit/>
          <w:trHeight w:val="0" w:hRule="auto"/>
        </w:trPr>
        <w:tc>
          <w:tcPr>
            <w:tcW w:w="945" w:type="dxa"/>
            <w:vMerge w:val="continue"/>
            <w:shd w:val="clear" w:color="auto" w:fill="auto"/>
            <w:textDirection w:val="lrTb"/>
            <w:vAlign w:val="bottom"/>
          </w:tcPr>
          <w:p/>
        </w:tc>
        <w:tc>
          <w:tcPr>
            <w:tcW w:w="9660" w:type="dxa"/>
            <w:shd w:val="clear" w:color="auto" w:fill="auto"/>
            <w:textDirection w:val="lrTb"/>
            <w:vAlign w:val="bottom"/>
          </w:tcPr>
          <w:p>
            <w:pPr>
              <w:spacing w:after="0"/>
              <w:wordWrap w:val="1"/>
              <w:jc w:val="both"/>
            </w:pPr>
            <w:r>
              <w:rPr>
                <w:rFonts w:ascii="Times New Roman" w:hAnsi="Times New Roman"/>
                <w:sz w:val="18"/>
                <w:szCs w:val="18"/>
              </w:rPr>
              <w:t>3.1. Стоимость услуг определяется в соответствии с Прейскурантом цен ФБУ «Красноярский ЦСМ», на текущий год и увеличивается на сумму НДС.</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3.2. Оплата услуг по настоящему договору производится  в течение 10-ти рабочих дней  по  факту оказания услуг на основании акта об оказании услуг, подписанного обеими сторонами и счета-фактуры.</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3.3. Стороны договорились, что в отношении сумм платежей по Договору, проценты на сумму долга по ст.317.1 Гражданского кодекса РФ не начисляются.</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3.4. Моментом оплаты считается факт поступления денежных средств на расчетный счет или в кассу Исполнителя либо предъявление копии платежного поручения об оплате счета Исполнителя с отметкой банка об исполнении.</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3.5. При наличии дебиторской задолженности, денежные средства, поступающие на расчетный счет Исполнителя, в первую очередь зачисляются в счет ее погашения, оставшаяся сумма – в счет текущих платежей по настоящему договору.</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3.6. В случае оказания метрологических услуг на территории Заказчика, последний, возмещает транспортные, командировочные расходы, вызов поверителя (Исполнителя) по установленным на предприятии Исполнителя нормативам. Сумма транспортных командировочных расходов, вызов поверителя (Исполнителя)  подлежащих возмещению «Заказчиком», указываются в счете по фактическим расходам.</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3.7. Стоимость услуг по договору составляет 8 740,08 руб.(восемь тысяч семьсот сорок рублей восемь копеек), с учетом НДС 22% и указывается в Спецификации (Приложение № 1).</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jc w:val="center"/>
            </w:pPr>
            <w:r>
              <w:rPr>
                <w:rFonts w:ascii="Times New Roman" w:hAnsi="Times New Roman"/>
                <w:sz w:val="18"/>
                <w:szCs w:val="18"/>
              </w:rPr>
              <w:t>4. Порядок сдачи-приемки оказанных услуг.</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wordWrap w:val="1"/>
              <w:jc w:val="both"/>
            </w:pPr>
            <w:r>
              <w:rPr>
                <w:rFonts w:ascii="Times New Roman" w:hAnsi="Times New Roman"/>
                <w:sz w:val="18"/>
                <w:szCs w:val="18"/>
              </w:rPr>
              <w:t>4.1. СИ после ремонта, выдаются Заказчику (его представителю) после 100% оплаты при наличии:</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left"/>
            </w:pPr>
            <w:r>
              <w:rPr>
                <w:rFonts w:ascii="Times New Roman" w:hAnsi="Times New Roman"/>
                <w:sz w:val="18"/>
                <w:szCs w:val="18"/>
              </w:rPr>
              <w:t xml:space="preserve">    – приемной квитанции;</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left"/>
            </w:pPr>
            <w:r>
              <w:rPr>
                <w:rFonts w:ascii="Times New Roman" w:hAnsi="Times New Roman"/>
                <w:sz w:val="18"/>
                <w:szCs w:val="18"/>
              </w:rPr>
              <w:t xml:space="preserve">    – акта об оказании услуг, подписанного обеими сторонами;</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left"/>
            </w:pPr>
            <w:r>
              <w:rPr>
                <w:rFonts w:ascii="Times New Roman" w:hAnsi="Times New Roman"/>
                <w:sz w:val="18"/>
                <w:szCs w:val="18"/>
              </w:rPr>
              <w:t xml:space="preserve">    – доверенности на получение СИ, право подписания акта об оказании услуг и получение счета-фактуры.</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left"/>
            </w:pPr>
            <w:r>
              <w:rPr>
                <w:rFonts w:ascii="Times New Roman" w:hAnsi="Times New Roman"/>
                <w:sz w:val="18"/>
                <w:szCs w:val="18"/>
              </w:rPr>
              <w:t>4.2. Гарантийный срок на оказанные услуги по ремонту составляет 3 месяца с даты получения СИ, оборудования из ремонта.</w:t>
            </w:r>
          </w:p>
        </w:tc>
      </w:tr>
      <w:tr>
        <w:trPr>
          <w:cantSplit/>
          <w:trHeight w:val="0" w:hRule="auto"/>
        </w:trPr>
        <w:tc>
          <w:tcPr>
            <w:tcW w:w="945" w:type="dxa"/>
            <w:shd w:val="clear" w:color="auto" w:fill="ffffff"/>
            <w:textDirection w:val="lrTb"/>
            <w:vAlign w:val="bottom"/>
          </w:tcPr>
          <w:p>
            <w:pPr>
              <w:spacing w:after="0"/>
              <w:jc w:val="center"/>
            </w:pPr>
          </w:p>
        </w:tc>
        <w:tc>
          <w:tcPr>
            <w:tcW w:w="9660" w:type="dxa"/>
            <w:shd w:val="clear" w:color="auto" w:fill="ffffff"/>
            <w:textDirection w:val="lrTb"/>
            <w:vAlign w:val="top"/>
          </w:tcPr>
          <w:p>
            <w:pPr>
              <w:spacing w:after="0"/>
              <w:wordWrap w:val="1"/>
              <w:jc w:val="both"/>
            </w:pPr>
            <w:r>
              <w:rPr>
                <w:rFonts w:ascii="Times New Roman" w:hAnsi="Times New Roman"/>
                <w:sz w:val="18"/>
                <w:szCs w:val="18"/>
                <w:color w:val="000000"/>
              </w:rPr>
              <w:t>4.3. СИ, ИО  Заказчика хранятся бесплатно в течение 44 календарных дней с момента сдачи СИ на поверку (калибровку), аттестацию.</w:t>
            </w:r>
          </w:p>
        </w:tc>
      </w:tr>
      <w:tr>
        <w:trPr>
          <w:cantSplit/>
          <w:trHeight w:val="0" w:hRule="auto"/>
        </w:trPr>
        <w:tc>
          <w:tcPr>
            <w:tcW w:w="945" w:type="dxa"/>
            <w:shd w:val="clear" w:color="auto" w:fill="ffffff"/>
            <w:textDirection w:val="lrTb"/>
            <w:vAlign w:val="bottom"/>
          </w:tcPr>
          <w:p>
            <w:pPr>
              <w:spacing w:after="0"/>
              <w:jc w:val="center"/>
            </w:pPr>
          </w:p>
        </w:tc>
        <w:tc>
          <w:tcPr>
            <w:tcW w:w="9660" w:type="dxa"/>
            <w:shd w:val="clear" w:color="auto" w:fill="ffffff"/>
            <w:textDirection w:val="lrTb"/>
            <w:vAlign w:val="top"/>
          </w:tcPr>
          <w:p>
            <w:pPr>
              <w:spacing w:after="0"/>
              <w:wordWrap w:val="1"/>
              <w:jc w:val="both"/>
            </w:pPr>
            <w:r>
              <w:rPr>
                <w:rFonts w:ascii="Times New Roman" w:hAnsi="Times New Roman"/>
                <w:sz w:val="18"/>
                <w:szCs w:val="18"/>
                <w:color w:val="000000"/>
              </w:rPr>
              <w:t>4.4. При хранении свыше указанного срока взимается плата за хранение в размере 0,5% стоимости оказанных услуг за каждый день хранения. Оплата хранения производится Заказчиком по счету Исполнителя до получения СИ, ИО.</w:t>
            </w:r>
          </w:p>
        </w:tc>
      </w:tr>
      <w:tr>
        <w:trPr>
          <w:cantSplit/>
          <w:trHeight w:val="0" w:hRule="auto"/>
        </w:trPr>
        <w:tc>
          <w:tcPr>
            <w:tcW w:w="945" w:type="dxa"/>
            <w:shd w:val="clear" w:color="auto" w:fill="ffffff"/>
            <w:textDirection w:val="lrTb"/>
            <w:vAlign w:val="bottom"/>
          </w:tcPr>
          <w:p>
            <w:pPr>
              <w:spacing w:after="0"/>
              <w:jc w:val="center"/>
            </w:pPr>
          </w:p>
        </w:tc>
        <w:tc>
          <w:tcPr>
            <w:tcW w:w="9660" w:type="dxa"/>
            <w:shd w:val="clear" w:color="auto" w:fill="ffffff"/>
            <w:textDirection w:val="lrTb"/>
            <w:vAlign w:val="top"/>
          </w:tcPr>
          <w:p>
            <w:pPr>
              <w:spacing w:after="0"/>
              <w:wordWrap w:val="1"/>
              <w:jc w:val="both"/>
            </w:pPr>
            <w:r>
              <w:rPr>
                <w:rFonts w:ascii="Times New Roman" w:hAnsi="Times New Roman"/>
                <w:sz w:val="18"/>
                <w:szCs w:val="18"/>
                <w:color w:val="000000"/>
              </w:rPr>
              <w:t>4.5. При неисполнении Заказчиком своей обязанности получить СИ, переданные Исполнителю для поверки (калибровки) или ремонта (в том  числе при уклонении от получения СИ), Исполнитель вправе после письменного предупреждения Заказчика самостоятельно продать СИ по цене, сложившейся в месте хранения, либо утилизировать СИ, если его дальнейшее использование по назначению не возможно. Сумма, вырученная от продажи СИ, передается Заказчику за вычетом сумм, причитающихся хранителю, в том числе его расходов на продажу СИ.</w:t>
            </w:r>
          </w:p>
        </w:tc>
      </w:tr>
      <w:tr>
        <w:trPr>
          <w:cantSplit/>
          <w:trHeight w:val="0" w:hRule="auto"/>
        </w:trPr>
        <w:tc>
          <w:tcPr>
            <w:tcW w:w="945" w:type="dxa"/>
            <w:shd w:val="clear" w:color="auto" w:fill="ffffff"/>
            <w:textDirection w:val="lrTb"/>
            <w:vAlign w:val="bottom"/>
          </w:tcPr>
          <w:p>
            <w:pPr>
              <w:spacing w:after="0"/>
              <w:jc w:val="center"/>
            </w:pPr>
          </w:p>
        </w:tc>
        <w:tc>
          <w:tcPr>
            <w:tcW w:w="9660" w:type="dxa"/>
            <w:shd w:val="clear" w:color="auto" w:fill="ffffff"/>
            <w:textDirection w:val="lrTb"/>
            <w:vAlign w:val="top"/>
          </w:tcPr>
          <w:p>
            <w:pPr>
              <w:spacing w:after="0"/>
              <w:wordWrap w:val="1"/>
              <w:jc w:val="both"/>
            </w:pPr>
            <w:r>
              <w:rPr>
                <w:rFonts w:ascii="Times New Roman" w:hAnsi="Times New Roman"/>
                <w:sz w:val="18"/>
                <w:szCs w:val="18"/>
                <w:color w:val="000000"/>
              </w:rPr>
              <w:t>4.6. В случае утилизации СИ Заказчик обязан оплатить Исполнителю расходы по их утилизации, в том числе расходы по работе эксперта для выявления технической возможности (невозможности) дальнейшего использования СИ. Заказчик считается надлежаще предупрежденным Исполнителем, если в течение месяца после направления уведомления по адресу, указанному в контракте, от Заказчика не поступило ответа, либо направленное Заказчику уведомление вернулось с отметкой почты о том, что указанное юридическое (физическое) лицо, индивидуальный предприниматель по данному адресу не значится.Реализация или утилизация не полученных СИ, ИО может быть произведена Исполнителем по истечении 40 дней со дня направления уведомления Заказчику.</w:t>
            </w:r>
          </w:p>
        </w:tc>
      </w:tr>
      <w:tr>
        <w:trPr>
          <w:cantSplit/>
          <w:trHeight w:val="0" w:hRule="auto"/>
        </w:trPr>
        <w:tc>
          <w:tcPr>
            <w:tcW w:w="945" w:type="dxa"/>
            <w:vMerge w:val="restart"/>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jc w:val="center"/>
            </w:pPr>
            <w:r>
              <w:rPr>
                <w:rFonts w:ascii="Times New Roman" w:hAnsi="Times New Roman"/>
                <w:sz w:val="18"/>
                <w:szCs w:val="18"/>
              </w:rPr>
              <w:t>5. Ответственность сторон.</w:t>
            </w:r>
          </w:p>
        </w:tc>
      </w:tr>
      <w:tr>
        <w:trPr>
          <w:cantSplit/>
          <w:trHeight w:val="0" w:hRule="auto"/>
        </w:trPr>
        <w:tc>
          <w:tcPr>
            <w:tcW w:w="945" w:type="dxa"/>
            <w:vMerge w:val="continue"/>
            <w:shd w:val="clear" w:color="auto" w:fill="auto"/>
            <w:textDirection w:val="lrTb"/>
            <w:vAlign w:val="bottom"/>
          </w:tcPr>
          <w:p/>
        </w:tc>
        <w:tc>
          <w:tcPr>
            <w:tcW w:w="9660" w:type="dxa"/>
            <w:shd w:val="clear" w:color="auto" w:fill="auto"/>
            <w:textDirection w:val="lrTb"/>
            <w:vAlign w:val="bottom"/>
          </w:tcPr>
          <w:p>
            <w:pPr>
              <w:spacing w:after="0"/>
              <w:wordWrap w:val="1"/>
              <w:jc w:val="both"/>
            </w:pPr>
            <w:r>
              <w:rPr>
                <w:rFonts w:ascii="Times New Roman" w:hAnsi="Times New Roman"/>
                <w:sz w:val="18"/>
                <w:szCs w:val="18"/>
              </w:rPr>
              <w:t>5.1. Ответственность сторон за невыполнение или ненадлежащее выполнение обязательств по договору определяется в соответствии с действующим законодательством.</w:t>
            </w:r>
          </w:p>
        </w:tc>
      </w:tr>
      <w:tr>
        <w:trPr>
          <w:cantSplit/>
          <w:trHeight w:val="0" w:hRule="auto"/>
        </w:trPr>
        <w:tc>
          <w:tcPr>
            <w:tcW w:w="945" w:type="dxa"/>
            <w:vMerge w:val="restart"/>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jc w:val="center"/>
            </w:pPr>
            <w:r>
              <w:rPr>
                <w:rFonts w:ascii="Times New Roman" w:hAnsi="Times New Roman"/>
                <w:sz w:val="18"/>
                <w:szCs w:val="18"/>
              </w:rPr>
              <w:t>6. Обстоятельства непреодолимой силы.</w:t>
            </w:r>
          </w:p>
        </w:tc>
      </w:tr>
      <w:tr>
        <w:trPr>
          <w:cantSplit/>
          <w:trHeight w:val="0" w:hRule="auto"/>
        </w:trPr>
        <w:tc>
          <w:tcPr>
            <w:tcW w:w="945" w:type="dxa"/>
            <w:vMerge w:val="continue"/>
            <w:shd w:val="clear" w:color="auto" w:fill="auto"/>
            <w:textDirection w:val="lrTb"/>
            <w:vAlign w:val="bottom"/>
          </w:tcPr>
          <w:p/>
        </w:tc>
        <w:tc>
          <w:tcPr>
            <w:tcW w:w="9660" w:type="dxa"/>
            <w:shd w:val="clear" w:color="auto" w:fill="auto"/>
            <w:textDirection w:val="lrTb"/>
            <w:vAlign w:val="bottom"/>
          </w:tcPr>
          <w:p>
            <w:pPr>
              <w:spacing w:after="0"/>
              <w:wordWrap w:val="1"/>
              <w:jc w:val="both"/>
            </w:pPr>
            <w:r>
              <w:rPr>
                <w:rFonts w:ascii="Times New Roman" w:hAnsi="Times New Roman"/>
                <w:sz w:val="18"/>
                <w:szCs w:val="18"/>
              </w:rPr>
              <w:t>6.1. Стороны освобождаются от ответственности за полное или частичное неисполнение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 не в состоянии были предвидеть и предотвратить.</w:t>
            </w:r>
          </w:p>
        </w:tc>
      </w:tr>
      <w:tr>
        <w:trPr>
          <w:cantSplit/>
          <w:trHeight w:val="0" w:hRule="auto"/>
        </w:trPr>
        <w:tc>
          <w:tcPr>
            <w:tcW w:w="945" w:type="dxa"/>
            <w:vMerge w:val="restart"/>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jc w:val="center"/>
            </w:pPr>
            <w:r>
              <w:rPr>
                <w:rFonts w:ascii="Times New Roman" w:hAnsi="Times New Roman"/>
                <w:sz w:val="18"/>
                <w:szCs w:val="18"/>
              </w:rPr>
              <w:t>7. Срок действия договора и порядок его расторжения.</w:t>
            </w:r>
          </w:p>
        </w:tc>
      </w:tr>
      <w:tr>
        <w:trPr>
          <w:cantSplit/>
          <w:trHeight w:val="0" w:hRule="auto"/>
        </w:trPr>
        <w:tc>
          <w:tcPr>
            <w:tcW w:w="945" w:type="dxa"/>
            <w:vMerge w:val="continue"/>
            <w:shd w:val="clear" w:color="auto" w:fill="auto"/>
            <w:textDirection w:val="lrTb"/>
            <w:vAlign w:val="bottom"/>
          </w:tcPr>
          <w:p/>
        </w:tc>
        <w:tc>
          <w:tcPr>
            <w:tcW w:w="9660" w:type="dxa"/>
            <w:shd w:val="clear" w:color="auto" w:fill="auto"/>
            <w:textDirection w:val="lrTb"/>
            <w:vAlign w:val="bottom"/>
          </w:tcPr>
          <w:p>
            <w:pPr>
              <w:spacing w:after="0"/>
              <w:wordWrap w:val="1"/>
              <w:jc w:val="both"/>
            </w:pPr>
            <w:r>
              <w:rPr>
                <w:rFonts w:ascii="Times New Roman" w:hAnsi="Times New Roman"/>
                <w:sz w:val="18"/>
                <w:szCs w:val="18"/>
              </w:rPr>
              <w:t>7.1. Настоящий договор вступает в силу с момента подписания его Сторонами и действует в части обязанностей Заказчика по оплате по 31 декабря 20____ года, а в остальной части до полного исполнения сторонами своих обязательств по договору. При этом окончание срока действия договора не освобождает стороны от ответственности за его нарушения.</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wordWrap w:val="1"/>
              <w:jc w:val="both"/>
            </w:pPr>
            <w:r>
              <w:rPr>
                <w:rFonts w:ascii="Times New Roman" w:hAnsi="Times New Roman"/>
                <w:sz w:val="18"/>
                <w:szCs w:val="18"/>
              </w:rPr>
              <w:t>7.2. Договор,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РФ.</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wordWrap w:val="1"/>
              <w:jc w:val="both"/>
            </w:pPr>
            <w:r>
              <w:rPr>
                <w:rFonts w:ascii="Times New Roman" w:hAnsi="Times New Roman"/>
                <w:sz w:val="18"/>
                <w:szCs w:val="18"/>
              </w:rPr>
              <w:t>7.3. Односторонний отказ от исполнения  настоящего договора допускается в случае существенного нарушения договора одной из Сторон.</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wordWrap w:val="1"/>
              <w:jc w:val="both"/>
            </w:pPr>
            <w:r>
              <w:rPr>
                <w:rFonts w:ascii="Times New Roman" w:hAnsi="Times New Roman"/>
                <w:sz w:val="18"/>
                <w:szCs w:val="18"/>
              </w:rPr>
              <w:t>7.4. Решение Заказчика об одностороннем отказе от исполнения договора в течение трех рабочих дней, с даты принятия этого решения, размещается на официальном сайте и направляется Исполнителю по почте заказным письмом с уведомлением о вручении по адресу Исполнителя, указанному в настоящем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указанных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данного уведомления или дата получения Заказчиком информации об отсутствии Исполнителя по его адресу. При невозможности получения подтверждения или информации датой такого надлежащего уведомления признается дата по истечении 30 (тридцати) дней с даты размещения на официальном сайте решения Заказчика об одностороннем отказе от исполнения договора.</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wordWrap w:val="1"/>
              <w:jc w:val="both"/>
            </w:pPr>
            <w:r>
              <w:rPr>
                <w:rFonts w:ascii="Times New Roman" w:hAnsi="Times New Roman"/>
                <w:sz w:val="18"/>
                <w:szCs w:val="18"/>
              </w:rPr>
              <w:t>7.5. 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Исполнителя об одностороннем отказе от исполнения договора.</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wordWrap w:val="1"/>
              <w:jc w:val="both"/>
            </w:pPr>
            <w:r>
              <w:rPr>
                <w:rFonts w:ascii="Times New Roman" w:hAnsi="Times New Roman"/>
                <w:sz w:val="18"/>
                <w:szCs w:val="18"/>
              </w:rPr>
              <w:t>7.6.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случае ее проведения Заказчиком). В случае повторного нарушения Исполнителем решение Заказчика об одностороннем отказе от исполнения договора отмене не подлежит.</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wordWrap w:val="1"/>
              <w:jc w:val="both"/>
            </w:pPr>
            <w:r>
              <w:rPr>
                <w:rFonts w:ascii="Times New Roman" w:hAnsi="Times New Roman"/>
                <w:sz w:val="18"/>
                <w:szCs w:val="18"/>
              </w:rPr>
              <w:t>7.7. Решение Исполнителя об одностороннем отказе от исполнения договора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настоящем договоре,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данного уведомления.</w:t>
            </w:r>
          </w:p>
          <w:p>
            <w:pPr>
              <w:spacing w:after="0"/>
              <w:wordWrap w:val="1"/>
              <w:jc w:val="both"/>
            </w:pPr>
            <w:r>
              <w:rPr>
                <w:rFonts w:ascii="Times New Roman" w:hAnsi="Times New Roman"/>
                <w:sz w:val="18"/>
                <w:szCs w:val="18"/>
              </w:rPr>
              <w:t xml:space="preserve">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pPr>
              <w:spacing w:after="0"/>
              <w:wordWrap w:val="1"/>
              <w:jc w:val="both"/>
            </w:pPr>
            <w:r>
              <w:rPr>
                <w:rFonts w:ascii="Times New Roman" w:hAnsi="Times New Roman"/>
                <w:sz w:val="18"/>
                <w:szCs w:val="18"/>
              </w:rPr>
              <w:t xml:space="preserve">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условия договора, послужившие основанием для принятия указанного решения.</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wordWrap w:val="1"/>
              <w:jc w:val="both"/>
            </w:pPr>
            <w:r>
              <w:rPr>
                <w:rFonts w:ascii="Times New Roman" w:hAnsi="Times New Roman"/>
                <w:sz w:val="18"/>
                <w:szCs w:val="18"/>
              </w:rPr>
              <w:t>7.8. При досрочном расторжении договора по соглашению сторон стороны должны произвести взаиморасчеты в течение 10 (десяти) банковских дней с момента его расторжения.</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wordWrap w:val="1"/>
              <w:jc w:val="both"/>
            </w:pPr>
            <w:r>
              <w:rPr>
                <w:rFonts w:ascii="Times New Roman" w:hAnsi="Times New Roman"/>
                <w:sz w:val="18"/>
                <w:szCs w:val="18"/>
              </w:rPr>
              <w:t>7.9. При расторжении договора в связи с односторонним отказом Стороны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tc>
      </w:tr>
      <w:tr>
        <w:trPr>
          <w:cantSplit/>
          <w:trHeight w:val="0" w:hRule="auto"/>
        </w:trPr>
        <w:tc>
          <w:tcPr>
            <w:tcW w:w="945" w:type="dxa"/>
            <w:vMerge w:val="restart"/>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jc w:val="center"/>
            </w:pPr>
            <w:r>
              <w:rPr>
                <w:rFonts w:ascii="Times New Roman" w:hAnsi="Times New Roman"/>
                <w:sz w:val="18"/>
                <w:szCs w:val="18"/>
              </w:rPr>
              <w:t>8. Разрешение споров.</w:t>
            </w:r>
          </w:p>
        </w:tc>
      </w:tr>
      <w:tr>
        <w:trPr>
          <w:cantSplit/>
          <w:trHeight w:val="0" w:hRule="auto"/>
        </w:trPr>
        <w:tc>
          <w:tcPr>
            <w:tcW w:w="945" w:type="dxa"/>
            <w:vMerge w:val="continue"/>
            <w:shd w:val="clear" w:color="auto" w:fill="auto"/>
            <w:textDirection w:val="lrTb"/>
            <w:vAlign w:val="bottom"/>
          </w:tcPr>
          <w:p/>
        </w:tc>
        <w:tc>
          <w:tcPr>
            <w:tcW w:w="9660" w:type="dxa"/>
            <w:shd w:val="clear" w:color="auto" w:fill="auto"/>
            <w:textDirection w:val="lrTb"/>
            <w:vAlign w:val="bottom"/>
          </w:tcPr>
          <w:p>
            <w:pPr>
              <w:spacing w:after="0"/>
              <w:wordWrap w:val="1"/>
              <w:jc w:val="both"/>
            </w:pPr>
            <w:r>
              <w:rPr>
                <w:rFonts w:ascii="Times New Roman" w:hAnsi="Times New Roman"/>
                <w:sz w:val="18"/>
                <w:szCs w:val="18"/>
              </w:rPr>
              <w:t>8.1. Все споры, связанные с исполнением настоящего договора, будут разрешаться Сторонами путем переговоров.</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8.2. В случае не достижения  соглашения в ходе переговоров, указанных п.8.1.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факсимильной связью) и получения, либо вручения другой стороне под расписку.</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8.3.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8.4. В случае не урегулирования разногласий в претензионном порядке, а также в случае неполучения ответа на претензию в течение срока, указанного в п.8.3. договора, спор передается на рассмотрение в Арбитражный суд Красноярского края.</w:t>
            </w:r>
          </w:p>
        </w:tc>
      </w:tr>
      <w:tr>
        <w:trPr>
          <w:cantSplit/>
          <w:trHeight w:val="0" w:hRule="auto"/>
        </w:trPr>
        <w:tc>
          <w:tcPr>
            <w:tcW w:w="945" w:type="dxa"/>
            <w:vMerge w:val="restart"/>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jc w:val="center"/>
            </w:pPr>
            <w:r>
              <w:rPr>
                <w:rFonts w:ascii="Times New Roman" w:hAnsi="Times New Roman"/>
                <w:sz w:val="18"/>
                <w:szCs w:val="18"/>
              </w:rPr>
              <w:t>9. Антикоррупционная оговорка.</w:t>
            </w:r>
          </w:p>
        </w:tc>
      </w:tr>
      <w:tr>
        <w:trPr>
          <w:cantSplit/>
          <w:trHeight w:val="0" w:hRule="auto"/>
        </w:trPr>
        <w:tc>
          <w:tcPr>
            <w:tcW w:w="945" w:type="dxa"/>
            <w:vMerge w:val="continue"/>
            <w:shd w:val="clear" w:color="auto" w:fill="auto"/>
            <w:textDirection w:val="lrTb"/>
            <w:vAlign w:val="bottom"/>
          </w:tcPr>
          <w:p/>
        </w:tc>
        <w:tc>
          <w:tcPr>
            <w:tcW w:w="9660" w:type="dxa"/>
            <w:shd w:val="clear" w:color="auto" w:fill="auto"/>
            <w:textDirection w:val="lrTb"/>
            <w:vAlign w:val="bottom"/>
          </w:tcPr>
          <w:p>
            <w:pPr>
              <w:spacing w:after="0"/>
              <w:wordWrap w:val="1"/>
              <w:jc w:val="both"/>
            </w:pPr>
            <w:r>
              <w:rPr>
                <w:rFonts w:ascii="Times New Roman" w:hAnsi="Times New Roman"/>
                <w:sz w:val="18"/>
                <w:szCs w:val="18"/>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spacing w:after="0"/>
              <w:wordWrap w:val="1"/>
              <w:jc w:val="both"/>
            </w:pPr>
            <w:r>
              <w:rPr>
                <w:rFonts w:ascii="Times New Roman" w:hAnsi="Times New Roman"/>
                <w:sz w:val="18"/>
                <w:szCs w:val="18"/>
              </w:rPr>
              <w:t xml:space="preserve">    При исполнении своих обязательств по договору,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9.2. В случае возникновения у Стороны подозрений, что произошло или может произойти нарушение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направлении письменного уведомления.</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9.3. В случае нарушения одной Стороной обязательств воздержаться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вправе требовать возмещения реального ущерба, возникшего в результате такого расторжения.</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jc w:val="center"/>
            </w:pPr>
            <w:r>
              <w:rPr>
                <w:rFonts w:ascii="Times New Roman" w:hAnsi="Times New Roman"/>
                <w:sz w:val="18"/>
                <w:szCs w:val="18"/>
              </w:rPr>
              <w:t>10. Конфиденциальная информация.</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wordWrap w:val="1"/>
              <w:jc w:val="both"/>
            </w:pPr>
            <w:r>
              <w:rPr>
                <w:rFonts w:ascii="Times New Roman" w:hAnsi="Times New Roman"/>
                <w:sz w:val="18"/>
                <w:szCs w:val="18"/>
              </w:rPr>
              <w:t>10.1. Для целей настоящего Договора термин «Конфиденциальная информация» означает любую информацию по настоящему Договору,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wordWrap w:val="1"/>
              <w:jc w:val="both"/>
            </w:pPr>
            <w:r>
              <w:rPr>
                <w:rFonts w:ascii="Times New Roman" w:hAnsi="Times New Roman"/>
                <w:sz w:val="18"/>
                <w:szCs w:val="18"/>
              </w:rPr>
              <w:t>10.2. 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w:t>
            </w:r>
          </w:p>
          <w:p>
            <w:pPr>
              <w:spacing w:after="0"/>
              <w:wordWrap w:val="1"/>
              <w:jc w:val="both"/>
            </w:pPr>
            <w:r>
              <w:rPr>
                <w:rFonts w:ascii="Times New Roman" w:hAnsi="Times New Roman"/>
                <w:sz w:val="18"/>
                <w:szCs w:val="18"/>
              </w:rPr>
              <w:t xml:space="preserve">    –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w:t>
            </w:r>
          </w:p>
          <w:p>
            <w:pPr>
              <w:spacing w:after="0"/>
              <w:wordWrap w:val="1"/>
              <w:jc w:val="both"/>
            </w:pPr>
            <w:r>
              <w:rPr>
                <w:rFonts w:ascii="Times New Roman" w:hAnsi="Times New Roman"/>
                <w:sz w:val="18"/>
                <w:szCs w:val="18"/>
              </w:rPr>
              <w:t xml:space="preserve">    –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wordWrap w:val="1"/>
              <w:jc w:val="both"/>
            </w:pPr>
            <w:r>
              <w:rPr>
                <w:rFonts w:ascii="Times New Roman" w:hAnsi="Times New Roman"/>
                <w:sz w:val="18"/>
                <w:szCs w:val="18"/>
              </w:rPr>
              <w:t>10.3. Соответствующая Сторона настоящего договора несет ответственность за действия (бездействие) своих работников и иных лиц, получивших доступ к Конфиденциальной информации.</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wordWrap w:val="1"/>
              <w:jc w:val="both"/>
            </w:pPr>
            <w:r>
              <w:rPr>
                <w:rFonts w:ascii="Times New Roman" w:hAnsi="Times New Roman"/>
                <w:sz w:val="18"/>
                <w:szCs w:val="18"/>
              </w:rPr>
              <w:t>10.4. Для целей настоящего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не 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wordWrap w:val="1"/>
              <w:jc w:val="both"/>
            </w:pPr>
            <w:r>
              <w:rPr>
                <w:rFonts w:ascii="Times New Roman" w:hAnsi="Times New Roman"/>
                <w:sz w:val="18"/>
                <w:szCs w:val="18"/>
              </w:rPr>
              <w:t>10.5. Соответствующая Сторона несет ответственность за убытки, которые могут быть причинены Заказчику в результате разглашения Конфиденциальной информации или несанкционированного использования Конфиденциальной информации в нарушение условий данного Раздела договора, за исключением случаев раскрытия Конфиденциальной информации, предусмотренных в настоящим Разделом договора.</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wordWrap w:val="1"/>
              <w:jc w:val="both"/>
            </w:pPr>
            <w:r>
              <w:rPr>
                <w:rFonts w:ascii="Times New Roman" w:hAnsi="Times New Roman"/>
                <w:sz w:val="18"/>
                <w:szCs w:val="18"/>
              </w:rPr>
              <w:t>10.6. Передача Конфиденциальной информации оформляется актом, составленным в произвольной форме, который подписывается уполномоченными представителями Сторон.</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wordWrap w:val="1"/>
              <w:jc w:val="both"/>
            </w:pPr>
            <w:r>
              <w:rPr>
                <w:rFonts w:ascii="Times New Roman" w:hAnsi="Times New Roman"/>
                <w:sz w:val="18"/>
                <w:szCs w:val="18"/>
              </w:rPr>
              <w:t>10.7. Передача Конфиденциальной информации по открытым каналам телефонной и факсимильной связи, а также с использованием сети Интернет без принятия соответствующих мер защиты, удовлетворяющих обе Стороны, запрещена.</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jc w:val="center"/>
            </w:pPr>
            <w:r>
              <w:rPr>
                <w:rFonts w:ascii="Times New Roman" w:hAnsi="Times New Roman"/>
                <w:sz w:val="18"/>
                <w:szCs w:val="18"/>
              </w:rPr>
              <w:t>11. Прочие условия.</w:t>
            </w:r>
          </w:p>
        </w:tc>
      </w:tr>
      <w:tr>
        <w:trPr>
          <w:cantSplit/>
          <w:trHeight w:val="0" w:hRule="auto"/>
        </w:trPr>
        <w:tc>
          <w:tcPr>
            <w:tcW w:w="945" w:type="dxa"/>
            <w:shd w:val="clear" w:color="auto" w:fill="auto"/>
            <w:textDirection w:val="lrTb"/>
            <w:vAlign w:val="bottom"/>
          </w:tcPr>
          <w:p>
            <w:pPr>
              <w:spacing w:after="0"/>
              <w:jc w:val="center"/>
            </w:pPr>
          </w:p>
        </w:tc>
        <w:tc>
          <w:tcPr>
            <w:tcW w:w="9660" w:type="dxa"/>
            <w:shd w:val="clear" w:color="auto" w:fill="auto"/>
            <w:textDirection w:val="lrTb"/>
            <w:vAlign w:val="bottom"/>
          </w:tcPr>
          <w:p>
            <w:pPr>
              <w:spacing w:after="0"/>
              <w:wordWrap w:val="1"/>
              <w:jc w:val="both"/>
            </w:pPr>
            <w:r>
              <w:rPr>
                <w:rFonts w:ascii="Times New Roman" w:hAnsi="Times New Roman"/>
                <w:sz w:val="18"/>
                <w:szCs w:val="18"/>
              </w:rPr>
              <w:t>11.1. В случае изменения у какой-либо из Сторон любого из реквизитов, указанных в разделе 12 настоящего договора, Стороны обязуются поставить в известность друг друга, путем письменного уведомления. В случае несоблюдения этой обязанности все отрицательные последствия, связанные с отсутствием у другой Стороны надлежащей информации, несет Сторона, не осуществившая соответствующее уведомление.</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11.2. Все  изменения и дополнения к настоящему договору имеют силу только в том случае, если они оформлены в виде дополнительных соглашений, подписанных обеими Сторонами и заверенных печатями. Дополнительное соглашение в случае внесения изменений в договор составляет  та Сторона, которая вносит соответствующие изменения.</w:t>
            </w:r>
          </w:p>
        </w:tc>
      </w:tr>
      <w:tr>
        <w:trPr>
          <w:cantSplit/>
          <w:trHeight w:val="0" w:hRule="auto"/>
        </w:trPr>
        <w:tc>
          <w:tcPr>
            <w:tcW w:w="945" w:type="dxa"/>
            <w:shd w:val="clear" w:color="auto" w:fill="auto"/>
            <w:textDirection w:val="lrTb"/>
            <w:vAlign w:val="bottom"/>
          </w:tcPr>
          <w:p>
            <w:pPr>
              <w:spacing w:after="0"/>
              <w:wordWrap w:val="1"/>
              <w:jc w:val="both"/>
            </w:pPr>
          </w:p>
        </w:tc>
        <w:tc>
          <w:tcPr>
            <w:tcW w:w="9660" w:type="dxa"/>
            <w:shd w:val="clear" w:color="auto" w:fill="auto"/>
            <w:textDirection w:val="lrTb"/>
            <w:vAlign w:val="bottom"/>
          </w:tcPr>
          <w:p>
            <w:pPr>
              <w:spacing w:after="0"/>
              <w:wordWrap w:val="1"/>
              <w:jc w:val="both"/>
            </w:pPr>
            <w:r>
              <w:rPr>
                <w:rFonts w:ascii="Times New Roman" w:hAnsi="Times New Roman"/>
                <w:sz w:val="18"/>
                <w:szCs w:val="18"/>
              </w:rPr>
              <w:t>11.3. При исполнении настоящего договора не допускается перемена Исполнителя, за исключением случае, если новый Исполнитель является правопреемником Исполнителя настоящему договору вследствие реорганизации юридического лица в форме преобразования, слияния или присоединения.</w:t>
            </w:r>
          </w:p>
          <w:p>
            <w:pPr>
              <w:spacing w:after="0"/>
              <w:wordWrap w:val="1"/>
              <w:jc w:val="both"/>
            </w:pPr>
            <w:r>
              <w:rPr>
                <w:rFonts w:ascii="Times New Roman" w:hAnsi="Times New Roman"/>
                <w:sz w:val="18"/>
                <w:szCs w:val="18"/>
              </w:rPr>
              <w:t xml:space="preserve">    Настоящий  договор  составлен в двух экземплярах, идентичных по содержанию и  имеющих равную юридическую силу, по одному для каждой  Стороны.</w:t>
            </w:r>
          </w:p>
        </w:tc>
      </w:tr>
    </w:tbl>
    <w:tbl>
      <w:tblPr>
        <w:tblStyle w:val="TableStyle5"/>
        <w:tblW w:w="10605" w:type="dxa"/>
        <w:tblLayout w:type="fixed"/>
        <w:tblCellMar>
          <w:left w:w="0" w:type="dxa"/>
          <w:right w:w="0" w:type="dxa"/>
        </w:tblCellMar>
        <w:tblLook w:val="04A0"/>
      </w:tblPr>
      <w:tblGrid>
        <w:gridCol w:w="945"/>
        <w:gridCol w:w="3675"/>
        <w:gridCol w:w="1680"/>
        <w:gridCol w:w="3675"/>
        <w:gridCol w:w="630"/>
      </w:tblGrid>
      <w:tr>
        <w:trPr>
          <w:cantSplit/>
          <w:trHeight w:val="0" w:hRule="auto"/>
        </w:trPr>
        <w:tc>
          <w:tcPr>
            <w:tcW w:w="945" w:type="dxa"/>
            <w:shd w:val="clear" w:color="auto" w:fill="auto"/>
            <w:textDirection w:val="lrTb"/>
            <w:vAlign w:val="bottom"/>
          </w:tcPr>
          <w:p>
            <w:pPr>
              <w:spacing w:after="0"/>
              <w:jc w:val="left"/>
            </w:pPr>
          </w:p>
        </w:tc>
        <w:tc>
          <w:tcPr>
            <w:tcW w:w="9030" w:type="dxa"/>
            <w:gridSpan w:val="3"/>
            <w:shd w:val="clear" w:color="auto" w:fill="auto"/>
            <w:textDirection w:val="lrTb"/>
            <w:vAlign w:val="bottom"/>
          </w:tcPr>
          <w:p>
            <w:pPr>
              <w:spacing w:after="0"/>
              <w:jc w:val="center"/>
            </w:pPr>
            <w:r>
              <w:rPr>
                <w:rFonts w:ascii="Times New Roman" w:hAnsi="Times New Roman"/>
                <w:b/>
                <w:sz w:val="18"/>
                <w:szCs w:val="18"/>
              </w:rPr>
              <w:t>12. Юридические адреса, реквизиты и подписи Сторон.</w:t>
            </w:r>
          </w:p>
        </w:tc>
        <w:tc>
          <w:tcPr>
            <w:tcW w:w="630" w:type="dxa"/>
            <w:shd w:val="clear" w:color="auto" w:fill="auto"/>
            <w:textDirection w:val="lrTb"/>
            <w:vAlign w:val="bottom"/>
          </w:tcPr>
          <w:p>
            <w:pPr>
              <w:spacing w:after="0"/>
              <w:jc w:val="center"/>
            </w:pP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p>
        </w:tc>
        <w:tc>
          <w:tcPr>
            <w:tcW w:w="1680" w:type="dxa"/>
            <w:shd w:val="clear" w:color="auto" w:fill="auto"/>
            <w:textDirection w:val="lrTb"/>
            <w:vAlign w:val="bottom"/>
          </w:tcPr>
          <w:p>
            <w:pPr>
              <w:spacing w:after="0"/>
              <w:jc w:val="left"/>
            </w:pPr>
          </w:p>
        </w:tc>
        <w:tc>
          <w:tcPr>
            <w:tcW w:w="4305" w:type="dxa"/>
            <w:gridSpan w:val="2"/>
            <w:shd w:val="clear" w:color="auto" w:fill="auto"/>
            <w:textDirection w:val="lrTb"/>
            <w:vAlign w:val="bottom"/>
          </w:tcPr>
          <w:p>
            <w:pPr>
              <w:spacing w:after="0"/>
              <w:jc w:val="left"/>
            </w:pP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jc w:val="left"/>
            </w:pPr>
            <w:r>
              <w:rPr>
                <w:rFonts w:ascii="Times New Roman" w:hAnsi="Times New Roman"/>
                <w:b/>
                <w:sz w:val="18"/>
                <w:szCs w:val="18"/>
              </w:rPr>
              <w:t>Исполнитель</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jc w:val="left"/>
            </w:pPr>
            <w:r>
              <w:rPr>
                <w:rFonts w:ascii="Times New Roman" w:hAnsi="Times New Roman"/>
                <w:b/>
                <w:sz w:val="18"/>
                <w:szCs w:val="18"/>
              </w:rPr>
              <w:t>Заказчик</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wordWrap w:val="1"/>
              <w:jc w:val="left"/>
            </w:pPr>
            <w:r>
              <w:rPr>
                <w:rFonts w:ascii="Times New Roman" w:hAnsi="Times New Roman"/>
                <w:sz w:val="18"/>
                <w:szCs w:val="18"/>
              </w:rPr>
              <w:t>ФБУ "Красноярский ЦСМ"</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wordWrap w:val="1"/>
              <w:jc w:val="left"/>
            </w:pPr>
            <w:r>
              <w:rPr>
                <w:rFonts w:ascii="Times New Roman" w:hAnsi="Times New Roman"/>
                <w:sz w:val="18"/>
                <w:szCs w:val="18"/>
              </w:rPr>
              <w:t>ФЕДЕРАЛЬНОЕ ГОСУДАРСТВЕННОЕ КАЗЕННОЕ УЧРЕЖДЕНИЕ "СПЕЦИАЛЬНОЕ УПРАВЛЕНИЕ ФЕДЕРАЛЬНОЙ ПРОТИВОПОЖАРНОЙ СЛУЖБЫ № 19 МИНИСТЕРСТВА РОССИЙСКОЙ ФЕДЕРАЦИИ ПО ДЕЛАМ ГРАЖДАНСКОЙ ОБОРОНЫ, ЧРЕЗВЫЧАЙНЫМ СИТУАЦИЯМ И ЛИКВИДАЦИИ ПОСЛЕДСТВИЙ СТИХИЙНЫХ БЕДСТВИЙ"</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wordWrap w:val="1"/>
              <w:jc w:val="left"/>
            </w:pPr>
            <w:r>
              <w:rPr>
                <w:rFonts w:ascii="Times New Roman" w:hAnsi="Times New Roman"/>
                <w:sz w:val="18"/>
                <w:szCs w:val="18"/>
              </w:rPr>
              <w:t>Юридический и почтовый адрес: 660064 КРАЙ КРАСНОЯРСКИЙ ГОРОД КРАСНОЯРСК УЛИЦА АКАДЕМИКА ВАВИЛОВА ДОМ 1А</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wordWrap w:val="1"/>
              <w:jc w:val="left"/>
            </w:pPr>
            <w:r>
              <w:rPr>
                <w:rFonts w:ascii="Times New Roman" w:hAnsi="Times New Roman"/>
                <w:sz w:val="18"/>
                <w:szCs w:val="18"/>
              </w:rPr>
              <w:t>Адрес: 663690, Красноярский край, г Зеленогорск, ул Калинина, д. 29</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wordWrap w:val="1"/>
              <w:jc w:val="left"/>
            </w:pPr>
            <w:r>
              <w:rPr>
                <w:rFonts w:ascii="Times New Roman" w:hAnsi="Times New Roman"/>
                <w:sz w:val="18"/>
                <w:szCs w:val="18"/>
              </w:rPr>
              <w:t>Тел: 205-00-00(доб.727, 310, 311, 305)-отдел реализации; 205-00-00(доб.726, 741, 738)-договорной отдел; 205-00-00(доб.745)-бухгалтерия.</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wordWrap w:val="1"/>
              <w:jc w:val="left"/>
            </w:pPr>
            <w:r>
              <w:rPr>
                <w:rFonts w:ascii="Times New Roman" w:hAnsi="Times New Roman"/>
                <w:sz w:val="18"/>
                <w:szCs w:val="18"/>
              </w:rPr>
              <w:t>Тел/факс: ____________________</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wordWrap w:val="1"/>
              <w:jc w:val="left"/>
            </w:pPr>
            <w:r>
              <w:rPr>
                <w:rFonts w:ascii="Times New Roman" w:hAnsi="Times New Roman"/>
                <w:sz w:val="18"/>
                <w:szCs w:val="18"/>
              </w:rPr>
              <w:t>e-mail: e-mail:gov@krascsm.ru, vyv@krascsm.ru, csm@krascsm.ru, realiz@krascsm.ru</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wordWrap w:val="1"/>
              <w:jc w:val="left"/>
            </w:pPr>
            <w:r>
              <w:rPr>
                <w:rFonts w:ascii="Times New Roman" w:hAnsi="Times New Roman"/>
                <w:sz w:val="18"/>
                <w:szCs w:val="18"/>
              </w:rPr>
              <w:t>ИНН 2453004840 КПП 245301001</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wordWrap w:val="1"/>
              <w:jc w:val="left"/>
            </w:pPr>
            <w:r>
              <w:rPr>
                <w:rFonts w:ascii="Times New Roman" w:hAnsi="Times New Roman"/>
                <w:sz w:val="18"/>
                <w:szCs w:val="18"/>
              </w:rPr>
              <w:t>Получатель: ИНН 2464019742 КПП 246401001</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wordWrap w:val="1"/>
              <w:jc w:val="left"/>
            </w:pPr>
            <w:r>
              <w:rPr>
                <w:rFonts w:ascii="Times New Roman" w:hAnsi="Times New Roman"/>
                <w:sz w:val="18"/>
                <w:szCs w:val="18"/>
              </w:rPr>
              <w:t>Р/счет _____________________________ в ___________________________________________</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wordWrap w:val="1"/>
              <w:jc w:val="left"/>
            </w:pPr>
            <w:r>
              <w:rPr>
                <w:rFonts w:ascii="Times New Roman" w:hAnsi="Times New Roman"/>
                <w:sz w:val="18"/>
                <w:szCs w:val="18"/>
              </w:rPr>
              <w:t>УФК ПО НОВОСИБИРСКОЙ ОБЛАСТИ (ФБУ Красноярский ЦСМ л/сч 20196X19220)(Примечание: буква в лицевом счете заполняется при помощи латинского шрифта)</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wordWrap w:val="1"/>
              <w:jc w:val="left"/>
            </w:pPr>
            <w:r>
              <w:rPr>
                <w:rFonts w:ascii="Times New Roman" w:hAnsi="Times New Roman"/>
                <w:sz w:val="18"/>
                <w:szCs w:val="18"/>
              </w:rPr>
              <w:t>БИК ________________________________________ кор/сч ________________________________________</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wordWrap w:val="1"/>
              <w:jc w:val="left"/>
            </w:pPr>
            <w:r>
              <w:rPr>
                <w:rFonts w:ascii="Times New Roman" w:hAnsi="Times New Roman"/>
                <w:sz w:val="18"/>
                <w:szCs w:val="18"/>
              </w:rPr>
              <w:t>Банк получателя:  ОКЦ № 1 СибГУ Банка России//УФК по Новосибирской области, г Новосибирск, БИК:015004950 , р/сч:03214643000000015107, корр/счет: 40102810445370000043 В поле "Назначения платежа" обязательно указать в начале строки:"КД 00000000000000000130"</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wordWrap w:val="1"/>
              <w:jc w:val="left"/>
            </w:pPr>
            <w:r>
              <w:rPr>
                <w:rFonts w:ascii="Times New Roman" w:hAnsi="Times New Roman"/>
                <w:sz w:val="18"/>
                <w:szCs w:val="18"/>
              </w:rPr>
              <w:t>ОКАТО _________________________________________ ОКПО ________________________________________</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jc w:val="left"/>
            </w:pP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wordWrap w:val="1"/>
              <w:jc w:val="left"/>
            </w:pPr>
            <w:r>
              <w:rPr>
                <w:rFonts w:ascii="Times New Roman" w:hAnsi="Times New Roman"/>
                <w:sz w:val="18"/>
                <w:szCs w:val="18"/>
              </w:rPr>
              <w:t>ОКВЭД ________________________________________ ОГРН ________________________________________</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jc w:val="left"/>
            </w:pP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wordWrap w:val="1"/>
              <w:jc w:val="left"/>
            </w:pPr>
            <w:r>
              <w:rPr>
                <w:rFonts w:ascii="Times New Roman" w:hAnsi="Times New Roman"/>
                <w:sz w:val="18"/>
                <w:szCs w:val="18"/>
              </w:rPr>
              <w:t>e-mail: _________________________</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jc w:val="left"/>
            </w:pP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jc w:val="left"/>
            </w:pP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jc w:val="left"/>
            </w:pPr>
            <w:r>
              <w:rPr>
                <w:rFonts w:ascii="Times New Roman" w:hAnsi="Times New Roman"/>
                <w:sz w:val="18"/>
                <w:szCs w:val="18"/>
              </w:rPr>
              <w:t>Исполнитель</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jc w:val="left"/>
            </w:pPr>
            <w:r>
              <w:rPr>
                <w:rFonts w:ascii="Times New Roman" w:hAnsi="Times New Roman"/>
                <w:sz w:val="18"/>
                <w:szCs w:val="18"/>
              </w:rPr>
              <w:t>Заказчик</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jc w:val="left"/>
            </w:pPr>
            <w:r>
              <w:rPr>
                <w:rFonts w:ascii="Times New Roman" w:hAnsi="Times New Roman"/>
                <w:sz w:val="18"/>
                <w:szCs w:val="18"/>
              </w:rPr>
              <w:t>Инженер первой категории</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jc w:val="left"/>
            </w:pPr>
            <w:r>
              <w:rPr>
                <w:rFonts w:ascii="Times New Roman" w:hAnsi="Times New Roman"/>
                <w:sz w:val="18"/>
                <w:szCs w:val="18"/>
              </w:rPr>
              <w:t>________________________________________</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jc w:val="left"/>
            </w:pPr>
            <w:r>
              <w:rPr>
                <w:rFonts w:ascii="Times New Roman" w:hAnsi="Times New Roman"/>
                <w:sz w:val="18"/>
                <w:szCs w:val="18"/>
              </w:rPr>
              <w:t>ФБУ "Красноярский ЦСМ"</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wordWrap w:val="1"/>
              <w:jc w:val="left"/>
            </w:pPr>
            <w:r>
              <w:rPr>
                <w:rFonts w:ascii="Times New Roman" w:hAnsi="Times New Roman"/>
                <w:sz w:val="18"/>
                <w:szCs w:val="18"/>
              </w:rPr>
              <w:t>ФЕДЕРАЛЬНОЕ ГОСУДАРСТВЕННОЕ КАЗЕННОЕ УЧРЕЖДЕНИЕ "СПЕЦИАЛЬНОЕ УПРАВЛЕНИЕ ФЕДЕРАЛЬНОЙ ПРОТИВОПОЖАРНОЙ СЛУЖБЫ № 19 МИНИСТЕРСТВА РОССИЙСКОЙ ФЕДЕРАЦИИ ПО ДЕЛАМ ГРАЖДАНСКОЙ ОБОРОНЫ, ЧРЕЗВЫЧАЙНЫМ СИТУАЦИЯМ И ЛИКВИДАЦИИ ПОСЛЕДСТВИЙ СТИХИЙНЫХ БЕДСТВИЙ"</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jc w:val="left"/>
            </w:pP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jc w:val="left"/>
            </w:pP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jc w:val="left"/>
            </w:pPr>
            <w:r>
              <w:rPr>
                <w:rFonts w:ascii="Times New Roman" w:hAnsi="Times New Roman"/>
                <w:sz w:val="18"/>
                <w:szCs w:val="18"/>
              </w:rPr>
              <w:t>_____________________/В.А. Романова</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jc w:val="left"/>
            </w:pPr>
            <w:r>
              <w:rPr>
                <w:rFonts w:ascii="Times New Roman" w:hAnsi="Times New Roman"/>
                <w:sz w:val="18"/>
                <w:szCs w:val="18"/>
              </w:rPr>
              <w:t>_____________________/__________________</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jc w:val="left"/>
            </w:pPr>
            <w:r>
              <w:rPr>
                <w:rFonts w:ascii="Times New Roman" w:hAnsi="Times New Roman"/>
                <w:sz w:val="18"/>
                <w:szCs w:val="18"/>
              </w:rPr>
              <w:t>"____"__________________20___г.</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jc w:val="left"/>
            </w:pPr>
            <w:r>
              <w:rPr>
                <w:rFonts w:ascii="Times New Roman" w:hAnsi="Times New Roman"/>
                <w:sz w:val="18"/>
                <w:szCs w:val="18"/>
              </w:rPr>
              <w:t>"____"__________________20___г.</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jc w:val="left"/>
            </w:pPr>
            <w:r>
              <w:rPr>
                <w:rFonts w:ascii="Times New Roman" w:hAnsi="Times New Roman"/>
                <w:sz w:val="18"/>
                <w:szCs w:val="18"/>
              </w:rPr>
              <w:t>М.П.</w:t>
            </w:r>
          </w:p>
        </w:tc>
        <w:tc>
          <w:tcPr>
            <w:tcW w:w="1680" w:type="dxa"/>
            <w:shd w:val="clear" w:color="auto" w:fill="auto"/>
            <w:textDirection w:val="lrTb"/>
            <w:vAlign w:val="top"/>
          </w:tcPr>
          <w:p>
            <w:pPr>
              <w:spacing w:after="0"/>
              <w:jc w:val="left"/>
            </w:pPr>
          </w:p>
        </w:tc>
        <w:tc>
          <w:tcPr>
            <w:tcW w:w="4305" w:type="dxa"/>
            <w:gridSpan w:val="2"/>
            <w:shd w:val="clear" w:color="auto" w:fill="auto"/>
            <w:textDirection w:val="lrTb"/>
            <w:vAlign w:val="top"/>
          </w:tcPr>
          <w:p>
            <w:pPr>
              <w:spacing w:after="0"/>
              <w:jc w:val="left"/>
            </w:pPr>
            <w:r>
              <w:rPr>
                <w:rFonts w:ascii="Times New Roman" w:hAnsi="Times New Roman"/>
                <w:sz w:val="18"/>
                <w:szCs w:val="18"/>
              </w:rPr>
              <w:t>М.П.</w:t>
            </w:r>
          </w:p>
        </w:tc>
      </w:tr>
      <w:p>
        <w:r>
          <w:br w:type="page"/>
        </w:r>
      </w:p>
    </w:tbl>
    <w:tbl>
      <w:tblPr>
        <w:tblStyle w:val="TableStyle6"/>
        <w:tblW w:w="10605" w:type="dxa"/>
        <w:tblLayout w:type="fixed"/>
        <w:tblCellMar>
          <w:left w:w="0" w:type="dxa"/>
          <w:right w:w="0" w:type="dxa"/>
        </w:tblCellMar>
        <w:tblLook w:val="04A0"/>
      </w:tblPr>
      <w:tblGrid>
        <w:gridCol w:w="945"/>
        <w:gridCol w:w="9660"/>
      </w:tblGrid>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right"/>
            </w:pPr>
            <w:r>
              <w:rPr>
                <w:rFonts w:ascii="Times New Roman" w:hAnsi="Times New Roman"/>
                <w:sz w:val="18"/>
                <w:szCs w:val="18"/>
              </w:rPr>
              <w:t>Приложение № 1</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right"/>
            </w:pPr>
            <w:r>
              <w:rPr>
                <w:rFonts w:ascii="Times New Roman" w:hAnsi="Times New Roman"/>
                <w:sz w:val="18"/>
                <w:szCs w:val="18"/>
              </w:rPr>
              <w:t>К договору № 597-Р от «08» апреля 2026 г.</w:t>
            </w: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left"/>
            </w:pPr>
          </w:p>
        </w:tc>
      </w:tr>
      <w:tr>
        <w:trPr>
          <w:cantSplit/>
          <w:trHeight w:val="0" w:hRule="auto"/>
        </w:trPr>
        <w:tc>
          <w:tcPr>
            <w:tcW w:w="945" w:type="dxa"/>
            <w:shd w:val="clear" w:color="auto" w:fill="auto"/>
            <w:textDirection w:val="lrTb"/>
            <w:vAlign w:val="bottom"/>
          </w:tcPr>
          <w:p>
            <w:pPr>
              <w:spacing w:after="0"/>
              <w:jc w:val="left"/>
            </w:pPr>
          </w:p>
        </w:tc>
        <w:tc>
          <w:tcPr>
            <w:tcW w:w="9660" w:type="dxa"/>
            <w:shd w:val="clear" w:color="auto" w:fill="auto"/>
            <w:textDirection w:val="lrTb"/>
            <w:vAlign w:val="bottom"/>
          </w:tcPr>
          <w:p>
            <w:pPr>
              <w:spacing w:after="0"/>
              <w:jc w:val="center"/>
            </w:pPr>
            <w:r>
              <w:rPr>
                <w:rFonts w:ascii="Times New Roman" w:hAnsi="Times New Roman"/>
                <w:sz w:val="18"/>
                <w:szCs w:val="18"/>
              </w:rPr>
              <w:t>Спецификация</w:t>
            </w:r>
          </w:p>
        </w:tc>
      </w:tr>
    </w:tbl>
    <w:tbl>
      <w:tblPr>
        <w:tblStyle w:val="TableStyle7"/>
        <w:tblW w:w="10605" w:type="dxa"/>
        <w:tblLayout w:type="fixed"/>
        <w:tblCellMar>
          <w:left w:w="0" w:type="dxa"/>
          <w:right w:w="0" w:type="dxa"/>
        </w:tblCellMar>
        <w:tblLook w:val="04A0"/>
      </w:tblPr>
      <w:tblGrid>
        <w:gridCol w:w="945"/>
        <w:gridCol w:w="525"/>
        <w:gridCol w:w="4410"/>
        <w:gridCol w:w="630"/>
        <w:gridCol w:w="1365"/>
        <w:gridCol w:w="1365"/>
        <w:gridCol w:w="1365"/>
      </w:tblGrid>
      <w:tr>
        <w:trPr>
          <w:cantSplit/>
          <w:trHeight w:val="0" w:hRule="auto"/>
        </w:trPr>
        <w:tc>
          <w:tcPr>
            <w:tcW w:w="945" w:type="dxa"/>
            <w:shd w:val="clear" w:color="auto" w:fill="auto"/>
            <w:textDirection w:val="lrTb"/>
            <w:vAlign w:val="bottom"/>
          </w:tcPr>
          <w:p>
            <w:pPr>
              <w:spacing w:after="0"/>
              <w:jc w:val="left"/>
            </w:pPr>
          </w:p>
        </w:tc>
        <w:tc>
          <w:tcPr>
            <w:tcW w:w="525" w:type="dxa"/>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sz w:val="18"/>
                <w:szCs w:val="18"/>
              </w:rPr>
              <w:t>№ п/п</w:t>
            </w:r>
          </w:p>
        </w:tc>
        <w:tc>
          <w:tcPr>
            <w:tcW w:w="4410" w:type="dxa"/>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sz w:val="18"/>
                <w:szCs w:val="18"/>
              </w:rPr>
              <w:t>Наименование услуг, наименование СИ (ИО)</w:t>
            </w:r>
          </w:p>
        </w:tc>
        <w:tc>
          <w:tcPr>
            <w:tcW w:w="630" w:type="dxa"/>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sz w:val="18"/>
                <w:szCs w:val="18"/>
              </w:rPr>
              <w:t>Кол-во</w:t>
            </w:r>
          </w:p>
        </w:tc>
        <w:tc>
          <w:tcPr>
            <w:tcW w:w="1365" w:type="dxa"/>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sz w:val="18"/>
                <w:szCs w:val="18"/>
              </w:rPr>
              <w:t>Тариф</w:t>
            </w:r>
          </w:p>
          <w:p>
            <w:pPr>
              <w:spacing w:after="0"/>
              <w:wordWrap w:val="1"/>
              <w:jc w:val="center"/>
            </w:pPr>
            <w:r>
              <w:rPr>
                <w:rFonts w:ascii="Times New Roman" w:hAnsi="Times New Roman"/>
                <w:sz w:val="18"/>
                <w:szCs w:val="18"/>
              </w:rPr>
              <w:t>(без учета НДС)</w:t>
            </w:r>
          </w:p>
        </w:tc>
        <w:tc>
          <w:tcPr>
            <w:tcW w:w="1365" w:type="dxa"/>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sz w:val="18"/>
                <w:szCs w:val="18"/>
              </w:rPr>
              <w:t>Сумма</w:t>
            </w:r>
          </w:p>
          <w:p>
            <w:pPr>
              <w:spacing w:after="0"/>
              <w:wordWrap w:val="1"/>
              <w:jc w:val="center"/>
            </w:pPr>
            <w:r>
              <w:rPr>
                <w:rFonts w:ascii="Times New Roman" w:hAnsi="Times New Roman"/>
                <w:sz w:val="18"/>
                <w:szCs w:val="18"/>
              </w:rPr>
              <w:t>(без учета НДС)</w:t>
            </w:r>
          </w:p>
        </w:tc>
        <w:tc>
          <w:tcPr>
            <w:tcW w:w="1365" w:type="dxa"/>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sz w:val="18"/>
                <w:szCs w:val="18"/>
              </w:rPr>
              <w:t>Сумма</w:t>
            </w:r>
          </w:p>
          <w:p>
            <w:pPr>
              <w:spacing w:after="0"/>
              <w:wordWrap w:val="1"/>
              <w:jc w:val="center"/>
            </w:pPr>
            <w:r>
              <w:rPr>
                <w:rFonts w:ascii="Times New Roman" w:hAnsi="Times New Roman"/>
                <w:sz w:val="18"/>
                <w:szCs w:val="18"/>
              </w:rPr>
              <w:t>(с учетом НДС)</w:t>
            </w:r>
          </w:p>
        </w:tc>
      </w:tr>
      <w:tr>
        <w:trPr>
          <w:cantSplit/>
          <w:trHeight w:val="0" w:hRule="auto"/>
        </w:trPr>
        <w:tc>
          <w:tcPr>
            <w:tcW w:w="945" w:type="dxa"/>
            <w:shd w:val="clear" w:color="auto" w:fill="auto"/>
            <w:textDirection w:val="lrTb"/>
            <w:vAlign w:val="bottom"/>
          </w:tcPr>
          <w:p>
            <w:pPr>
              <w:spacing w:after="0"/>
              <w:jc w:val="left"/>
            </w:pPr>
          </w:p>
        </w:tc>
        <w:tc>
          <w:tcPr>
            <w:tcW w:w="525"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1</w:t>
            </w:r>
          </w:p>
        </w:tc>
        <w:tc>
          <w:tcPr>
            <w:tcW w:w="44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18"/>
                <w:szCs w:val="18"/>
              </w:rPr>
              <w:t>Диагностика СИ: Динамометр общего назначения ДПУ-0,5-2</w:t>
            </w:r>
          </w:p>
        </w:tc>
        <w:tc>
          <w:tcPr>
            <w:tcW w:w="63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1</w:t>
            </w:r>
          </w:p>
        </w:tc>
        <w:tc>
          <w:tcPr>
            <w:tcW w:w="1365"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3 582,00</w:t>
            </w:r>
          </w:p>
        </w:tc>
        <w:tc>
          <w:tcPr>
            <w:tcW w:w="1365"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3 582,00</w:t>
            </w:r>
          </w:p>
        </w:tc>
        <w:tc>
          <w:tcPr>
            <w:tcW w:w="1365"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4 370,04</w:t>
            </w:r>
          </w:p>
        </w:tc>
      </w:tr>
      <w:tr>
        <w:trPr>
          <w:cantSplit/>
          <w:trHeight w:val="0" w:hRule="auto"/>
        </w:trPr>
        <w:tc>
          <w:tcPr>
            <w:tcW w:w="945" w:type="dxa"/>
            <w:shd w:val="clear" w:color="auto" w:fill="auto"/>
            <w:textDirection w:val="lrTb"/>
            <w:vAlign w:val="bottom"/>
          </w:tcPr>
          <w:p>
            <w:pPr>
              <w:spacing w:after="0"/>
              <w:jc w:val="left"/>
            </w:pPr>
          </w:p>
        </w:tc>
        <w:tc>
          <w:tcPr>
            <w:tcW w:w="525"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2</w:t>
            </w:r>
          </w:p>
        </w:tc>
        <w:tc>
          <w:tcPr>
            <w:tcW w:w="44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18"/>
                <w:szCs w:val="18"/>
              </w:rPr>
              <w:t>Диагностика СИ: Динамометр общего назначения ДПУ-5-2</w:t>
            </w:r>
          </w:p>
        </w:tc>
        <w:tc>
          <w:tcPr>
            <w:tcW w:w="63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1</w:t>
            </w:r>
          </w:p>
        </w:tc>
        <w:tc>
          <w:tcPr>
            <w:tcW w:w="1365"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3 582,00</w:t>
            </w:r>
          </w:p>
        </w:tc>
        <w:tc>
          <w:tcPr>
            <w:tcW w:w="1365"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3 582,00</w:t>
            </w:r>
          </w:p>
        </w:tc>
        <w:tc>
          <w:tcPr>
            <w:tcW w:w="1365"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right"/>
            </w:pPr>
            <w:r>
              <w:rPr>
                <w:rFonts w:ascii="Times New Roman" w:hAnsi="Times New Roman"/>
                <w:sz w:val="18"/>
                <w:szCs w:val="18"/>
              </w:rPr>
              <w:t>4 370,04</w:t>
            </w:r>
          </w:p>
        </w:tc>
      </w:tr>
      <w:tr>
        <w:trPr>
          <w:cantSplit/>
          <w:trHeight w:val="0" w:hRule="auto"/>
        </w:trPr>
        <w:tc>
          <w:tcPr>
            <w:tcW w:w="945" w:type="dxa"/>
            <w:shd w:val="clear" w:color="auto" w:fill="auto"/>
            <w:textDirection w:val="lrTb"/>
            <w:vAlign w:val="bottom"/>
          </w:tcPr>
          <w:p>
            <w:pPr>
              <w:spacing w:after="0"/>
              <w:jc w:val="left"/>
            </w:pPr>
          </w:p>
        </w:tc>
        <w:tc>
          <w:tcPr>
            <w:tcW w:w="525" w:type="dxa"/>
            <w:shd w:val="clear" w:color="auto" w:fill="auto"/>
            <w:textDirection w:val="lrTb"/>
            <w:vAlign w:val="bottom"/>
          </w:tcPr>
          <w:p>
            <w:pPr>
              <w:spacing w:after="0"/>
              <w:jc w:val="left"/>
            </w:pPr>
          </w:p>
        </w:tc>
        <w:tc>
          <w:tcPr>
            <w:tcW w:w="4410" w:type="dxa"/>
            <w:shd w:val="clear" w:color="auto" w:fill="auto"/>
            <w:textDirection w:val="lrTb"/>
            <w:vAlign w:val="bottom"/>
          </w:tcPr>
          <w:p>
            <w:pPr>
              <w:spacing w:after="0"/>
              <w:jc w:val="left"/>
            </w:pPr>
          </w:p>
        </w:tc>
        <w:tc>
          <w:tcPr>
            <w:tcW w:w="630" w:type="dxa"/>
            <w:shd w:val="clear" w:color="auto" w:fill="auto"/>
            <w:textDirection w:val="lrTb"/>
            <w:vAlign w:val="bottom"/>
          </w:tcPr>
          <w:p>
            <w:pPr>
              <w:spacing w:after="0"/>
              <w:jc w:val="left"/>
            </w:pPr>
          </w:p>
        </w:tc>
        <w:tc>
          <w:tcPr>
            <w:tcW w:w="1365" w:type="dxa"/>
            <w:shd w:val="clear" w:color="auto" w:fill="auto"/>
            <w:textDirection w:val="lrTb"/>
            <w:vAlign w:val="bottom"/>
          </w:tcPr>
          <w:p>
            <w:pPr>
              <w:spacing w:after="0"/>
              <w:jc w:val="left"/>
            </w:pPr>
          </w:p>
        </w:tc>
        <w:tc>
          <w:tcPr>
            <w:tcW w:w="1365" w:type="dxa"/>
            <w:shd w:val="clear" w:color="auto" w:fill="auto"/>
            <w:textDirection w:val="lrTb"/>
            <w:vAlign w:val="bottom"/>
          </w:tcPr>
          <w:p>
            <w:pPr>
              <w:spacing w:after="0"/>
              <w:jc w:val="right"/>
            </w:pPr>
            <w:r>
              <w:rPr>
                <w:rFonts w:ascii="Times New Roman" w:hAnsi="Times New Roman"/>
                <w:sz w:val="18"/>
                <w:szCs w:val="18"/>
              </w:rPr>
              <w:t>Итого:</w:t>
            </w:r>
          </w:p>
        </w:tc>
        <w:tc>
          <w:tcPr>
            <w:tcW w:w="1365" w:type="dxa"/>
            <w:shd w:val="clear" w:color="auto" w:fill="auto"/>
            <w:textDirection w:val="lrTb"/>
            <w:vAlign w:val="bottom"/>
          </w:tcPr>
          <w:p>
            <w:pPr>
              <w:spacing w:after="0"/>
              <w:jc w:val="right"/>
            </w:pPr>
            <w:r>
              <w:rPr>
                <w:rFonts w:ascii="Times New Roman" w:hAnsi="Times New Roman"/>
                <w:sz w:val="18"/>
                <w:szCs w:val="18"/>
              </w:rPr>
              <w:t>7 164,00</w:t>
            </w:r>
          </w:p>
        </w:tc>
      </w:tr>
      <w:tr>
        <w:trPr>
          <w:cantSplit/>
          <w:trHeight w:val="0" w:hRule="auto"/>
        </w:trPr>
        <w:tc>
          <w:tcPr>
            <w:tcW w:w="945" w:type="dxa"/>
            <w:shd w:val="clear" w:color="auto" w:fill="auto"/>
            <w:textDirection w:val="lrTb"/>
            <w:vAlign w:val="bottom"/>
          </w:tcPr>
          <w:p>
            <w:pPr>
              <w:spacing w:after="0"/>
              <w:jc w:val="left"/>
            </w:pPr>
          </w:p>
        </w:tc>
        <w:tc>
          <w:tcPr>
            <w:tcW w:w="525" w:type="dxa"/>
            <w:shd w:val="clear" w:color="auto" w:fill="auto"/>
            <w:textDirection w:val="lrTb"/>
            <w:vAlign w:val="bottom"/>
          </w:tcPr>
          <w:p>
            <w:pPr>
              <w:spacing w:after="0"/>
              <w:jc w:val="left"/>
            </w:pPr>
          </w:p>
        </w:tc>
        <w:tc>
          <w:tcPr>
            <w:tcW w:w="4410" w:type="dxa"/>
            <w:shd w:val="clear" w:color="auto" w:fill="auto"/>
            <w:textDirection w:val="lrTb"/>
            <w:vAlign w:val="bottom"/>
          </w:tcPr>
          <w:p>
            <w:pPr>
              <w:spacing w:after="0"/>
              <w:jc w:val="left"/>
            </w:pPr>
          </w:p>
        </w:tc>
        <w:tc>
          <w:tcPr>
            <w:tcW w:w="630" w:type="dxa"/>
            <w:shd w:val="clear" w:color="auto" w:fill="auto"/>
            <w:textDirection w:val="lrTb"/>
            <w:vAlign w:val="bottom"/>
          </w:tcPr>
          <w:p>
            <w:pPr>
              <w:spacing w:after="0"/>
              <w:jc w:val="left"/>
            </w:pPr>
          </w:p>
        </w:tc>
        <w:tc>
          <w:tcPr>
            <w:tcW w:w="1365" w:type="dxa"/>
            <w:shd w:val="clear" w:color="auto" w:fill="auto"/>
            <w:textDirection w:val="lrTb"/>
            <w:vAlign w:val="bottom"/>
          </w:tcPr>
          <w:p>
            <w:pPr>
              <w:spacing w:after="0"/>
              <w:jc w:val="left"/>
            </w:pPr>
          </w:p>
        </w:tc>
        <w:tc>
          <w:tcPr>
            <w:tcW w:w="1365" w:type="dxa"/>
            <w:shd w:val="clear" w:color="auto" w:fill="auto"/>
            <w:textDirection w:val="lrTb"/>
            <w:vAlign w:val="bottom"/>
          </w:tcPr>
          <w:p>
            <w:pPr>
              <w:spacing w:after="0"/>
              <w:jc w:val="right"/>
            </w:pPr>
            <w:r>
              <w:rPr>
                <w:rFonts w:ascii="Times New Roman" w:hAnsi="Times New Roman"/>
                <w:sz w:val="18"/>
                <w:szCs w:val="18"/>
              </w:rPr>
              <w:t>НДС 22%:</w:t>
            </w:r>
          </w:p>
        </w:tc>
        <w:tc>
          <w:tcPr>
            <w:tcW w:w="1365" w:type="dxa"/>
            <w:shd w:val="clear" w:color="auto" w:fill="auto"/>
            <w:textDirection w:val="lrTb"/>
            <w:vAlign w:val="bottom"/>
          </w:tcPr>
          <w:p>
            <w:pPr>
              <w:spacing w:after="0"/>
              <w:jc w:val="right"/>
            </w:pPr>
            <w:r>
              <w:rPr>
                <w:rFonts w:ascii="Times New Roman" w:hAnsi="Times New Roman"/>
                <w:sz w:val="18"/>
                <w:szCs w:val="18"/>
              </w:rPr>
              <w:t>1 576,08</w:t>
            </w:r>
          </w:p>
        </w:tc>
      </w:tr>
      <w:tr>
        <w:trPr>
          <w:cantSplit/>
          <w:trHeight w:val="0" w:hRule="auto"/>
        </w:trPr>
        <w:tc>
          <w:tcPr>
            <w:tcW w:w="945" w:type="dxa"/>
            <w:shd w:val="clear" w:color="auto" w:fill="auto"/>
            <w:textDirection w:val="lrTb"/>
            <w:vAlign w:val="bottom"/>
          </w:tcPr>
          <w:p>
            <w:pPr>
              <w:spacing w:after="0"/>
              <w:jc w:val="left"/>
            </w:pPr>
          </w:p>
        </w:tc>
        <w:tc>
          <w:tcPr>
            <w:tcW w:w="525" w:type="dxa"/>
            <w:shd w:val="clear" w:color="auto" w:fill="auto"/>
            <w:textDirection w:val="lrTb"/>
            <w:vAlign w:val="bottom"/>
          </w:tcPr>
          <w:p>
            <w:pPr>
              <w:spacing w:after="0"/>
              <w:jc w:val="left"/>
            </w:pPr>
          </w:p>
        </w:tc>
        <w:tc>
          <w:tcPr>
            <w:tcW w:w="4410" w:type="dxa"/>
            <w:shd w:val="clear" w:color="auto" w:fill="auto"/>
            <w:textDirection w:val="lrTb"/>
            <w:vAlign w:val="bottom"/>
          </w:tcPr>
          <w:p>
            <w:pPr>
              <w:spacing w:after="0"/>
              <w:jc w:val="left"/>
            </w:pPr>
          </w:p>
        </w:tc>
        <w:tc>
          <w:tcPr>
            <w:tcW w:w="630" w:type="dxa"/>
            <w:shd w:val="clear" w:color="auto" w:fill="auto"/>
            <w:textDirection w:val="lrTb"/>
            <w:vAlign w:val="bottom"/>
          </w:tcPr>
          <w:p>
            <w:pPr>
              <w:spacing w:after="0"/>
              <w:jc w:val="left"/>
            </w:pPr>
          </w:p>
        </w:tc>
        <w:tc>
          <w:tcPr>
            <w:tcW w:w="1365" w:type="dxa"/>
            <w:shd w:val="clear" w:color="auto" w:fill="auto"/>
            <w:textDirection w:val="lrTb"/>
            <w:vAlign w:val="bottom"/>
          </w:tcPr>
          <w:p>
            <w:pPr>
              <w:spacing w:after="0"/>
              <w:jc w:val="left"/>
            </w:pPr>
          </w:p>
        </w:tc>
        <w:tc>
          <w:tcPr>
            <w:tcW w:w="1365" w:type="dxa"/>
            <w:shd w:val="clear" w:color="auto" w:fill="auto"/>
            <w:textDirection w:val="lrTb"/>
            <w:vAlign w:val="bottom"/>
          </w:tcPr>
          <w:p>
            <w:pPr>
              <w:spacing w:after="0"/>
              <w:jc w:val="right"/>
            </w:pPr>
            <w:r>
              <w:rPr>
                <w:rFonts w:ascii="Times New Roman" w:hAnsi="Times New Roman"/>
                <w:sz w:val="18"/>
                <w:szCs w:val="18"/>
              </w:rPr>
              <w:t>Сумма к оплате:</w:t>
            </w:r>
          </w:p>
        </w:tc>
        <w:tc>
          <w:tcPr>
            <w:tcW w:w="1365" w:type="dxa"/>
            <w:shd w:val="clear" w:color="auto" w:fill="auto"/>
            <w:textDirection w:val="lrTb"/>
            <w:vAlign w:val="bottom"/>
          </w:tcPr>
          <w:p>
            <w:pPr>
              <w:spacing w:after="0"/>
              <w:jc w:val="right"/>
            </w:pPr>
            <w:r>
              <w:rPr>
                <w:rFonts w:ascii="Times New Roman" w:hAnsi="Times New Roman"/>
                <w:sz w:val="18"/>
                <w:szCs w:val="18"/>
              </w:rPr>
              <w:t>8 740,08</w:t>
            </w:r>
          </w:p>
        </w:tc>
      </w:tr>
    </w:tbl>
    <w:tbl>
      <w:tblPr>
        <w:tblStyle w:val="TableStyle8"/>
        <w:tblW w:w="10605" w:type="dxa"/>
        <w:tblLayout w:type="fixed"/>
        <w:tblCellMar>
          <w:left w:w="0" w:type="dxa"/>
          <w:right w:w="0" w:type="dxa"/>
        </w:tblCellMar>
        <w:tblLook w:val="04A0"/>
      </w:tblPr>
      <w:tblGrid>
        <w:gridCol w:w="945"/>
        <w:gridCol w:w="3675"/>
        <w:gridCol w:w="1680"/>
        <w:gridCol w:w="3675"/>
        <w:gridCol w:w="630"/>
      </w:tblGrid>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p>
        </w:tc>
        <w:tc>
          <w:tcPr>
            <w:tcW w:w="1680"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p>
        </w:tc>
        <w:tc>
          <w:tcPr>
            <w:tcW w:w="630" w:type="dxa"/>
            <w:shd w:val="clear" w:color="auto" w:fill="auto"/>
            <w:textDirection w:val="lrTb"/>
            <w:vAlign w:val="bottom"/>
          </w:tcPr>
          <w:p>
            <w:pPr>
              <w:spacing w:after="0"/>
              <w:jc w:val="left"/>
            </w:pPr>
          </w:p>
        </w:tc>
      </w:tr>
      <w:tr>
        <w:trPr>
          <w:cantSplit/>
          <w:trHeight w:val="0" w:hRule="auto"/>
        </w:trPr>
        <w:tc>
          <w:tcPr>
            <w:tcW w:w="945" w:type="dxa"/>
            <w:shd w:val="clear" w:color="auto" w:fill="auto"/>
            <w:textDirection w:val="lrTb"/>
            <w:vAlign w:val="bottom"/>
          </w:tcPr>
          <w:p>
            <w:pPr>
              <w:spacing w:after="0"/>
              <w:jc w:val="left"/>
            </w:pPr>
          </w:p>
        </w:tc>
        <w:tc>
          <w:tcPr>
            <w:tcW w:w="9660" w:type="dxa"/>
            <w:gridSpan w:val="4"/>
            <w:shd w:val="clear" w:color="auto" w:fill="auto"/>
            <w:textDirection w:val="lrTb"/>
            <w:vAlign w:val="bottom"/>
          </w:tcPr>
          <w:p>
            <w:pPr>
              <w:spacing w:after="0"/>
              <w:jc w:val="left"/>
            </w:pPr>
            <w:r>
              <w:rPr>
                <w:rFonts w:ascii="Times New Roman" w:hAnsi="Times New Roman"/>
                <w:sz w:val="18"/>
                <w:szCs w:val="18"/>
              </w:rPr>
              <w:t>Настоящая Спецификация является основанием для проведения взаимных расчетов между Исполнителем и Заказчиком.</w:t>
            </w: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p>
        </w:tc>
        <w:tc>
          <w:tcPr>
            <w:tcW w:w="1680"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p>
        </w:tc>
        <w:tc>
          <w:tcPr>
            <w:tcW w:w="630" w:type="dxa"/>
            <w:shd w:val="clear" w:color="auto" w:fill="auto"/>
            <w:textDirection w:val="lrTb"/>
            <w:vAlign w:val="bottom"/>
          </w:tcPr>
          <w:p>
            <w:pPr>
              <w:spacing w:after="0"/>
              <w:jc w:val="left"/>
            </w:pP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r>
              <w:rPr>
                <w:rFonts w:ascii="Times New Roman" w:hAnsi="Times New Roman"/>
                <w:sz w:val="18"/>
                <w:szCs w:val="18"/>
              </w:rPr>
              <w:t>Исполнитель</w:t>
            </w:r>
          </w:p>
        </w:tc>
        <w:tc>
          <w:tcPr>
            <w:tcW w:w="1680"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r>
              <w:rPr>
                <w:rFonts w:ascii="Times New Roman" w:hAnsi="Times New Roman"/>
                <w:sz w:val="18"/>
                <w:szCs w:val="18"/>
              </w:rPr>
              <w:t>Заказчик</w:t>
            </w:r>
          </w:p>
        </w:tc>
        <w:tc>
          <w:tcPr>
            <w:tcW w:w="630" w:type="dxa"/>
            <w:shd w:val="clear" w:color="auto" w:fill="auto"/>
            <w:textDirection w:val="lrTb"/>
            <w:vAlign w:val="bottom"/>
          </w:tcPr>
          <w:p>
            <w:pPr>
              <w:spacing w:after="0"/>
              <w:jc w:val="left"/>
            </w:pP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r>
              <w:rPr>
                <w:rFonts w:ascii="Times New Roman" w:hAnsi="Times New Roman"/>
                <w:sz w:val="18"/>
                <w:szCs w:val="18"/>
              </w:rPr>
              <w:t>Инженер первой категории</w:t>
            </w:r>
          </w:p>
        </w:tc>
        <w:tc>
          <w:tcPr>
            <w:tcW w:w="1680"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r>
              <w:rPr>
                <w:rFonts w:ascii="Times New Roman" w:hAnsi="Times New Roman"/>
                <w:sz w:val="18"/>
                <w:szCs w:val="18"/>
              </w:rPr>
              <w:t>________________________________________</w:t>
            </w:r>
          </w:p>
        </w:tc>
        <w:tc>
          <w:tcPr>
            <w:tcW w:w="630" w:type="dxa"/>
            <w:shd w:val="clear" w:color="auto" w:fill="auto"/>
            <w:textDirection w:val="lrTb"/>
            <w:vAlign w:val="bottom"/>
          </w:tcPr>
          <w:p>
            <w:pPr>
              <w:spacing w:after="0"/>
              <w:jc w:val="left"/>
            </w:pP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top"/>
          </w:tcPr>
          <w:p>
            <w:pPr>
              <w:spacing w:after="0"/>
              <w:jc w:val="left"/>
            </w:pPr>
            <w:r>
              <w:rPr>
                <w:rFonts w:ascii="Times New Roman" w:hAnsi="Times New Roman"/>
                <w:sz w:val="18"/>
                <w:szCs w:val="18"/>
              </w:rPr>
              <w:t>ФБУ "Красноярский ЦСМ"</w:t>
            </w:r>
          </w:p>
        </w:tc>
        <w:tc>
          <w:tcPr>
            <w:tcW w:w="1680"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wordWrap w:val="1"/>
              <w:jc w:val="left"/>
            </w:pPr>
            <w:r>
              <w:rPr>
                <w:rFonts w:ascii="Times New Roman" w:hAnsi="Times New Roman"/>
                <w:sz w:val="18"/>
                <w:szCs w:val="18"/>
              </w:rPr>
              <w:t>ФЕДЕРАЛЬНОЕ ГОСУДАРСТВЕННОЕ КАЗЕННОЕ УЧРЕЖДЕНИЕ "СПЕЦИАЛЬНОЕ УПРАВЛЕНИЕ ФЕДЕРАЛЬНОЙ ПРОТИВОПОЖАРНОЙ СЛУЖБЫ № 19 МИНИСТЕРСТВА РОССИЙСКОЙ ФЕДЕРАЦИИ ПО ДЕЛАМ ГРАЖДАНСКОЙ ОБОРОНЫ, ЧРЕЗВЫЧАЙНЫМ СИТУАЦИЯМ И ЛИКВИДАЦИИ ПОСЛЕДСТВИЙ СТИХИЙНЫХ БЕДСТВИЙ"</w:t>
            </w:r>
          </w:p>
        </w:tc>
        <w:tc>
          <w:tcPr>
            <w:tcW w:w="630" w:type="dxa"/>
            <w:shd w:val="clear" w:color="auto" w:fill="auto"/>
            <w:textDirection w:val="lrTb"/>
            <w:vAlign w:val="bottom"/>
          </w:tcPr>
          <w:p>
            <w:pPr>
              <w:spacing w:after="0"/>
              <w:jc w:val="left"/>
            </w:pP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p>
        </w:tc>
        <w:tc>
          <w:tcPr>
            <w:tcW w:w="1680"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p>
        </w:tc>
        <w:tc>
          <w:tcPr>
            <w:tcW w:w="630" w:type="dxa"/>
            <w:shd w:val="clear" w:color="auto" w:fill="auto"/>
            <w:textDirection w:val="lrTb"/>
            <w:vAlign w:val="bottom"/>
          </w:tcPr>
          <w:p>
            <w:pPr>
              <w:spacing w:after="0"/>
              <w:jc w:val="left"/>
            </w:pP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r>
              <w:rPr>
                <w:rFonts w:ascii="Times New Roman" w:hAnsi="Times New Roman"/>
                <w:sz w:val="18"/>
                <w:szCs w:val="18"/>
              </w:rPr>
              <w:t>_____________________/В.А. Романова</w:t>
            </w:r>
          </w:p>
        </w:tc>
        <w:tc>
          <w:tcPr>
            <w:tcW w:w="1680"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r>
              <w:rPr>
                <w:rFonts w:ascii="Times New Roman" w:hAnsi="Times New Roman"/>
                <w:sz w:val="18"/>
                <w:szCs w:val="18"/>
              </w:rPr>
              <w:t>_____________________/__________________</w:t>
            </w:r>
          </w:p>
        </w:tc>
        <w:tc>
          <w:tcPr>
            <w:tcW w:w="630" w:type="dxa"/>
            <w:shd w:val="clear" w:color="auto" w:fill="auto"/>
            <w:textDirection w:val="lrTb"/>
            <w:vAlign w:val="bottom"/>
          </w:tcPr>
          <w:p>
            <w:pPr>
              <w:spacing w:after="0"/>
              <w:jc w:val="left"/>
            </w:pP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p>
        </w:tc>
        <w:tc>
          <w:tcPr>
            <w:tcW w:w="1680"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p>
        </w:tc>
        <w:tc>
          <w:tcPr>
            <w:tcW w:w="630" w:type="dxa"/>
            <w:shd w:val="clear" w:color="auto" w:fill="auto"/>
            <w:textDirection w:val="lrTb"/>
            <w:vAlign w:val="bottom"/>
          </w:tcPr>
          <w:p>
            <w:pPr>
              <w:spacing w:after="0"/>
              <w:jc w:val="left"/>
            </w:pPr>
          </w:p>
        </w:tc>
      </w:tr>
      <w:tr>
        <w:trPr>
          <w:cantSplit/>
          <w:trHeight w:val="0" w:hRule="auto"/>
        </w:trPr>
        <w:tc>
          <w:tcPr>
            <w:tcW w:w="945"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r>
              <w:rPr>
                <w:rFonts w:ascii="Times New Roman" w:hAnsi="Times New Roman"/>
                <w:sz w:val="18"/>
                <w:szCs w:val="18"/>
              </w:rPr>
              <w:t>М.П.</w:t>
            </w:r>
          </w:p>
        </w:tc>
        <w:tc>
          <w:tcPr>
            <w:tcW w:w="1680" w:type="dxa"/>
            <w:shd w:val="clear" w:color="auto" w:fill="auto"/>
            <w:textDirection w:val="lrTb"/>
            <w:vAlign w:val="bottom"/>
          </w:tcPr>
          <w:p>
            <w:pPr>
              <w:spacing w:after="0"/>
              <w:jc w:val="left"/>
            </w:pPr>
          </w:p>
        </w:tc>
        <w:tc>
          <w:tcPr>
            <w:tcW w:w="3675" w:type="dxa"/>
            <w:shd w:val="clear" w:color="auto" w:fill="auto"/>
            <w:textDirection w:val="lrTb"/>
            <w:vAlign w:val="bottom"/>
          </w:tcPr>
          <w:p>
            <w:pPr>
              <w:spacing w:after="0"/>
              <w:jc w:val="left"/>
            </w:pPr>
            <w:r>
              <w:rPr>
                <w:rFonts w:ascii="Times New Roman" w:hAnsi="Times New Roman"/>
                <w:sz w:val="18"/>
                <w:szCs w:val="18"/>
              </w:rPr>
              <w:t>М.П.</w:t>
            </w:r>
          </w:p>
        </w:tc>
        <w:tc>
          <w:tcPr>
            <w:tcW w:w="630" w:type="dxa"/>
            <w:shd w:val="clear" w:color="auto" w:fill="auto"/>
            <w:textDirection w:val="lrTb"/>
            <w:vAlign w:val="bottom"/>
          </w:tcPr>
          <w:p>
            <w:pPr>
              <w:spacing w:after="0"/>
              <w:jc w:val="left"/>
            </w:pPr>
          </w:p>
        </w:tc>
      </w:tr>
      <w:p>
        <w:r>
          <w:br w:type="page"/>
        </w:r>
      </w:p>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95"/>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 w:type="table" w:styleId="TableStyle1">
    <w:name w:val="TableStyle1"/>
    <w:pPr>
      <w:spacing w:after="0" w:line="240" w:lineRule="auto"/>
    </w:pPr>
    <w:rPr>
      <w:rFonts w:ascii="Arial" w:hAnsi="Arial"/>
      <w:sz w:val="16"/>
    </w:rPr>
  </w:style>
  <w:style w:type="table" w:styleId="TableStyle2">
    <w:name w:val="TableStyle2"/>
    <w:pPr>
      <w:spacing w:after="0" w:line="240" w:lineRule="auto"/>
    </w:pPr>
    <w:rPr>
      <w:rFonts w:ascii="Arial" w:hAnsi="Arial"/>
      <w:sz w:val="16"/>
    </w:rPr>
  </w:style>
  <w:style w:type="table" w:styleId="TableStyle3">
    <w:name w:val="TableStyle3"/>
    <w:pPr>
      <w:spacing w:after="0" w:line="240" w:lineRule="auto"/>
    </w:pPr>
    <w:rPr>
      <w:rFonts w:ascii="Arial" w:hAnsi="Arial"/>
      <w:sz w:val="16"/>
    </w:rPr>
  </w:style>
  <w:style w:type="table" w:styleId="TableStyle4">
    <w:name w:val="TableStyle4"/>
    <w:pPr>
      <w:spacing w:after="0" w:line="240" w:lineRule="auto"/>
    </w:pPr>
    <w:rPr>
      <w:rFonts w:ascii="Arial" w:hAnsi="Arial"/>
      <w:sz w:val="16"/>
    </w:rPr>
  </w:style>
  <w:style w:type="table" w:styleId="TableStyle5">
    <w:name w:val="TableStyle5"/>
    <w:pPr>
      <w:spacing w:after="0" w:line="240" w:lineRule="auto"/>
    </w:pPr>
    <w:rPr>
      <w:rFonts w:ascii="Arial" w:hAnsi="Arial"/>
      <w:sz w:val="16"/>
    </w:rPr>
  </w:style>
  <w:style w:type="table" w:styleId="TableStyle6">
    <w:name w:val="TableStyle6"/>
    <w:pPr>
      <w:spacing w:after="0" w:line="240" w:lineRule="auto"/>
    </w:pPr>
    <w:rPr>
      <w:rFonts w:ascii="Arial" w:hAnsi="Arial"/>
      <w:sz w:val="16"/>
    </w:rPr>
  </w:style>
  <w:style w:type="table" w:styleId="TableStyle7">
    <w:name w:val="TableStyle7"/>
    <w:pPr>
      <w:spacing w:after="0" w:line="240" w:lineRule="auto"/>
    </w:pPr>
    <w:rPr>
      <w:rFonts w:ascii="Arial" w:hAnsi="Arial"/>
      <w:sz w:val="16"/>
    </w:rPr>
  </w:style>
  <w:style w:type="table" w:styleId="TableStyle8">
    <w:name w:val="TableStyle8"/>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