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BC" w:rsidRDefault="00927252">
      <w:pPr>
        <w:jc w:val="center"/>
        <w:rPr>
          <w:b/>
        </w:rPr>
      </w:pPr>
      <w:r>
        <w:rPr>
          <w:b/>
        </w:rPr>
        <w:t xml:space="preserve">ГОСУДАРСТВЕННЫЙ КОНТРАКТ № </w:t>
      </w:r>
    </w:p>
    <w:p w:rsidR="00700DBC" w:rsidRDefault="00927252">
      <w:pPr>
        <w:jc w:val="center"/>
        <w:rPr>
          <w:b/>
        </w:rPr>
      </w:pPr>
      <w:r>
        <w:rPr>
          <w:b/>
        </w:rPr>
        <w:t>на приобретение материалов</w:t>
      </w:r>
      <w:r w:rsidR="00F308BA">
        <w:rPr>
          <w:b/>
        </w:rPr>
        <w:t xml:space="preserve"> для изготовления металлической мебели</w:t>
      </w:r>
    </w:p>
    <w:p w:rsidR="00700DBC" w:rsidRDefault="00927252">
      <w:pPr>
        <w:jc w:val="center"/>
        <w:rPr>
          <w:b/>
        </w:rPr>
      </w:pPr>
      <w:r>
        <w:rPr>
          <w:b/>
        </w:rPr>
        <w:t>ИКЗ 261532001272753200100100070000000000</w:t>
      </w:r>
    </w:p>
    <w:p w:rsidR="00700DBC" w:rsidRDefault="00700DBC">
      <w:pPr>
        <w:jc w:val="center"/>
        <w:rPr>
          <w:b/>
        </w:rPr>
      </w:pPr>
    </w:p>
    <w:p w:rsidR="00700DBC" w:rsidRDefault="00927252">
      <w:pPr>
        <w:jc w:val="both"/>
      </w:pPr>
      <w:r>
        <w:t>г. Боровичи                                                                                              ____________ 2026 года</w:t>
      </w:r>
    </w:p>
    <w:p w:rsidR="00700DBC" w:rsidRDefault="00927252">
      <w:pPr>
        <w:ind w:firstLine="567"/>
        <w:jc w:val="both"/>
      </w:pPr>
      <w:proofErr w:type="gramStart"/>
      <w:r>
        <w:t>Федеральное казенное учреждение «Лечебное исправительное учреждение № 3 Управления Федеральной службы исполнения наказаний по Новгородской области», именуемое в дальнейшем «Государственный Заказчик», от имени и в интересах Российской Федерации, в целях обе</w:t>
      </w:r>
      <w:r>
        <w:t xml:space="preserve">спечения государственных нужд, в лице начальника учреждения Котова Игоря Сергеевича, действующего на основании Устава, с одной стороны, и </w:t>
      </w:r>
      <w:r>
        <w:rPr>
          <w:sz w:val="23"/>
          <w:szCs w:val="23"/>
        </w:rPr>
        <w:t>________________, именуемое в дальнейшем «Поставщик», в лице ________, действующего на основании _____________________</w:t>
      </w:r>
      <w:r>
        <w:rPr>
          <w:bCs/>
        </w:rPr>
        <w:t>, с другой стороны, вместе</w:t>
      </w:r>
      <w:proofErr w:type="gramEnd"/>
      <w:r>
        <w:rPr>
          <w:bCs/>
        </w:rPr>
        <w:t xml:space="preserve"> именуемые Стороны, руководствуясь п. 4 ч.1 ст. 93 Федерального закона от 05.04.2013 № 44-Ф «О контрактной системе в сфере закупок товаров, работ, услуг для обеспечения государственных и муниципальных нужд», заключили настоящий Ко</w:t>
      </w:r>
      <w:r>
        <w:rPr>
          <w:bCs/>
        </w:rPr>
        <w:t>нтракт о нижеследующем:</w:t>
      </w:r>
    </w:p>
    <w:p w:rsidR="00700DBC" w:rsidRDefault="00927252">
      <w:pPr>
        <w:ind w:firstLine="708"/>
        <w:jc w:val="center"/>
        <w:rPr>
          <w:b/>
          <w:bCs/>
        </w:rPr>
      </w:pPr>
      <w:r>
        <w:rPr>
          <w:b/>
          <w:bCs/>
        </w:rPr>
        <w:t>1. Предмет Контракта</w:t>
      </w:r>
    </w:p>
    <w:p w:rsidR="00700DBC" w:rsidRDefault="00927252">
      <w:pPr>
        <w:pStyle w:val="afc"/>
        <w:ind w:firstLine="567"/>
        <w:rPr>
          <w:b w:val="0"/>
          <w:bCs w:val="0"/>
          <w:sz w:val="24"/>
          <w:u w:val="none"/>
          <w:lang w:val="ru-RU"/>
        </w:rPr>
      </w:pPr>
      <w:r w:rsidRPr="00F308BA">
        <w:rPr>
          <w:b w:val="0"/>
          <w:bCs w:val="0"/>
          <w:sz w:val="24"/>
          <w:u w:val="none"/>
          <w:lang w:val="ru-RU"/>
        </w:rPr>
        <w:t>1.1. «Поставщик» обязуется передать материалы (Товар) «Государственному заказчику», а «Государственный заказчик» обязуется принять и обеспечить оплату поставленного</w:t>
      </w:r>
      <w:r>
        <w:rPr>
          <w:b w:val="0"/>
          <w:bCs w:val="0"/>
          <w:sz w:val="24"/>
          <w:u w:val="none"/>
          <w:lang w:val="ru-RU"/>
        </w:rPr>
        <w:t xml:space="preserve"> </w:t>
      </w:r>
      <w:r w:rsidRPr="00F308BA">
        <w:rPr>
          <w:b w:val="0"/>
          <w:bCs w:val="0"/>
          <w:sz w:val="24"/>
          <w:u w:val="none"/>
          <w:lang w:val="ru-RU"/>
        </w:rPr>
        <w:t>в течение срока действия Контракта Товара.</w:t>
      </w:r>
    </w:p>
    <w:p w:rsidR="00700DBC" w:rsidRDefault="00927252">
      <w:pPr>
        <w:ind w:firstLine="567"/>
        <w:jc w:val="both"/>
      </w:pPr>
      <w:proofErr w:type="gramStart"/>
      <w:r>
        <w:t>Наи</w:t>
      </w:r>
      <w:r>
        <w:t>менование и количество Товара указаны в Спецификации (Приложение № 1), которая является неотъемлемой частью настоящего Контракта.</w:t>
      </w:r>
      <w:proofErr w:type="gramEnd"/>
    </w:p>
    <w:p w:rsidR="00700DBC" w:rsidRDefault="00927252">
      <w:pPr>
        <w:ind w:firstLine="567"/>
        <w:jc w:val="both"/>
      </w:pPr>
      <w:r>
        <w:t xml:space="preserve">1.2. </w:t>
      </w:r>
      <w:proofErr w:type="gramStart"/>
      <w:r>
        <w:t>«Поставщик» гарантирует «Государственному заказчику», что Товар, поставляемый в рамках Контракта, является новым (товаром</w:t>
      </w:r>
      <w:r>
        <w:t xml:space="preserve">, который не был                              в употреблении, в </w:t>
      </w:r>
      <w:proofErr w:type="spellStart"/>
      <w:r>
        <w:t>т.ч</w:t>
      </w:r>
      <w:proofErr w:type="spellEnd"/>
      <w:r>
        <w:t xml:space="preserve">. который не был восстановлен, у которого не были восстановлены потребительские свойства), свободен от любых притязаний третьих лиц, не находится под запретом (арестом), в залоге. </w:t>
      </w:r>
      <w:proofErr w:type="gramEnd"/>
    </w:p>
    <w:p w:rsidR="00700DBC" w:rsidRDefault="00927252">
      <w:pPr>
        <w:jc w:val="center"/>
        <w:rPr>
          <w:b/>
          <w:bCs/>
        </w:rPr>
      </w:pPr>
      <w:r>
        <w:rPr>
          <w:b/>
        </w:rPr>
        <w:t xml:space="preserve">2. </w:t>
      </w:r>
      <w:r>
        <w:rPr>
          <w:b/>
          <w:bCs/>
        </w:rPr>
        <w:t>Качес</w:t>
      </w:r>
      <w:r>
        <w:rPr>
          <w:b/>
          <w:bCs/>
        </w:rPr>
        <w:t>тво и порядок приемки Товара</w:t>
      </w:r>
    </w:p>
    <w:p w:rsidR="00700DBC" w:rsidRDefault="00927252">
      <w:pPr>
        <w:widowControl w:val="0"/>
        <w:ind w:firstLine="567"/>
        <w:jc w:val="both"/>
      </w:pPr>
      <w:r>
        <w:t>2.1. Качественные характеристики Товара должны соответствовать Спецификации (Приложение № 1).</w:t>
      </w:r>
    </w:p>
    <w:p w:rsidR="00700DBC" w:rsidRDefault="00927252">
      <w:pPr>
        <w:widowControl w:val="0"/>
        <w:ind w:firstLine="567"/>
        <w:jc w:val="both"/>
      </w:pPr>
      <w:r>
        <w:t>2.2. «Поставщик» гарантирует безопасность Товара в соответствии с требованиями, установленными к данному виду Товара законодательство</w:t>
      </w:r>
      <w:r>
        <w:t>м Российской Федерации.</w:t>
      </w:r>
    </w:p>
    <w:p w:rsidR="00700DBC" w:rsidRDefault="00927252">
      <w:pPr>
        <w:widowControl w:val="0"/>
        <w:ind w:firstLine="567"/>
        <w:jc w:val="both"/>
      </w:pPr>
      <w:r>
        <w:t>2.3. Товар должен быть упакован и замаркирован в соответствии с действующими стандартами. «Поставщик» поставляет Товар в упаковке завода-изготовителя, позволяющей транспортировать его любым видом транспорта на любое расстояние, пред</w:t>
      </w:r>
      <w:r>
        <w:t>охранять от повреждений, загрязнений, утраты товарного вида и порчи при его перевозке с учетом возможных перегрузок в пути длительного хранения.</w:t>
      </w:r>
    </w:p>
    <w:p w:rsidR="00700DBC" w:rsidRDefault="00927252">
      <w:pPr>
        <w:ind w:firstLine="567"/>
        <w:jc w:val="both"/>
      </w:pPr>
      <w:r>
        <w:t>2.4. Приемка продукции осуществляется в момент передачи  Товара и оформляется двухсторонне подписанной накладно</w:t>
      </w:r>
      <w:r>
        <w:t xml:space="preserve">й, либо актом (в случае установления расхождений между фактическим количеством поставленного Товара и отгрузочными документами «Поставщика»).  </w:t>
      </w:r>
    </w:p>
    <w:p w:rsidR="00700DBC" w:rsidRDefault="00927252">
      <w:pPr>
        <w:ind w:firstLine="567"/>
        <w:jc w:val="both"/>
      </w:pPr>
      <w:r>
        <w:t>«Государственный заказчик» проводит проверку соответствия наименования, количества и иных характеристик поставля</w:t>
      </w:r>
      <w:r>
        <w:t>емого Товара сведениям, содержащимся                     в сопроводительных документах «Поставщика».</w:t>
      </w:r>
    </w:p>
    <w:p w:rsidR="00700DBC" w:rsidRDefault="00927252">
      <w:pPr>
        <w:ind w:firstLine="567"/>
        <w:jc w:val="both"/>
      </w:pPr>
      <w:r>
        <w:t>2.5. Приемка Товара в части соответствия его условиям Контракта осуществляется приемочной комиссией «Государственного заказчика» в составе 5 (пяти) человек</w:t>
      </w:r>
      <w:r>
        <w:t>, созданной приказом начальника учреждения, в течение 5 (пяти) рабочих дней с момента получения Товара, но не ранее проведения экспертизы, предусмотренной в п.2.8. настоящего Контракта. Результаты приемки в день ее проведения оформляются актом, который под</w:t>
      </w:r>
      <w:r>
        <w:t xml:space="preserve">писывается всеми  членами приемочной комиссии, участвующими в приемке, и  утверждается руководителем «Государственного заказчика». </w:t>
      </w:r>
    </w:p>
    <w:p w:rsidR="00700DBC" w:rsidRDefault="00927252">
      <w:pPr>
        <w:ind w:firstLine="567"/>
        <w:jc w:val="both"/>
      </w:pPr>
      <w:r>
        <w:t>2.6. Для проверки предоставленных «Поставщиком» результатов, предусмотренных Контрактом, в части их соответствия условиям Ко</w:t>
      </w:r>
      <w:r>
        <w:t xml:space="preserve">нтракта «Государственный Заказчик» обязан провести экспертизу. Экспертиза результатов, предусмотренных Контрактом, проводиться «Государственным заказчиком» своими силами в соответствии со ст. 94 </w:t>
      </w:r>
      <w:r>
        <w:lastRenderedPageBreak/>
        <w:t>Федерального закона от 05.04.2013 № 44-ФЗ «О контрактной сист</w:t>
      </w:r>
      <w:r>
        <w:t>еме в сфере закупок товаров, работ, услуг для обеспечения государственных и муниципальных нужд». Проверка соответствия качества поставляемого Товара требованиям, установленным настоящим Контрактом, может также осуществляться с привлечением независимых эксп</w:t>
      </w:r>
      <w:r>
        <w:t>ертов.</w:t>
      </w:r>
    </w:p>
    <w:p w:rsidR="00700DBC" w:rsidRDefault="00927252">
      <w:pPr>
        <w:ind w:firstLine="567"/>
        <w:jc w:val="both"/>
      </w:pPr>
      <w:r>
        <w:t>2.7. В случае обнаружения недостатков в качестве поставленного Товара, «Государственный заказчик» непосредственно в ходе проведения приемки извещает                об этом представителя «Поставщика». В случае отсутствия уполномоченного представителя</w:t>
      </w:r>
      <w:r>
        <w:t xml:space="preserve"> «Поставщика» или выявления недостатков в ходе использования Товара (в течение срока годности) уведомление о некачественной поставке направляется «Поставщику» в порядке, предусмотренном пунктом 2.9 настоящего Контракта.</w:t>
      </w:r>
    </w:p>
    <w:p w:rsidR="00700DBC" w:rsidRDefault="00927252">
      <w:pPr>
        <w:ind w:firstLine="567"/>
        <w:jc w:val="both"/>
      </w:pPr>
      <w:r>
        <w:t>2.8. В случае</w:t>
      </w:r>
      <w:proofErr w:type="gramStart"/>
      <w:r>
        <w:t>,</w:t>
      </w:r>
      <w:proofErr w:type="gramEnd"/>
      <w:r>
        <w:t xml:space="preserve"> если «Поставщик» не с</w:t>
      </w:r>
      <w:r>
        <w:t>огласен с предъявляемой «Государственным заказчиком» претензией о некачественной поставке, «Поставщик» обязан самостоятельно подтвердить качество Товара в экспертной организации и оригинал экспертного заключения представить «Государственному заказчику». Вы</w:t>
      </w:r>
      <w:r>
        <w:t xml:space="preserve">бор экспертной организации осуществляется «Поставщиком» и согласовывается с «Государственным заказчиком». Оплата услуг экспертной организации, а также всех расходов, в </w:t>
      </w:r>
      <w:proofErr w:type="spellStart"/>
      <w:r>
        <w:t>т.ч</w:t>
      </w:r>
      <w:proofErr w:type="spellEnd"/>
      <w:r>
        <w:t>. связанных                             с транспортировкой Товара для экспертизы, осу</w:t>
      </w:r>
      <w:r>
        <w:t>ществляется «Поставщиком».</w:t>
      </w:r>
    </w:p>
    <w:p w:rsidR="00700DBC" w:rsidRDefault="00927252">
      <w:pPr>
        <w:ind w:firstLine="567"/>
        <w:jc w:val="both"/>
      </w:pPr>
      <w:r>
        <w:t xml:space="preserve">2.9. Обо всех нарушениях условий Контракта «Государственный заказчик» извещает «Поставщика» не позднее 5 рабочих дней </w:t>
      </w:r>
      <w:proofErr w:type="gramStart"/>
      <w:r>
        <w:t>с даты обнаружения</w:t>
      </w:r>
      <w:proofErr w:type="gramEnd"/>
      <w:r>
        <w:t xml:space="preserve"> указанных нарушений. Извещение о невыполнении или ненадлежащем выполнении «Поставщиком» обяз</w:t>
      </w:r>
      <w:r>
        <w:t xml:space="preserve">ательств по Контракту осуществляется «Государственным заказчиком» в письменной форме                        с указанием сроков </w:t>
      </w:r>
      <w:proofErr w:type="gramStart"/>
      <w:r>
        <w:t>по</w:t>
      </w:r>
      <w:proofErr w:type="gramEnd"/>
      <w:r>
        <w:t xml:space="preserve"> </w:t>
      </w:r>
      <w:proofErr w:type="gramStart"/>
      <w:r>
        <w:t>устранении</w:t>
      </w:r>
      <w:proofErr w:type="gramEnd"/>
      <w:r>
        <w:t>, допущенных «Поставщиком» нарушений, вручается «Поставщику» под расписку. В случае отсутствия уполномоченного предс</w:t>
      </w:r>
      <w:r>
        <w:t>тавителя «Поставщика» уведомление о недопоставке или некачественной поставке направляется «Поставщику» по почте, факсу, электронной почтой либо нарочным.</w:t>
      </w:r>
    </w:p>
    <w:p w:rsidR="00700DBC" w:rsidRDefault="00927252">
      <w:pPr>
        <w:ind w:firstLine="567"/>
        <w:jc w:val="both"/>
      </w:pPr>
      <w:r>
        <w:t>2.10. «Поставщик» в установленный в извещении  срок обязан устранить все допущенные нарушения.</w:t>
      </w:r>
    </w:p>
    <w:p w:rsidR="00700DBC" w:rsidRDefault="00927252">
      <w:pPr>
        <w:ind w:firstLine="567"/>
        <w:jc w:val="both"/>
      </w:pPr>
      <w:r>
        <w:t>2.11. В</w:t>
      </w:r>
      <w:r>
        <w:t>о всех случаях, влекущих возврат Товара «Поставщику», «Государственный заказчик» обязан обеспечить сохранность этого Товара до момента фактического его возврата. Возврат (замена) Товара осуществляется силами и за счет средств «Поставщика». Расходы, понесен</w:t>
      </w:r>
      <w:r>
        <w:t>ные «Государственным заказчиком» в связи с принятием Товара на ответственное хранение и (или) его возвратом (заменой), подлежат возмещению «Поставщиком».</w:t>
      </w:r>
    </w:p>
    <w:p w:rsidR="00700DBC" w:rsidRDefault="00927252">
      <w:pPr>
        <w:ind w:firstLine="567"/>
        <w:jc w:val="both"/>
      </w:pPr>
      <w:r>
        <w:t>2.12. Право собственности и риск случайной гибели или случайного повреждения Товаров переходит от «Пос</w:t>
      </w:r>
      <w:r>
        <w:t>тавщика» к «Государственному заказчику» с момента приемки Товара «Государственным заказчиком» и подписания Сторонами документов приемки Товара.</w:t>
      </w:r>
    </w:p>
    <w:p w:rsidR="00700DBC" w:rsidRDefault="00927252">
      <w:pPr>
        <w:numPr>
          <w:ilvl w:val="0"/>
          <w:numId w:val="10"/>
        </w:numPr>
        <w:jc w:val="center"/>
        <w:rPr>
          <w:b/>
          <w:bCs/>
        </w:rPr>
      </w:pPr>
      <w:r>
        <w:rPr>
          <w:b/>
          <w:bCs/>
        </w:rPr>
        <w:t>Форс-мажорные условия</w:t>
      </w:r>
    </w:p>
    <w:p w:rsidR="00700DBC" w:rsidRDefault="00927252">
      <w:pPr>
        <w:pStyle w:val="a4"/>
        <w:ind w:firstLine="567"/>
        <w:jc w:val="both"/>
      </w:pPr>
      <w:r>
        <w:t xml:space="preserve">3.1.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</w:t>
      </w:r>
      <w:proofErr w:type="gramStart"/>
      <w:r>
        <w:t>но</w:t>
      </w:r>
      <w:proofErr w:type="gramEnd"/>
      <w:r>
        <w:t xml:space="preserve"> не ограничиваясь, землетрясение, наводнение, </w:t>
      </w:r>
      <w:r>
        <w:t>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:rsidR="00700DBC" w:rsidRDefault="00927252">
      <w:pPr>
        <w:pStyle w:val="a4"/>
        <w:ind w:firstLine="567"/>
        <w:jc w:val="both"/>
      </w:pPr>
      <w:r>
        <w:t>Указанные события должны носить чрезвычайный, непредвиден</w:t>
      </w:r>
      <w:r>
        <w:t>ный                                    и непредотвратимый характер, возникнуть после заключения Контракта и не зависеть от воли Сторон.</w:t>
      </w:r>
    </w:p>
    <w:p w:rsidR="00700DBC" w:rsidRDefault="00927252">
      <w:pPr>
        <w:ind w:firstLine="567"/>
        <w:jc w:val="both"/>
      </w:pPr>
      <w:r>
        <w:t>3.2. При наступлении обстоятельств непреодолимой силы Сторона должна без промедления известить о них другую Сторону в лю</w:t>
      </w:r>
      <w:r>
        <w:t xml:space="preserve">бой форме (предпочтительно                         </w:t>
      </w:r>
      <w:proofErr w:type="gramStart"/>
      <w:r>
        <w:t>в</w:t>
      </w:r>
      <w:proofErr w:type="gramEnd"/>
      <w:r>
        <w:t xml:space="preserve"> письменной). В извещении должны быть  сообщены данные о характере обстоятельств,  а также по возможности оценка их влияния на возможность исполнения обязательств                 по Контракту и срок испол</w:t>
      </w:r>
      <w:r>
        <w:t>нения обязательств.</w:t>
      </w:r>
    </w:p>
    <w:p w:rsidR="00700DBC" w:rsidRDefault="00927252">
      <w:pPr>
        <w:ind w:firstLine="567"/>
        <w:jc w:val="both"/>
      </w:pPr>
      <w:r>
        <w:t xml:space="preserve">3.3. По прекращению указанных обстоятельств, Сторона должна без промедления известить другую Сторону в письменном виде. В извещении должен быть указан срок,                </w:t>
      </w:r>
      <w:r>
        <w:lastRenderedPageBreak/>
        <w:t>в который предполагается исполнить обязательство по настоящему К</w:t>
      </w:r>
      <w:r>
        <w:t>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700DBC" w:rsidRDefault="00927252">
      <w:pPr>
        <w:ind w:firstLine="567"/>
        <w:jc w:val="both"/>
      </w:pPr>
      <w:r>
        <w:t>3.4. Сторона должна в течение разумного срока передать другой Стороне сертиф</w:t>
      </w:r>
      <w:r>
        <w:t>икат торгово-промышленной  палаты или компетентного  органа или организации о наличии форс-мажорных обстоятельств.</w:t>
      </w:r>
    </w:p>
    <w:p w:rsidR="00700DBC" w:rsidRDefault="00927252">
      <w:pPr>
        <w:ind w:firstLine="567"/>
        <w:jc w:val="both"/>
      </w:pPr>
      <w:r>
        <w:t xml:space="preserve">3.5.  Если форс-мажорные обстоятельства и их последствия продолжают действовать более 6 (шести) месяцев или их последствия будут действовать </w:t>
      </w:r>
      <w:r>
        <w:t>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700DBC" w:rsidRDefault="00927252">
      <w:pPr>
        <w:numPr>
          <w:ilvl w:val="0"/>
          <w:numId w:val="10"/>
        </w:numPr>
        <w:jc w:val="center"/>
        <w:rPr>
          <w:b/>
          <w:bCs/>
        </w:rPr>
      </w:pPr>
      <w:r>
        <w:rPr>
          <w:b/>
          <w:bCs/>
        </w:rPr>
        <w:t>Срок и порядок поставки Товара</w:t>
      </w:r>
    </w:p>
    <w:p w:rsidR="00700DBC" w:rsidRDefault="00927252">
      <w:pPr>
        <w:ind w:firstLine="567"/>
        <w:jc w:val="both"/>
      </w:pPr>
      <w:r>
        <w:t xml:space="preserve">4.1. «Поставщик» </w:t>
      </w:r>
      <w:r>
        <w:t>обязуется произвести поставку Товара в течение 7 (семи) рабочих дней с момента заключения Контракта. Товар поставляется одной партией.</w:t>
      </w:r>
    </w:p>
    <w:p w:rsidR="00700DBC" w:rsidRDefault="00927252">
      <w:pPr>
        <w:ind w:firstLine="567"/>
        <w:jc w:val="both"/>
      </w:pPr>
      <w:r>
        <w:t xml:space="preserve">4.2. Поставка Товара осуществляется по адресу «Государственного заказчика»: </w:t>
      </w:r>
      <w:proofErr w:type="gramStart"/>
      <w:r>
        <w:t>Новгородская</w:t>
      </w:r>
      <w:proofErr w:type="gramEnd"/>
      <w:r>
        <w:t xml:space="preserve"> обл., г. Боровичи, ул. Угольщико</w:t>
      </w:r>
      <w:r>
        <w:t>в, д. 46. Транспортные расходы относятся на «Поставщика».</w:t>
      </w:r>
    </w:p>
    <w:p w:rsidR="00700DBC" w:rsidRDefault="00927252">
      <w:pPr>
        <w:numPr>
          <w:ilvl w:val="0"/>
          <w:numId w:val="10"/>
        </w:numPr>
        <w:jc w:val="center"/>
        <w:rPr>
          <w:b/>
          <w:bCs/>
        </w:rPr>
      </w:pPr>
      <w:r>
        <w:rPr>
          <w:b/>
          <w:bCs/>
        </w:rPr>
        <w:t>Цена и порядок расчетов</w:t>
      </w:r>
    </w:p>
    <w:p w:rsidR="00700DBC" w:rsidRDefault="00927252">
      <w:pPr>
        <w:ind w:firstLine="567"/>
        <w:jc w:val="both"/>
        <w:rPr>
          <w:i/>
          <w:sz w:val="23"/>
          <w:szCs w:val="23"/>
        </w:rPr>
      </w:pPr>
      <w:r>
        <w:t>5.1. Цена Контракта составляет</w:t>
      </w:r>
      <w:proofErr w:type="gramStart"/>
      <w:r>
        <w:t xml:space="preserve"> _________ (________) </w:t>
      </w:r>
      <w:proofErr w:type="gramEnd"/>
      <w:r>
        <w:t>рублей ____ копеек, НДС 22% ______ руб. или без НДС, (далее – Цена Контракта).</w:t>
      </w:r>
    </w:p>
    <w:p w:rsidR="00700DBC" w:rsidRDefault="00927252">
      <w:pPr>
        <w:ind w:firstLine="567"/>
        <w:jc w:val="both"/>
      </w:pPr>
      <w:r>
        <w:t>5.2. Цена Контракта является твердой и определяется на весь срок исполнения Контракта.</w:t>
      </w:r>
    </w:p>
    <w:p w:rsidR="00700DBC" w:rsidRDefault="00927252">
      <w:pPr>
        <w:ind w:firstLine="567"/>
        <w:jc w:val="both"/>
      </w:pPr>
      <w:r>
        <w:t xml:space="preserve">5.3. Цена на Товар указана с учетом затрат на перевозку, страхование, уплату таможенных сборов, других обязательных платежей. </w:t>
      </w:r>
      <w:proofErr w:type="gramStart"/>
      <w:r>
        <w:t>Исполнение настоящего Контракта не должно п</w:t>
      </w:r>
      <w:r>
        <w:t>овлечь для «Государственного заказчика» никаких дополнительных расходов, кроме предусмотренных условиями настоящего Контракта.</w:t>
      </w:r>
      <w:proofErr w:type="gramEnd"/>
    </w:p>
    <w:p w:rsidR="00700DBC" w:rsidRDefault="00927252">
      <w:pPr>
        <w:ind w:firstLine="567"/>
        <w:jc w:val="both"/>
      </w:pPr>
      <w:r>
        <w:t xml:space="preserve">5.4. </w:t>
      </w:r>
      <w:proofErr w:type="gramStart"/>
      <w:r>
        <w:t>Расчеты за товар производятся Государственным заказчиком в форме безналичного денежного расчета в пределах доведенных лимито</w:t>
      </w:r>
      <w:r>
        <w:t>в бюджетных обязательств по дополнительному финансовому обеспечению выполнения функций федеральными казенными учреждениями, исполняющими наказания в виде лишения свободы, осуществляемых за счет средств, поступающих от привлечения осужденных к труду, доведе</w:t>
      </w:r>
      <w:r>
        <w:t xml:space="preserve">нных до получателя средств федерального бюджета на очередной финансовый год </w:t>
      </w:r>
      <w:r>
        <w:rPr>
          <w:spacing w:val="4"/>
        </w:rPr>
        <w:t xml:space="preserve">(КБК 32003054240690048244) </w:t>
      </w:r>
      <w:r>
        <w:t>в течение 10 (десяти) календарных дней</w:t>
      </w:r>
      <w:proofErr w:type="gramEnd"/>
      <w:r>
        <w:t xml:space="preserve"> </w:t>
      </w:r>
      <w:proofErr w:type="gramStart"/>
      <w:r>
        <w:t>с даты подписания</w:t>
      </w:r>
      <w:proofErr w:type="gramEnd"/>
      <w:r>
        <w:t xml:space="preserve"> «Государственным заказчиком» документа о приемке Товара.</w:t>
      </w:r>
    </w:p>
    <w:p w:rsidR="00700DBC" w:rsidRDefault="00927252">
      <w:pPr>
        <w:pStyle w:val="a4"/>
        <w:ind w:firstLine="567"/>
        <w:jc w:val="both"/>
      </w:pPr>
      <w:r>
        <w:t xml:space="preserve">5.5. </w:t>
      </w:r>
      <w:proofErr w:type="gramStart"/>
      <w:r>
        <w:t>Сумма, подлежащая уплате «Государс</w:t>
      </w:r>
      <w:r>
        <w:t>твенным заказчиком»,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</w:t>
      </w:r>
      <w:r>
        <w:t>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>
        <w:t xml:space="preserve"> системы Российской Федерации «Государственным заказчиком».</w:t>
      </w:r>
    </w:p>
    <w:p w:rsidR="00700DBC" w:rsidRDefault="00927252">
      <w:pPr>
        <w:pStyle w:val="a4"/>
        <w:ind w:firstLine="567"/>
        <w:jc w:val="both"/>
      </w:pPr>
      <w:r>
        <w:t>5.6.</w:t>
      </w:r>
      <w:r>
        <w:t xml:space="preserve"> Валютой платежа является российский рубль.</w:t>
      </w:r>
    </w:p>
    <w:p w:rsidR="00700DBC" w:rsidRDefault="00927252">
      <w:pPr>
        <w:pStyle w:val="a4"/>
        <w:ind w:firstLine="567"/>
        <w:jc w:val="both"/>
      </w:pPr>
      <w:r>
        <w:t>5.7. Авансовые платежи по контракту не предусмотрены.</w:t>
      </w:r>
    </w:p>
    <w:p w:rsidR="00700DBC" w:rsidRDefault="00927252">
      <w:pPr>
        <w:pStyle w:val="a4"/>
        <w:ind w:firstLine="567"/>
        <w:jc w:val="both"/>
      </w:pPr>
      <w:r>
        <w:t>5.8. Обязательства по оплате товара считаются выполненными в день списания денежных средств со счетов «Государственного заказчика».</w:t>
      </w:r>
    </w:p>
    <w:p w:rsidR="00700DBC" w:rsidRDefault="00927252">
      <w:pPr>
        <w:pStyle w:val="a4"/>
        <w:ind w:firstLine="567"/>
        <w:jc w:val="both"/>
      </w:pPr>
      <w:r>
        <w:t>5.9. «Государственный зака</w:t>
      </w:r>
      <w:r>
        <w:t>зчик» имеет право произвести полный или частичный отказ от оплаты за расходы непредусмотренные в данном Контракте.</w:t>
      </w:r>
    </w:p>
    <w:p w:rsidR="00700DBC" w:rsidRDefault="00927252">
      <w:pPr>
        <w:pStyle w:val="a4"/>
        <w:ind w:firstLine="567"/>
        <w:jc w:val="both"/>
      </w:pPr>
      <w:r>
        <w:t>5.10. В случае изменения расчетного счета «Поставщик обязан в трехдневный срок                 с момента изменения расчетного счета в письмен</w:t>
      </w:r>
      <w:r>
        <w:t>ной форме сообщить об этом «Государственному заказчику», указав новые реквизиты расчетного счета. В противном случае все риски, связанные с перечислением «Государственным заказчиком» денежных средств на указанный в настоящем  Контракте счет «Поставщика» не</w:t>
      </w:r>
      <w:r>
        <w:t>сет «Поставщик».</w:t>
      </w:r>
    </w:p>
    <w:p w:rsidR="00700DBC" w:rsidRDefault="00927252">
      <w:pPr>
        <w:numPr>
          <w:ilvl w:val="0"/>
          <w:numId w:val="10"/>
        </w:numPr>
        <w:jc w:val="center"/>
        <w:rPr>
          <w:b/>
          <w:bCs/>
        </w:rPr>
      </w:pPr>
      <w:r>
        <w:rPr>
          <w:b/>
          <w:bCs/>
        </w:rPr>
        <w:t>Имущественная ответственность</w:t>
      </w:r>
    </w:p>
    <w:p w:rsidR="00700DBC" w:rsidRDefault="00927252">
      <w:pPr>
        <w:ind w:firstLine="567"/>
        <w:jc w:val="both"/>
      </w:pPr>
      <w:r>
        <w:lastRenderedPageBreak/>
        <w:t>6.1. За невыполнение или ненадлежащее выполнение настоящего Контракта Стороны несут ответственность в соответствии с законодательством РФ и условиями настоящего Контракта.</w:t>
      </w:r>
    </w:p>
    <w:p w:rsidR="00700DBC" w:rsidRDefault="00927252">
      <w:pPr>
        <w:ind w:firstLine="567"/>
        <w:jc w:val="both"/>
      </w:pPr>
      <w:r>
        <w:t>6.2. В случае полного (частичного) не</w:t>
      </w:r>
      <w:r>
        <w:t>выполнения условий Контракта одной                       из Сторон эта Сторона обязана возместить другой Стороне причиненные убытки.</w:t>
      </w:r>
    </w:p>
    <w:p w:rsidR="00700DBC" w:rsidRDefault="00927252">
      <w:pPr>
        <w:ind w:firstLine="567"/>
        <w:jc w:val="both"/>
      </w:pPr>
      <w:r>
        <w:t xml:space="preserve">6.3. </w:t>
      </w:r>
      <w:proofErr w:type="gramStart"/>
      <w:r>
        <w:t>В случае просрочки исполнения «Поставщиком» обязательств, предусмотренных Контрактом, «Государственный заказчик» начис</w:t>
      </w:r>
      <w:r>
        <w:t>ляет «Поставщику» пени.</w:t>
      </w:r>
      <w:proofErr w:type="gramEnd"/>
      <w:r>
        <w:t xml:space="preserve"> Пеня начисляется за каждый день просрочки исполнения «Поставщиком»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</w:t>
      </w:r>
      <w:r>
        <w:t xml:space="preserve"> Контракта, уменьшенной на сумму, пропорциональную объему обязательств, предусмотренных Контрактом и фактически исполненных «Поставщиком».</w:t>
      </w:r>
    </w:p>
    <w:p w:rsidR="00700DBC" w:rsidRDefault="00927252">
      <w:pPr>
        <w:ind w:firstLine="567"/>
        <w:jc w:val="both"/>
      </w:pPr>
      <w:r>
        <w:t>6.4. За каждый факт неисполнения или ненадлежащего исполнения «Поставщиком» обязательств, предусмотренных Контрактом,</w:t>
      </w:r>
      <w:r>
        <w:t xml:space="preserve"> за исключением просрочки исполнения обязательств, предусмотренных Контрактом, «Поставщик» уплачивает «Государственному заказчику» штраф  в размере 10 процентов от цены Контракта.</w:t>
      </w:r>
    </w:p>
    <w:p w:rsidR="00700DBC" w:rsidRDefault="00927252">
      <w:pPr>
        <w:ind w:firstLine="567"/>
        <w:jc w:val="both"/>
      </w:pPr>
      <w:r>
        <w:t>6.5. За каж</w:t>
      </w:r>
      <w:r>
        <w:t>дый факт неисполнения или ненадлежащего исполнения «Поставщиком» обязательства, предусмотренного Контрактом, которое не имеет стоимостного  выражения, размер штрафа устанавливается (при наличии в контракте таких обязательств) в сумме 1000 рублей 00 копеек.</w:t>
      </w:r>
    </w:p>
    <w:p w:rsidR="00700DBC" w:rsidRDefault="00927252">
      <w:pPr>
        <w:ind w:firstLine="567"/>
        <w:jc w:val="both"/>
      </w:pPr>
      <w:r>
        <w:t>6.6. Общая сумма начисленной неустойки (штрафов, пени) за неисполнение или ненадлежащее исполнение «Поставщиком» обязательств, предусмотренных Контрактом, не может превышать цену Контракта.</w:t>
      </w:r>
    </w:p>
    <w:p w:rsidR="00700DBC" w:rsidRDefault="00927252">
      <w:pPr>
        <w:ind w:firstLine="567"/>
        <w:jc w:val="both"/>
      </w:pPr>
      <w:r>
        <w:t>6.7. Неустойка носит штрафной характер. При невыполнении обязател</w:t>
      </w:r>
      <w:r>
        <w:t>ьств                         по Контракту, кроме уплаты неустойки, «Поставщик» возмещает в полном объеме понесенные «Государственным заказчиком» убытки.</w:t>
      </w:r>
    </w:p>
    <w:p w:rsidR="00700DBC" w:rsidRDefault="00927252">
      <w:pPr>
        <w:ind w:firstLine="567"/>
        <w:jc w:val="both"/>
      </w:pPr>
      <w:r>
        <w:t xml:space="preserve">6.8. </w:t>
      </w:r>
      <w:proofErr w:type="gramStart"/>
      <w:r>
        <w:t>В случае начисления «Государственным заказчиком» «Поставщику» неустойки и (или) убытков, Государст</w:t>
      </w:r>
      <w:r>
        <w:t>венный заказчик» направляет «Поставщику» претензию                           с требованием оплатить неустойку и (или) понесенные «Государственным заказчиком» убытки, с указанием порядка и сроков соответствующей оплаты.</w:t>
      </w:r>
      <w:proofErr w:type="gramEnd"/>
      <w:r>
        <w:t xml:space="preserve"> В случае</w:t>
      </w:r>
      <w:proofErr w:type="gramStart"/>
      <w:r>
        <w:t>,</w:t>
      </w:r>
      <w:proofErr w:type="gramEnd"/>
      <w:r>
        <w:t xml:space="preserve"> если «Поставщик» в добровол</w:t>
      </w:r>
      <w:r>
        <w:t>ьном порядке в установленный «Государственным заказчиком» срок  не оплатил неустойку и (или) убытки, «Государственный заказчик» вправе уменьшить размер оплаты  на сумму начисленной неустойки и (или) убытков. При этом исполнение обязательства «Поставщика» п</w:t>
      </w:r>
      <w:r>
        <w:t>о перечислению неустойки (штрафа) и (или) убытков в доход бюджета возлагается на «Государственного заказчика».</w:t>
      </w:r>
    </w:p>
    <w:p w:rsidR="00700DBC" w:rsidRDefault="00927252">
      <w:pPr>
        <w:ind w:firstLine="567"/>
        <w:jc w:val="both"/>
      </w:pPr>
      <w:r>
        <w:t>6.9. «Государственный заказчик» отвечает за своевременную приемку и оплату поставленного по Контракту Товара.</w:t>
      </w:r>
    </w:p>
    <w:p w:rsidR="00700DBC" w:rsidRDefault="00927252">
      <w:pPr>
        <w:ind w:firstLine="567"/>
        <w:jc w:val="both"/>
      </w:pPr>
      <w:r>
        <w:t>В случае просрочки исполнения «Госу</w:t>
      </w:r>
      <w:r>
        <w:t xml:space="preserve">дарственным заказчиком» обязательств, предусмотренных Контрактом, «Поставщик» вправе потребовать уплату неустойки (штрафов, пеней). Пеня начисляется за каждый день просрочки исполнения обязательства, предусмотренного Контрактом, начиная со дня, следующего </w:t>
      </w:r>
      <w:r>
        <w:t xml:space="preserve">после дня истечения установленного Контрактом срока исполнения обязательства. Размер такой пени устанавливается в размере одной трехсотой действующей на день уплаты неустойки  ключевой ставки Центрального банка Российской Федерации от не уплаченной в срок </w:t>
      </w:r>
      <w:r>
        <w:t>суммы. За каждый факт неисполнения «Государственным заказчиком»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сумме  1000 (одна тысяча) рублей 00 копе</w:t>
      </w:r>
      <w:r>
        <w:t xml:space="preserve">ек. </w:t>
      </w:r>
    </w:p>
    <w:p w:rsidR="00700DBC" w:rsidRDefault="00927252">
      <w:pPr>
        <w:ind w:firstLine="567"/>
        <w:jc w:val="both"/>
      </w:pPr>
      <w:r>
        <w:t>6.10. «Государственный заказчик» освобождается от уплаты неустойки (штрафа, пеней), если докажет, что просрочка исполнения указанного обязательства произошла вследствие непреодолимой силы или по вине «Поставщика».</w:t>
      </w:r>
    </w:p>
    <w:p w:rsidR="00700DBC" w:rsidRDefault="00927252">
      <w:pPr>
        <w:ind w:firstLine="567"/>
        <w:jc w:val="both"/>
      </w:pPr>
      <w:r>
        <w:t>6.11. Общая сумма начисленных штрафов</w:t>
      </w:r>
      <w:r>
        <w:t xml:space="preserve"> за неисполнение или ненадлежащее исполнение «Государственным заказчиком» обязательств, предусмотренных Контрактом, не может превышать цену Контракта.</w:t>
      </w:r>
    </w:p>
    <w:p w:rsidR="00700DBC" w:rsidRDefault="00927252">
      <w:pPr>
        <w:ind w:firstLine="567"/>
        <w:jc w:val="both"/>
      </w:pPr>
      <w:r>
        <w:lastRenderedPageBreak/>
        <w:t>6.12. В случае расторжения Контракта в связи с односторонним отказом Стороны от исполнения Контракта друг</w:t>
      </w:r>
      <w:r>
        <w:t>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700DBC" w:rsidRDefault="0092725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Взаимодействие Сторон</w:t>
      </w:r>
    </w:p>
    <w:p w:rsidR="00700DBC" w:rsidRDefault="009272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«Пост</w:t>
      </w:r>
      <w:r>
        <w:rPr>
          <w:rFonts w:ascii="Times New Roman" w:hAnsi="Times New Roman" w:cs="Times New Roman"/>
          <w:sz w:val="24"/>
          <w:szCs w:val="24"/>
        </w:rPr>
        <w:t xml:space="preserve">авщик» обязан: </w:t>
      </w:r>
    </w:p>
    <w:p w:rsidR="00700DBC" w:rsidRDefault="009272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 поставить Товар в порядке, количестве, в срок и на условиях, предусмотренных Контрактом и Спецификацией;</w:t>
      </w:r>
    </w:p>
    <w:p w:rsidR="00700DBC" w:rsidRDefault="00927252">
      <w:pPr>
        <w:pStyle w:val="a4"/>
        <w:ind w:firstLine="540"/>
        <w:jc w:val="both"/>
      </w:pPr>
      <w:r>
        <w:t xml:space="preserve">7.1.2 обеспечить соответствие поставляемого Товара требованиям качества, безопасности жизни и здоровья, а также иным требованиям </w:t>
      </w:r>
      <w:r>
        <w:t>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700DBC" w:rsidRDefault="00927252">
      <w:pPr>
        <w:pStyle w:val="a4"/>
        <w:ind w:firstLine="540"/>
        <w:jc w:val="both"/>
      </w:pPr>
      <w:r>
        <w:t>7.1.3 обеспечить за свой счет устранение выявленных недостатков Товара или осуществить</w:t>
      </w:r>
      <w:r>
        <w:t xml:space="preserve"> его соответствующую замену в порядке и на условиях, предусмотренных настоящим Контрактом;</w:t>
      </w:r>
    </w:p>
    <w:p w:rsidR="00700DBC" w:rsidRDefault="00927252">
      <w:pPr>
        <w:pStyle w:val="a4"/>
        <w:ind w:firstLine="540"/>
        <w:jc w:val="both"/>
      </w:pPr>
      <w:proofErr w:type="gramStart"/>
      <w:r>
        <w:t>7.1.4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</w:t>
      </w:r>
      <w:r>
        <w:t>ния направить «Государственному заказчику» уведомление о принятом решении                 по почте заказным письмом с уведомлением о вручении по адресу «Государственного заказчика», указанному в настоящем Контракте, а также телеграммой либо посредством фак</w:t>
      </w:r>
      <w:r>
        <w:t>симильной связи, либо по адресу электронной почты</w:t>
      </w:r>
      <w:proofErr w:type="gramEnd"/>
      <w:r>
        <w:t>, либо с использованием иных сре</w:t>
      </w:r>
      <w:proofErr w:type="gramStart"/>
      <w:r>
        <w:t>дств св</w:t>
      </w:r>
      <w:proofErr w:type="gramEnd"/>
      <w:r>
        <w:t>язи и доставки, обеспечивающих фиксирование данного уведомления                           и получение «Поставщиком» подтверждения о его вручении «Государственному заказ</w:t>
      </w:r>
      <w:r>
        <w:t>чику»;</w:t>
      </w:r>
    </w:p>
    <w:p w:rsidR="00700DBC" w:rsidRDefault="009272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62"/>
      <w:bookmarkStart w:id="1" w:name="Par1366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7.1.5 предоставлять «Государственному заказчику» по его требованию документы, относящиеся к предмету настоящего Контракта, а также своевременно предоставлять «Государственному заказчику» достоверную информацию о ходе исполнения своих обязательств, в</w:t>
      </w:r>
      <w:r>
        <w:rPr>
          <w:rFonts w:ascii="Times New Roman" w:hAnsi="Times New Roman" w:cs="Times New Roman"/>
          <w:sz w:val="24"/>
          <w:szCs w:val="24"/>
        </w:rPr>
        <w:t xml:space="preserve"> том числе о сложностях, возникающих при исполнении Контракта;</w:t>
      </w:r>
    </w:p>
    <w:p w:rsidR="00700DBC" w:rsidRDefault="00927252">
      <w:pPr>
        <w:pStyle w:val="a4"/>
        <w:ind w:firstLine="540"/>
        <w:jc w:val="both"/>
      </w:pPr>
      <w:bookmarkStart w:id="2" w:name="Par1367"/>
      <w:bookmarkEnd w:id="2"/>
      <w:r>
        <w:t>7.2. «Поставщик» вправе:</w:t>
      </w:r>
    </w:p>
    <w:p w:rsidR="00700DBC" w:rsidRDefault="00927252">
      <w:pPr>
        <w:pStyle w:val="a4"/>
        <w:ind w:firstLine="540"/>
        <w:jc w:val="both"/>
      </w:pPr>
      <w:r>
        <w:t>7.2.1 требовать от «Государственного заказчика» произвести приемку Товара                     в порядке и в сроки, предусмотренные Контрактом;</w:t>
      </w:r>
    </w:p>
    <w:p w:rsidR="00700DBC" w:rsidRDefault="00927252">
      <w:pPr>
        <w:pStyle w:val="a4"/>
        <w:ind w:firstLine="540"/>
        <w:jc w:val="both"/>
      </w:pPr>
      <w:r>
        <w:t>7.2.2 требовать своевреме</w:t>
      </w:r>
      <w:r>
        <w:t>нной оплаты на условиях, установленных Контрактом, надлежащим образом поставленного и принятого «Государственным заказчиком» Товара;</w:t>
      </w:r>
    </w:p>
    <w:p w:rsidR="00700DBC" w:rsidRDefault="00927252">
      <w:pPr>
        <w:pStyle w:val="a4"/>
        <w:ind w:firstLine="540"/>
        <w:jc w:val="both"/>
      </w:pPr>
      <w:bookmarkStart w:id="3" w:name="Par1395"/>
      <w:bookmarkEnd w:id="3"/>
      <w:r>
        <w:t>7.2.3 принять решение об одностороннем отказе от исполнения Контракта                             в соответствии с гра</w:t>
      </w:r>
      <w:r>
        <w:t>жданским законодательством;</w:t>
      </w:r>
    </w:p>
    <w:p w:rsidR="00700DBC" w:rsidRDefault="00927252">
      <w:pPr>
        <w:pStyle w:val="a4"/>
        <w:ind w:firstLine="540"/>
        <w:jc w:val="both"/>
      </w:pPr>
      <w:r>
        <w:t>7.2.4 требовать возмещения убытков, уплаты неустоек (штрафов, пеней)                                в соответствии с разделом 6 Контракта;</w:t>
      </w:r>
    </w:p>
    <w:p w:rsidR="00700DBC" w:rsidRDefault="00927252">
      <w:pPr>
        <w:pStyle w:val="a4"/>
        <w:ind w:firstLine="540"/>
        <w:jc w:val="both"/>
      </w:pPr>
      <w:r>
        <w:t>7.3. «Государственный заказчик» обязуется:</w:t>
      </w:r>
    </w:p>
    <w:p w:rsidR="00700DBC" w:rsidRDefault="00927252">
      <w:pPr>
        <w:pStyle w:val="a4"/>
        <w:ind w:firstLine="540"/>
        <w:jc w:val="both"/>
      </w:pPr>
      <w:r>
        <w:t>7.3.1 обеспечить своевременную приемку и оплат</w:t>
      </w:r>
      <w:r>
        <w:t xml:space="preserve">у поставленного Товара надлежащего качества в </w:t>
      </w:r>
      <w:proofErr w:type="gramStart"/>
      <w:r>
        <w:t>порядке</w:t>
      </w:r>
      <w:proofErr w:type="gramEnd"/>
      <w:r>
        <w:t xml:space="preserve"> и сроки, предусмотренные Контрактом;</w:t>
      </w:r>
    </w:p>
    <w:p w:rsidR="00700DBC" w:rsidRDefault="00927252">
      <w:pPr>
        <w:pStyle w:val="a4"/>
        <w:ind w:firstLine="540"/>
        <w:jc w:val="both"/>
      </w:pPr>
      <w:r>
        <w:t>7.3.2 требовать уплаты неустоек (штрафов, пеней) в соответствии с разделом                      6 Контракта;</w:t>
      </w:r>
    </w:p>
    <w:p w:rsidR="00700DBC" w:rsidRDefault="00927252">
      <w:pPr>
        <w:pStyle w:val="a4"/>
        <w:ind w:firstLine="540"/>
        <w:jc w:val="both"/>
      </w:pPr>
      <w:r>
        <w:t>7.3.3 провести экспертизу поставленного Товара для прове</w:t>
      </w:r>
      <w:r>
        <w:t xml:space="preserve">рки его соответствия условиям Контракта в соответствии с Федеральным </w:t>
      </w:r>
      <w:hyperlink r:id="rId8" w:tooltip="Федеральный закон от 05.04.2013 N 44-ФЗ (ред. от 01.05.2019) &quot;О контрактной системе в сфере закупок товаров, работ, услуг для обеспечения государственных и муниципальных нужд&quot; (с изм. и доп., вступ. в силу с 12.05.2019)------------ Недействующая редакция{КонсультантПлюс}" w:history="1">
        <w:r>
          <w:t>законом</w:t>
        </w:r>
      </w:hyperlink>
      <w:r>
        <w:t xml:space="preserve"> от 5 апреля 2013 </w:t>
      </w:r>
      <w:r>
        <w:t>г. N 44-ФЗ "О контрактной системе в сфере закупок товаров, работ, услуг для обеспечения государственных и муниципальных нужд";</w:t>
      </w:r>
    </w:p>
    <w:p w:rsidR="00700DBC" w:rsidRDefault="00927252">
      <w:pPr>
        <w:pStyle w:val="a4"/>
        <w:ind w:firstLine="540"/>
        <w:jc w:val="both"/>
      </w:pPr>
      <w:r>
        <w:t xml:space="preserve">7.3.4 в случае принятия решения об одностороннем отказе от исполнения настоящего Контракта </w:t>
      </w:r>
      <w:r>
        <w:rPr>
          <w:color w:val="000000"/>
        </w:rPr>
        <w:t>такое решение передается лицу, имеющему право действовать от имени «Поставщика», лично под расписку или направляется «Поставщику» с соблюдением требований законодательства Российской Федерации о государственной тайне по адресу «Поставщика», указанному в Ко</w:t>
      </w:r>
      <w:r>
        <w:rPr>
          <w:color w:val="000000"/>
        </w:rPr>
        <w:t>нтракте. Выполнение «Государственным заказчиком» вышеуказанных требований считается надлежащим уведомлением «Поставщика» об одностороннем отказе от исполнения Контракта. Датой такого надлежащего уведомления считается:</w:t>
      </w:r>
    </w:p>
    <w:p w:rsidR="00700DBC" w:rsidRDefault="00927252">
      <w:pPr>
        <w:ind w:firstLine="540"/>
        <w:jc w:val="both"/>
      </w:pPr>
      <w:r>
        <w:lastRenderedPageBreak/>
        <w:t>1) дата, указанная лицом, имеющим прав</w:t>
      </w:r>
      <w:r>
        <w:t>о действовать от имени «Поставщика»,                    в расписке о получении решения об одностороннем отказе от исполнения Контракта                    (в случае передачи такого решения лицу, имеющему право действовать от имени «Поставщика», лично под ра</w:t>
      </w:r>
      <w:r>
        <w:t>списку);</w:t>
      </w:r>
    </w:p>
    <w:p w:rsidR="00700DBC" w:rsidRDefault="00927252">
      <w:pPr>
        <w:ind w:firstLine="540"/>
        <w:jc w:val="both"/>
      </w:pPr>
      <w:r>
        <w:t xml:space="preserve">2) дата получения «Государственным заказчиком» подтверждения о вручении «Поставщику» заказного письма, предусмотренного настоящим пунктом, либо дата получения «Государственным заказчиком» информации об отсутствии «Поставщик»                       </w:t>
      </w:r>
      <w:r>
        <w:t>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:rsidR="00700DBC" w:rsidRDefault="00927252">
      <w:pPr>
        <w:pStyle w:val="a4"/>
        <w:ind w:firstLine="540"/>
        <w:jc w:val="both"/>
      </w:pPr>
      <w:r>
        <w:t>7.4. «Государственный заказчик» вправе:</w:t>
      </w:r>
    </w:p>
    <w:p w:rsidR="00700DBC" w:rsidRDefault="00927252">
      <w:pPr>
        <w:pStyle w:val="a4"/>
        <w:ind w:firstLine="540"/>
        <w:jc w:val="both"/>
      </w:pPr>
      <w:r>
        <w:t>7.4.1 требовать от «</w:t>
      </w:r>
      <w:r>
        <w:t>Поставщика» надлежащего исполнения обязательств                              по Контракту;</w:t>
      </w:r>
    </w:p>
    <w:p w:rsidR="00700DBC" w:rsidRDefault="00927252">
      <w:pPr>
        <w:pStyle w:val="a4"/>
        <w:ind w:firstLine="540"/>
        <w:jc w:val="both"/>
      </w:pPr>
      <w:r>
        <w:t>7.4.2 требовать от «Поставщика» своевременного устранения недостатков, выявленных как в ходе приемки, так и в течение гарантийного периода;</w:t>
      </w:r>
    </w:p>
    <w:p w:rsidR="00700DBC" w:rsidRDefault="00927252">
      <w:pPr>
        <w:pStyle w:val="a4"/>
        <w:ind w:firstLine="540"/>
        <w:jc w:val="both"/>
      </w:pPr>
      <w:r>
        <w:t>7.4.3 проверять ход и кач</w:t>
      </w:r>
      <w:r>
        <w:t>ество выполнения «Поставщиком» условий настоящего Контракта без вмешательства в оперативно-хозяйственную деятельность Поставщика;</w:t>
      </w:r>
    </w:p>
    <w:p w:rsidR="00700DBC" w:rsidRDefault="00927252">
      <w:pPr>
        <w:pStyle w:val="a4"/>
        <w:ind w:firstLine="540"/>
        <w:jc w:val="both"/>
      </w:pPr>
      <w:r>
        <w:t>7.4.4 требовать возмещения убытков в соответствии с разделом 6 Контракта, причиненных по вине «Поставщика»;</w:t>
      </w:r>
    </w:p>
    <w:p w:rsidR="00700DBC" w:rsidRDefault="00927252">
      <w:pPr>
        <w:pStyle w:val="a4"/>
        <w:ind w:firstLine="540"/>
        <w:jc w:val="both"/>
      </w:pPr>
      <w:proofErr w:type="gramStart"/>
      <w:r>
        <w:t>7.4.5 предложить у</w:t>
      </w:r>
      <w:r>
        <w:t xml:space="preserve">величить или уменьшить в процессе исполнения настоящего Контракта (Договора) количество Товара, предусмотренного Контрактом, не более чем на десять процентов в порядке и на условиях, установленных Федеральным </w:t>
      </w:r>
      <w:hyperlink r:id="rId9" w:tooltip="Федеральный закон от 05.04.2013 N 44-ФЗ (ред. от 01.05.2019) &quot;О контрактной системе в сфере закупок товаров, работ, услуг для обеспечения государственных и муниципальных нужд&quot; (с изм. и доп., вступ. в силу с 12.05.2019)------------ Недействующая редакция{КонсультантПлюс}" w:history="1">
        <w:r>
          <w:t>законом</w:t>
        </w:r>
      </w:hyperlink>
      <w:r>
        <w:t xml:space="preserve">                       от 5 апреля 2013 г. N 44-ФЗ "О контрактной системе в сфере закупок товаров, работ, услуг для обеспечения госуда</w:t>
      </w:r>
      <w:r>
        <w:t xml:space="preserve">рственных и муниципальных нужд"; </w:t>
      </w:r>
      <w:proofErr w:type="gramEnd"/>
    </w:p>
    <w:p w:rsidR="00700DBC" w:rsidRDefault="00927252">
      <w:pPr>
        <w:pStyle w:val="a4"/>
        <w:ind w:firstLine="540"/>
        <w:jc w:val="both"/>
      </w:pPr>
      <w:r>
        <w:t>7.4.6 отказаться от приемки и оплаты Товара, не соответствующего условиям Контракта;</w:t>
      </w:r>
    </w:p>
    <w:p w:rsidR="00700DBC" w:rsidRDefault="00927252">
      <w:pPr>
        <w:pStyle w:val="a4"/>
        <w:ind w:firstLine="540"/>
        <w:jc w:val="both"/>
      </w:pPr>
      <w:r>
        <w:t>7.4.7 принять решение об одностороннем отказе от исполнения Контракта                                в соответствии с гражданским законод</w:t>
      </w:r>
      <w:r>
        <w:t>ательством;</w:t>
      </w:r>
    </w:p>
    <w:p w:rsidR="00700DBC" w:rsidRDefault="00927252">
      <w:pPr>
        <w:pStyle w:val="a4"/>
        <w:ind w:firstLine="567"/>
        <w:jc w:val="both"/>
      </w:pPr>
      <w:proofErr w:type="gramStart"/>
      <w:r>
        <w:t xml:space="preserve">7.4.8 до принятия решения об одностороннем отказе от исполнения Контракта (провести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</w:t>
      </w:r>
      <w:hyperlink r:id="rId10" w:tooltip="Федеральный закон от 05.04.2013 N 44-ФЗ (ред. от 01.05.2019) &quot;О контрактной системе в сфере закупок товаров, работ, услуг для обеспечения государственных и муниципальных нужд&quot; (с изм. и доп., вступ. в силу с 12.05.2019)------------ Недействующая редакция{КонсультантПлюс}" w:history="1">
        <w:r>
          <w:t>законом</w:t>
        </w:r>
      </w:hyperlink>
      <w:r>
        <w:t xml:space="preserve">               от 5 апреля 2013 г. N 44-ФЗ "О контрактной системе в сфере закупок товаров, работ, услуг для</w:t>
      </w:r>
      <w:r>
        <w:t xml:space="preserve"> обеспечения государственных и муниципальных нужд". </w:t>
      </w:r>
      <w:proofErr w:type="gramEnd"/>
    </w:p>
    <w:p w:rsidR="00700DBC" w:rsidRDefault="00927252">
      <w:pPr>
        <w:ind w:firstLine="360"/>
        <w:jc w:val="center"/>
        <w:rPr>
          <w:b/>
          <w:bCs/>
        </w:rPr>
      </w:pPr>
      <w:r>
        <w:rPr>
          <w:b/>
        </w:rPr>
        <w:t>8.</w:t>
      </w:r>
      <w:r>
        <w:t xml:space="preserve"> </w:t>
      </w:r>
      <w:r>
        <w:rPr>
          <w:b/>
          <w:bCs/>
        </w:rPr>
        <w:t>Порядок разрешения споров</w:t>
      </w:r>
    </w:p>
    <w:p w:rsidR="00700DBC" w:rsidRDefault="00927252">
      <w:pPr>
        <w:pStyle w:val="a4"/>
        <w:tabs>
          <w:tab w:val="left" w:pos="567"/>
        </w:tabs>
        <w:ind w:firstLine="567"/>
        <w:jc w:val="both"/>
        <w:rPr>
          <w:bCs/>
        </w:rPr>
      </w:pPr>
      <w:r>
        <w:rPr>
          <w:bCs/>
        </w:rPr>
        <w:t>8.1. «</w:t>
      </w:r>
      <w:r>
        <w:t>Поставщик» и «Государственный заказчик» принимают все меры                                 к разрешению споров и разногласий путем переговоров. Сторонами устанавливаетс</w:t>
      </w:r>
      <w:r>
        <w:t>я претензионный порядок урегулирования споров. Срок рассмотрения претензии – 30 дней с момента ее получения стороной.</w:t>
      </w:r>
      <w:r>
        <w:rPr>
          <w:bCs/>
        </w:rPr>
        <w:t xml:space="preserve">  Переписка Сторон может осуществляться в виде писем или телеграмм, а в случаях направления телекса, факса, иного электронного сообщения - </w:t>
      </w:r>
      <w:r>
        <w:rPr>
          <w:bCs/>
        </w:rPr>
        <w:t xml:space="preserve">   с последующим предоставлением оригинала документа.</w:t>
      </w:r>
    </w:p>
    <w:p w:rsidR="00700DBC" w:rsidRDefault="00927252">
      <w:pPr>
        <w:pStyle w:val="a4"/>
        <w:tabs>
          <w:tab w:val="left" w:pos="567"/>
        </w:tabs>
        <w:ind w:firstLine="567"/>
        <w:jc w:val="both"/>
        <w:rPr>
          <w:bCs/>
        </w:rPr>
      </w:pPr>
      <w:r>
        <w:rPr>
          <w:bCs/>
        </w:rPr>
        <w:t>8.2. Претензия оформляется в письменной форме. В претензии перечисляются  допущенные при исполнении Контракта нарушения со ссылкой на соответствующие положения Контракта или его приложений, отражается с</w:t>
      </w:r>
      <w:r>
        <w:rPr>
          <w:bCs/>
        </w:rPr>
        <w:t>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00DBC" w:rsidRDefault="00927252">
      <w:pPr>
        <w:pStyle w:val="a4"/>
        <w:tabs>
          <w:tab w:val="left" w:pos="567"/>
        </w:tabs>
        <w:ind w:firstLine="567"/>
        <w:jc w:val="both"/>
      </w:pPr>
      <w:r>
        <w:rPr>
          <w:bCs/>
        </w:rPr>
        <w:t>8.3.</w:t>
      </w:r>
      <w:r>
        <w:rPr>
          <w:b/>
          <w:bCs/>
        </w:rPr>
        <w:t xml:space="preserve"> </w:t>
      </w:r>
      <w:r>
        <w:t>В случае</w:t>
      </w:r>
      <w:proofErr w:type="gramStart"/>
      <w:r>
        <w:t>,</w:t>
      </w:r>
      <w:proofErr w:type="gramEnd"/>
      <w:r>
        <w:t xml:space="preserve"> если Стороны не могут прийти к соглашению, все споры или разногласия, подлежат рассмотрению в Арбитражном суд</w:t>
      </w:r>
      <w:r>
        <w:t>е Новгородской области                    в соответствии с законодательством Российской Федерации.</w:t>
      </w:r>
    </w:p>
    <w:p w:rsidR="00700DBC" w:rsidRDefault="00927252">
      <w:pPr>
        <w:pStyle w:val="afc"/>
        <w:numPr>
          <w:ilvl w:val="0"/>
          <w:numId w:val="15"/>
        </w:numPr>
        <w:jc w:val="center"/>
        <w:rPr>
          <w:sz w:val="24"/>
          <w:u w:val="none"/>
        </w:rPr>
      </w:pPr>
      <w:proofErr w:type="spellStart"/>
      <w:r>
        <w:rPr>
          <w:sz w:val="24"/>
          <w:u w:val="none"/>
        </w:rPr>
        <w:t>Прочие</w:t>
      </w:r>
      <w:proofErr w:type="spellEnd"/>
      <w:r>
        <w:rPr>
          <w:sz w:val="24"/>
          <w:u w:val="none"/>
        </w:rPr>
        <w:t xml:space="preserve"> </w:t>
      </w:r>
      <w:r>
        <w:rPr>
          <w:sz w:val="24"/>
          <w:u w:val="none"/>
          <w:lang w:val="ru-RU"/>
        </w:rPr>
        <w:t>положения</w:t>
      </w:r>
    </w:p>
    <w:p w:rsidR="00700DBC" w:rsidRDefault="00927252">
      <w:pPr>
        <w:pStyle w:val="a4"/>
        <w:ind w:firstLine="567"/>
        <w:jc w:val="both"/>
      </w:pPr>
      <w:r>
        <w:t>9.1. Во всем, что не предусмотрено Контрактом, Стороны руководствуются законодательством Российской Федерации.</w:t>
      </w:r>
    </w:p>
    <w:p w:rsidR="00700DBC" w:rsidRDefault="00927252">
      <w:pPr>
        <w:pStyle w:val="a4"/>
        <w:ind w:firstLine="567"/>
        <w:jc w:val="both"/>
      </w:pPr>
      <w:r>
        <w:t>9.2. В случае изменения у как</w:t>
      </w:r>
      <w:r>
        <w:t>ой-либо из Сторон местонахождения, названия, а также   в случае реорганизации она обязана в течение десяти дней письменно известить об этом другую Сторону.</w:t>
      </w:r>
    </w:p>
    <w:p w:rsidR="00700DBC" w:rsidRDefault="00927252">
      <w:pPr>
        <w:pStyle w:val="a4"/>
        <w:ind w:firstLine="567"/>
        <w:jc w:val="both"/>
      </w:pPr>
      <w:r>
        <w:lastRenderedPageBreak/>
        <w:t>9.3. Внесение изменений и дополнений, не противоречащих законодательству Российской Федерации, в усл</w:t>
      </w:r>
      <w:r>
        <w:t>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00DBC" w:rsidRDefault="00927252">
      <w:pPr>
        <w:pStyle w:val="a4"/>
        <w:ind w:firstLine="567"/>
        <w:jc w:val="both"/>
      </w:pPr>
      <w:r>
        <w:t>9.4. Изменение условий Контракта при его исполнении не допускается,                           за ис</w:t>
      </w:r>
      <w:r>
        <w:t xml:space="preserve">ключением случаев предусмотренных </w:t>
      </w:r>
      <w:hyperlink r:id="rId11" w:tooltip="Федеральный закон от 05.04.2013 N 44-ФЗ (ред. от 01.05.2019) &quot;О контрактной системе в сфере закупок товаров, работ, услуг для обеспечения государственных и муниципальных нужд&quot; (с изм. и доп., вступ. в силу с 12.05.2019)------------ Недействующая редакция{КонсультантПлюс}" w:history="1">
        <w:r>
          <w:t>статьей 95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700DBC" w:rsidRDefault="00927252">
      <w:pPr>
        <w:pStyle w:val="a4"/>
        <w:ind w:firstLine="567"/>
        <w:jc w:val="both"/>
      </w:pPr>
      <w:r>
        <w:t xml:space="preserve">9.5. При исполнении Контракта не допускается перемена «Поставщика»,                        </w:t>
      </w:r>
      <w:r>
        <w:t xml:space="preserve">     за исключением случая, если новый поставщик является правопреемником «Поставщика» вследствие реорганизации юридического лица в форме преобразования, слияния или присоединения.</w:t>
      </w:r>
    </w:p>
    <w:p w:rsidR="00700DBC" w:rsidRDefault="00927252">
      <w:pPr>
        <w:pStyle w:val="a4"/>
        <w:ind w:firstLine="567"/>
        <w:jc w:val="both"/>
      </w:pPr>
      <w:r>
        <w:t>Передача прав и обязанностей по настоящему Контракту правопреемнику «Постав</w:t>
      </w:r>
      <w:r>
        <w:t>щика» осуществляется путем заключения соответствующего дополнительного соглашения к настоящему Контракту.</w:t>
      </w:r>
    </w:p>
    <w:p w:rsidR="00700DBC" w:rsidRDefault="00927252">
      <w:pPr>
        <w:pStyle w:val="a4"/>
        <w:ind w:firstLine="567"/>
        <w:jc w:val="both"/>
      </w:pPr>
      <w:r>
        <w:t xml:space="preserve">9.6. При заключении настоящего контракта «Поставщик» подтверждает свое соответствие требованиям, установленным в ч.1 ст. 31 </w:t>
      </w:r>
      <w:r>
        <w:rPr>
          <w:bCs/>
        </w:rPr>
        <w:t>Федерального закона от 05.04.2013 № 44-Ф «О контрактной системе в сфере закупок товаров, работ, услуг для обеспечения государственных и муниципальных нужд».</w:t>
      </w:r>
    </w:p>
    <w:p w:rsidR="00700DBC" w:rsidRDefault="00927252">
      <w:pPr>
        <w:pStyle w:val="a4"/>
        <w:ind w:firstLine="567"/>
        <w:jc w:val="both"/>
      </w:pPr>
      <w:r>
        <w:t xml:space="preserve">9.7. Контракт составлен в 2 экземплярах, идентичных по содержанию и имеющих одинаковую юридическую </w:t>
      </w:r>
      <w:r>
        <w:t>силу, один из которых передан «Поставщику», второй - находятся у «Государственного заказчика».</w:t>
      </w:r>
    </w:p>
    <w:p w:rsidR="00700DBC" w:rsidRDefault="00927252">
      <w:pPr>
        <w:pStyle w:val="afc"/>
        <w:numPr>
          <w:ilvl w:val="0"/>
          <w:numId w:val="15"/>
        </w:numPr>
        <w:jc w:val="center"/>
        <w:rPr>
          <w:sz w:val="24"/>
          <w:u w:val="none"/>
        </w:rPr>
      </w:pPr>
      <w:proofErr w:type="spellStart"/>
      <w:r>
        <w:rPr>
          <w:sz w:val="24"/>
          <w:u w:val="none"/>
        </w:rPr>
        <w:t>Срок</w:t>
      </w:r>
      <w:proofErr w:type="spellEnd"/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действия</w:t>
      </w:r>
      <w:proofErr w:type="spellEnd"/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Контракта</w:t>
      </w:r>
      <w:proofErr w:type="spellEnd"/>
    </w:p>
    <w:p w:rsidR="00700DBC" w:rsidRDefault="00927252">
      <w:pPr>
        <w:ind w:firstLine="567"/>
        <w:jc w:val="both"/>
      </w:pPr>
      <w:r>
        <w:rPr>
          <w:bCs/>
        </w:rPr>
        <w:t>10.1</w:t>
      </w:r>
      <w:r>
        <w:t>. Настоящий Контракт действует с момента его подписания обеими Сторонами     и по 30 июня 2026 года. Окончания срока действия Контрак</w:t>
      </w:r>
      <w:r>
        <w:t>та не влечет прекращения неисполненных обязатель</w:t>
      </w:r>
      <w:proofErr w:type="gramStart"/>
      <w:r>
        <w:t>ств Ст</w:t>
      </w:r>
      <w:proofErr w:type="gramEnd"/>
      <w:r>
        <w:t>орон по Контракту.</w:t>
      </w:r>
    </w:p>
    <w:p w:rsidR="00700DBC" w:rsidRDefault="00927252">
      <w:pPr>
        <w:ind w:firstLine="567"/>
        <w:jc w:val="both"/>
      </w:pPr>
      <w:r>
        <w:rPr>
          <w:color w:val="000000"/>
        </w:rPr>
        <w:t>10.2. Расторжение Государственного контракта допускается по соглашению сторон, по решению суда или в связи с односторонним отказом стороны контракта от исполнения контракта в соответс</w:t>
      </w:r>
      <w:r>
        <w:rPr>
          <w:color w:val="000000"/>
        </w:rPr>
        <w:t>твии с гражданским законодательством.</w:t>
      </w:r>
    </w:p>
    <w:p w:rsidR="00700DBC" w:rsidRDefault="00927252">
      <w:pPr>
        <w:ind w:firstLine="250"/>
        <w:jc w:val="center"/>
        <w:rPr>
          <w:b/>
        </w:rPr>
      </w:pPr>
      <w:r>
        <w:rPr>
          <w:b/>
        </w:rPr>
        <w:t>11. Перечень приложений</w:t>
      </w:r>
    </w:p>
    <w:p w:rsidR="00700DBC" w:rsidRDefault="00927252">
      <w:pPr>
        <w:ind w:firstLine="567"/>
        <w:jc w:val="both"/>
      </w:pPr>
      <w:r>
        <w:t>11.1. Неотъемлемой частью настоящего Контракта является Спецификация.</w:t>
      </w:r>
    </w:p>
    <w:p w:rsidR="00700DBC" w:rsidRDefault="00927252">
      <w:pPr>
        <w:pStyle w:val="afc"/>
        <w:ind w:left="360"/>
        <w:jc w:val="center"/>
        <w:rPr>
          <w:bCs w:val="0"/>
          <w:sz w:val="24"/>
          <w:u w:val="none"/>
          <w:lang w:val="ru-RU"/>
        </w:rPr>
      </w:pPr>
      <w:r>
        <w:rPr>
          <w:sz w:val="24"/>
          <w:u w:val="none"/>
          <w:lang w:val="ru-RU"/>
        </w:rPr>
        <w:t>12.</w:t>
      </w:r>
      <w:r w:rsidRPr="00F308BA">
        <w:rPr>
          <w:sz w:val="24"/>
          <w:u w:val="none"/>
          <w:lang w:val="ru-RU"/>
        </w:rPr>
        <w:t>Юридические адреса, банковские реквизиты Сторон</w:t>
      </w:r>
      <w:proofErr w:type="gramStart"/>
      <w:r w:rsidRPr="00F308BA">
        <w:rPr>
          <w:sz w:val="24"/>
          <w:u w:val="none"/>
          <w:lang w:val="ru-RU"/>
        </w:rPr>
        <w:t xml:space="preserve"> </w:t>
      </w:r>
      <w:r>
        <w:rPr>
          <w:sz w:val="24"/>
          <w:u w:val="none"/>
          <w:lang w:val="ru-RU"/>
        </w:rPr>
        <w:t>:</w:t>
      </w:r>
      <w:proofErr w:type="gramEnd"/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10"/>
        <w:gridCol w:w="4929"/>
      </w:tblGrid>
      <w:tr w:rsidR="00700DBC">
        <w:tc>
          <w:tcPr>
            <w:tcW w:w="4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00DBC" w:rsidRDefault="00927252">
            <w:pPr>
              <w:pStyle w:val="afc"/>
              <w:jc w:val="center"/>
              <w:rPr>
                <w:bCs w:val="0"/>
                <w:sz w:val="24"/>
                <w:lang w:val="ru-RU"/>
              </w:rPr>
            </w:pPr>
            <w:r>
              <w:rPr>
                <w:bCs w:val="0"/>
                <w:sz w:val="24"/>
                <w:lang w:val="ru-RU"/>
              </w:rPr>
              <w:t>ГОСУДАРСТВЕННЫЙ ЗАКАЗЧИК:</w:t>
            </w:r>
          </w:p>
          <w:p w:rsidR="00700DBC" w:rsidRDefault="00927252">
            <w:r>
              <w:t>федеральное казенное учреждение «Лечебное исп</w:t>
            </w:r>
            <w:r>
              <w:t>равительное учреждение</w:t>
            </w:r>
          </w:p>
          <w:p w:rsidR="00700DBC" w:rsidRDefault="00927252">
            <w:r>
              <w:t xml:space="preserve"> № 3 Управления Федеральной службы исполнения наказаний по Новгородской области»</w:t>
            </w:r>
          </w:p>
          <w:p w:rsidR="00700DBC" w:rsidRDefault="00927252">
            <w:r>
              <w:t xml:space="preserve">174405, </w:t>
            </w:r>
            <w:proofErr w:type="gramStart"/>
            <w:r>
              <w:t>Новгородская</w:t>
            </w:r>
            <w:proofErr w:type="gramEnd"/>
            <w:r>
              <w:t xml:space="preserve"> обл., г. Боровичи, ул. Угольщиков, д. 46 </w:t>
            </w:r>
          </w:p>
          <w:p w:rsidR="00700DBC" w:rsidRDefault="00927252">
            <w:pPr>
              <w:pStyle w:val="afc"/>
              <w:rPr>
                <w:b w:val="0"/>
                <w:sz w:val="24"/>
                <w:u w:val="none"/>
                <w:lang w:val="ru-RU"/>
              </w:rPr>
            </w:pPr>
            <w:r>
              <w:rPr>
                <w:b w:val="0"/>
                <w:sz w:val="24"/>
                <w:u w:val="none"/>
                <w:lang w:val="ru-RU"/>
              </w:rPr>
              <w:t>тел. 8(81664) 2-16-40, ОКПО: 08556369</w:t>
            </w:r>
          </w:p>
          <w:p w:rsidR="00700DBC" w:rsidRDefault="00927252">
            <w:r>
              <w:t>ИНН /КПП: 5320012727/532001001</w:t>
            </w:r>
          </w:p>
          <w:p w:rsidR="00700DBC" w:rsidRDefault="00927252">
            <w:r>
              <w:t xml:space="preserve">ОГРН 1025300991044, </w:t>
            </w:r>
            <w:r>
              <w:t>дата присвоения ОГРН: 05.11.2002 ОКТМО: 49506000</w:t>
            </w:r>
          </w:p>
          <w:p w:rsidR="00700DBC" w:rsidRDefault="00927252">
            <w:r>
              <w:t xml:space="preserve">УФК по Нижегородской области (ФКУ ЛИУ-3 УФСИН России по Новгородской области, </w:t>
            </w:r>
            <w:proofErr w:type="gramStart"/>
            <w:r>
              <w:t>л</w:t>
            </w:r>
            <w:proofErr w:type="gramEnd"/>
            <w:r>
              <w:t>/с 03501394110)</w:t>
            </w:r>
          </w:p>
          <w:p w:rsidR="00700DBC" w:rsidRDefault="00927252">
            <w:r>
              <w:t>ОКЦ№1 ВОЛГО-ВЯТСКОГО ГУ БАНКА РОССИИ//УФК по НИЖЕГОРОДСКОЙ ОБЛАСТИ г. Нижний Новгород</w:t>
            </w:r>
          </w:p>
          <w:p w:rsidR="00700DBC" w:rsidRDefault="00927252">
            <w:r>
              <w:t>БИК 012202102, казначейски</w:t>
            </w:r>
            <w:r>
              <w:t>й счет 03211643000000013213</w:t>
            </w:r>
          </w:p>
          <w:p w:rsidR="00700DBC" w:rsidRDefault="00927252">
            <w:r>
              <w:t>ЕКС №40102810745370000024</w:t>
            </w:r>
          </w:p>
          <w:p w:rsidR="00700DBC" w:rsidRDefault="00927252">
            <w:pPr>
              <w:pStyle w:val="afc"/>
              <w:rPr>
                <w:b w:val="0"/>
                <w:bCs w:val="0"/>
                <w:sz w:val="24"/>
                <w:u w:val="none"/>
                <w:lang w:val="ru-RU"/>
              </w:rPr>
            </w:pPr>
            <w:r>
              <w:rPr>
                <w:b w:val="0"/>
                <w:bCs w:val="0"/>
                <w:sz w:val="24"/>
                <w:u w:val="none"/>
                <w:lang w:val="ru-RU"/>
              </w:rPr>
              <w:t xml:space="preserve">Начальник  ____________________          </w:t>
            </w:r>
          </w:p>
          <w:p w:rsidR="00700DBC" w:rsidRDefault="00927252">
            <w:pPr>
              <w:pStyle w:val="afc"/>
              <w:rPr>
                <w:sz w:val="24"/>
                <w:lang w:val="ru-RU"/>
              </w:rPr>
            </w:pPr>
            <w:r>
              <w:rPr>
                <w:b w:val="0"/>
                <w:bCs w:val="0"/>
                <w:sz w:val="24"/>
                <w:u w:val="none"/>
                <w:lang w:val="ru-RU"/>
              </w:rPr>
              <w:t xml:space="preserve">                                        И.С. Котов </w:t>
            </w:r>
          </w:p>
        </w:tc>
        <w:tc>
          <w:tcPr>
            <w:tcW w:w="4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00DBC" w:rsidRDefault="00927252">
            <w:pPr>
              <w:pStyle w:val="a4"/>
              <w:rPr>
                <w:b/>
                <w:u w:val="single"/>
              </w:rPr>
            </w:pPr>
            <w:r>
              <w:rPr>
                <w:b/>
                <w:u w:val="single"/>
              </w:rPr>
              <w:t>ПОСТАВЩИК:</w:t>
            </w:r>
          </w:p>
          <w:p w:rsidR="00700DBC" w:rsidRDefault="00700DBC">
            <w:pPr>
              <w:pStyle w:val="a4"/>
            </w:pPr>
          </w:p>
          <w:p w:rsidR="00700DBC" w:rsidRDefault="00700DBC">
            <w:pPr>
              <w:pStyle w:val="a4"/>
            </w:pPr>
          </w:p>
          <w:p w:rsidR="00700DBC" w:rsidRDefault="00700DBC">
            <w:pPr>
              <w:pStyle w:val="a4"/>
            </w:pPr>
          </w:p>
          <w:p w:rsidR="00700DBC" w:rsidRDefault="00700DBC">
            <w:pPr>
              <w:pStyle w:val="a4"/>
            </w:pPr>
          </w:p>
          <w:p w:rsidR="00700DBC" w:rsidRDefault="00700DBC">
            <w:pPr>
              <w:pStyle w:val="a4"/>
            </w:pPr>
          </w:p>
          <w:p w:rsidR="00700DBC" w:rsidRDefault="00700DBC">
            <w:pPr>
              <w:pStyle w:val="a4"/>
            </w:pPr>
          </w:p>
          <w:p w:rsidR="00700DBC" w:rsidRDefault="00700DBC"/>
          <w:p w:rsidR="00700DBC" w:rsidRDefault="00700DBC"/>
        </w:tc>
      </w:tr>
    </w:tbl>
    <w:p w:rsidR="00700DBC" w:rsidRDefault="00700DBC"/>
    <w:tbl>
      <w:tblPr>
        <w:tblW w:w="0" w:type="auto"/>
        <w:tblLook w:val="04A0" w:firstRow="1" w:lastRow="0" w:firstColumn="1" w:lastColumn="0" w:noHBand="0" w:noVBand="1"/>
      </w:tblPr>
      <w:tblGrid>
        <w:gridCol w:w="5204"/>
        <w:gridCol w:w="4367"/>
      </w:tblGrid>
      <w:tr w:rsidR="00700DBC">
        <w:trPr>
          <w:trHeight w:val="1005"/>
        </w:trPr>
        <w:tc>
          <w:tcPr>
            <w:tcW w:w="52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00DBC" w:rsidRDefault="00700DBC"/>
        </w:tc>
        <w:tc>
          <w:tcPr>
            <w:tcW w:w="43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00DBC" w:rsidRDefault="00927252">
            <w:pPr>
              <w:jc w:val="center"/>
            </w:pPr>
            <w:r>
              <w:t>Приложение №1</w:t>
            </w:r>
          </w:p>
          <w:p w:rsidR="00700DBC" w:rsidRDefault="00927252">
            <w:pPr>
              <w:jc w:val="center"/>
            </w:pPr>
            <w:r>
              <w:t>к государственному контракту</w:t>
            </w:r>
          </w:p>
          <w:p w:rsidR="00700DBC" w:rsidRDefault="00927252">
            <w:pPr>
              <w:jc w:val="center"/>
            </w:pPr>
            <w:r>
              <w:t xml:space="preserve">№ </w:t>
            </w:r>
          </w:p>
          <w:p w:rsidR="00700DBC" w:rsidRDefault="00927252">
            <w:pPr>
              <w:jc w:val="center"/>
            </w:pPr>
            <w:r>
              <w:t>от ___________ 2026 года</w:t>
            </w:r>
          </w:p>
          <w:p w:rsidR="00700DBC" w:rsidRDefault="00700DBC"/>
        </w:tc>
      </w:tr>
    </w:tbl>
    <w:p w:rsidR="00700DBC" w:rsidRDefault="00927252">
      <w:pPr>
        <w:jc w:val="center"/>
        <w:rPr>
          <w:b/>
        </w:rPr>
      </w:pPr>
      <w:r>
        <w:rPr>
          <w:b/>
        </w:rPr>
        <w:t xml:space="preserve">С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Е Ц И Ф И К А Ц И Я </w:t>
      </w:r>
    </w:p>
    <w:p w:rsidR="00700DBC" w:rsidRDefault="00927252">
      <w:pPr>
        <w:jc w:val="center"/>
        <w:rPr>
          <w:b/>
        </w:rPr>
      </w:pPr>
      <w:r>
        <w:rPr>
          <w:b/>
        </w:rPr>
        <w:t>на приобретение материалов</w:t>
      </w:r>
    </w:p>
    <w:p w:rsidR="00700DBC" w:rsidRDefault="00700DBC">
      <w:pPr>
        <w:jc w:val="center"/>
        <w:rPr>
          <w:b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693"/>
        <w:gridCol w:w="992"/>
        <w:gridCol w:w="2552"/>
        <w:gridCol w:w="1134"/>
      </w:tblGrid>
      <w:tr w:rsidR="00700DBC">
        <w:tc>
          <w:tcPr>
            <w:tcW w:w="568" w:type="dxa"/>
          </w:tcPr>
          <w:p w:rsidR="00700DBC" w:rsidRDefault="00927252">
            <w:pPr>
              <w:pStyle w:val="a4"/>
              <w:jc w:val="center"/>
            </w:pPr>
            <w:r>
              <w:t>№</w:t>
            </w:r>
          </w:p>
        </w:tc>
        <w:tc>
          <w:tcPr>
            <w:tcW w:w="2410" w:type="dxa"/>
          </w:tcPr>
          <w:p w:rsidR="00700DBC" w:rsidRDefault="00927252">
            <w:pPr>
              <w:pStyle w:val="a4"/>
              <w:jc w:val="center"/>
            </w:pPr>
            <w:r>
              <w:t>Наименование  товара</w:t>
            </w:r>
          </w:p>
        </w:tc>
        <w:tc>
          <w:tcPr>
            <w:tcW w:w="2693" w:type="dxa"/>
          </w:tcPr>
          <w:p w:rsidR="00700DBC" w:rsidRDefault="00927252">
            <w:pPr>
              <w:pStyle w:val="a4"/>
              <w:jc w:val="center"/>
            </w:pPr>
            <w:r>
              <w:t>Качественные характеристики</w:t>
            </w:r>
          </w:p>
          <w:p w:rsidR="00700DBC" w:rsidRDefault="00700DBC">
            <w:pPr>
              <w:pStyle w:val="a4"/>
              <w:jc w:val="center"/>
            </w:pPr>
          </w:p>
        </w:tc>
        <w:tc>
          <w:tcPr>
            <w:tcW w:w="992" w:type="dxa"/>
          </w:tcPr>
          <w:p w:rsidR="00700DBC" w:rsidRDefault="00927252">
            <w:pPr>
              <w:pStyle w:val="a4"/>
              <w:jc w:val="center"/>
            </w:pPr>
            <w:r>
              <w:t>Кол-во</w:t>
            </w:r>
          </w:p>
          <w:p w:rsidR="00700DBC" w:rsidRDefault="00700DBC"/>
        </w:tc>
        <w:tc>
          <w:tcPr>
            <w:tcW w:w="2552" w:type="dxa"/>
          </w:tcPr>
          <w:p w:rsidR="00700DBC" w:rsidRDefault="00927252">
            <w:pPr>
              <w:pStyle w:val="a4"/>
              <w:jc w:val="center"/>
            </w:pPr>
            <w:r>
              <w:t>Сумма за единицу (руб.)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00DBC" w:rsidRDefault="00927252">
            <w:pPr>
              <w:pStyle w:val="a4"/>
              <w:jc w:val="center"/>
            </w:pPr>
            <w:r>
              <w:t>Сумма (руб.)</w:t>
            </w:r>
          </w:p>
        </w:tc>
      </w:tr>
      <w:tr w:rsidR="00700DBC">
        <w:trPr>
          <w:trHeight w:val="5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1.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  <w:rPr>
                <w:b/>
              </w:rPr>
            </w:pPr>
            <w:r>
              <w:t xml:space="preserve">Болт шестигранный </w:t>
            </w:r>
          </w:p>
          <w:p w:rsidR="00700DBC" w:rsidRDefault="00700DBC">
            <w:pPr>
              <w:pStyle w:val="a4"/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  <w:rPr>
                <w:vertAlign w:val="superscript"/>
              </w:rPr>
            </w:pPr>
            <w:r>
              <w:t xml:space="preserve"> Размер М</w:t>
            </w:r>
            <w:proofErr w:type="gramStart"/>
            <w:r>
              <w:t>6</w:t>
            </w:r>
            <w:proofErr w:type="gramEnd"/>
            <w:r>
              <w:t>*40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  <w:jc w:val="center"/>
            </w:pPr>
            <w:r>
              <w:t>85 шт.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</w:tr>
      <w:tr w:rsidR="00700DBC">
        <w:trPr>
          <w:trHeight w:val="5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2.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Шайба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 xml:space="preserve">Размер </w:t>
            </w:r>
            <w:proofErr w:type="gramStart"/>
            <w:r>
              <w:t>м</w:t>
            </w:r>
            <w:proofErr w:type="gramEnd"/>
            <w:r>
              <w:t xml:space="preserve"> 6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  <w:jc w:val="center"/>
            </w:pPr>
            <w:r>
              <w:t>113 шт.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</w:tr>
      <w:tr w:rsidR="00700DBC">
        <w:trPr>
          <w:trHeight w:val="5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3.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Петля мебельная потайная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Угол открывания: варьируется от 95</w:t>
            </w:r>
            <w:r>
              <w:rPr>
                <w:vertAlign w:val="superscript"/>
              </w:rPr>
              <w:t>0</w:t>
            </w:r>
            <w:r>
              <w:t xml:space="preserve"> до 110</w:t>
            </w:r>
            <w:r>
              <w:rPr>
                <w:vertAlign w:val="superscript"/>
              </w:rPr>
              <w:t>0</w:t>
            </w:r>
          </w:p>
          <w:p w:rsidR="00700DBC" w:rsidRDefault="00927252">
            <w:pPr>
              <w:pStyle w:val="a4"/>
            </w:pPr>
            <w:r>
              <w:t>Материалы: оцинкованная сталь или сплав ЦАМ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  <w:jc w:val="center"/>
            </w:pPr>
            <w:r>
              <w:t>50 шт.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</w:tr>
      <w:tr w:rsidR="00700DBC">
        <w:trPr>
          <w:trHeight w:val="5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4.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 xml:space="preserve">Саморез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 xml:space="preserve">Размер ММ 4,2*13, резьба: имеет частый шаг для надежной фиксации в металле и твердых материалах, головка и шлиц: полукруглая с </w:t>
            </w:r>
            <w:proofErr w:type="gramStart"/>
            <w:r>
              <w:t>пресс-шайбой</w:t>
            </w:r>
            <w:proofErr w:type="gramEnd"/>
            <w:r>
              <w:t>, материал и покрытие: изготавливаются из высокопрочной углеродистой стали с защитным слоем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  <w:jc w:val="center"/>
            </w:pPr>
            <w:r>
              <w:t>550 шт.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</w:tr>
      <w:tr w:rsidR="00700DBC">
        <w:trPr>
          <w:trHeight w:val="5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5.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Сверло по м</w:t>
            </w:r>
            <w:r>
              <w:t xml:space="preserve">еталлу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Размер 6*93мм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  <w:jc w:val="center"/>
            </w:pPr>
            <w:r>
              <w:t>5 шт.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</w:tr>
      <w:tr w:rsidR="00700DBC">
        <w:trPr>
          <w:trHeight w:val="5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6.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 xml:space="preserve">Сверло по металлу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Размер 8,0*117мм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  <w:jc w:val="center"/>
            </w:pPr>
            <w:r>
              <w:t>5 шт.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</w:tr>
      <w:tr w:rsidR="00700DBC">
        <w:trPr>
          <w:trHeight w:val="5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7.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 xml:space="preserve">Сварочная проволока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Диаметр 0,8мм  омедненная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  <w:jc w:val="center"/>
            </w:pPr>
            <w:r>
              <w:t>10 кг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</w:tr>
      <w:tr w:rsidR="00700DBC">
        <w:trPr>
          <w:trHeight w:val="5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8.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Диск отрезной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Размер 125*1,0*22 по металлу и нержавеющей стали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  <w:jc w:val="center"/>
            </w:pPr>
            <w:r>
              <w:t>150 шт.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</w:tr>
      <w:tr w:rsidR="00700DBC">
        <w:trPr>
          <w:trHeight w:val="5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9.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Замок для металлической мебели «почтовый»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Врезные устройства для ограничения доступа к ячейкам, шкафам, ящикам или электрощитам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  <w:jc w:val="center"/>
            </w:pPr>
            <w:r>
              <w:t>40 шт.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</w:tr>
      <w:tr w:rsidR="00700DBC">
        <w:trPr>
          <w:trHeight w:val="5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10.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bookmarkStart w:id="4" w:name="_GoBack"/>
            <w:r>
              <w:t>Направляющие шариковые для ящиков</w:t>
            </w:r>
            <w:bookmarkEnd w:id="4"/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 xml:space="preserve">400 мм комплект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  <w:jc w:val="center"/>
            </w:pPr>
            <w:r>
              <w:t>20 шт.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</w:tr>
      <w:tr w:rsidR="00700DBC">
        <w:trPr>
          <w:trHeight w:val="551"/>
        </w:trPr>
        <w:tc>
          <w:tcPr>
            <w:tcW w:w="568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11.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>Мебельный шпингалет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</w:pPr>
            <w:r>
              <w:t xml:space="preserve">Сталь (с защитой от коррозии), сплавы </w:t>
            </w:r>
            <w:r>
              <w:lastRenderedPageBreak/>
              <w:t>металлов (цинк, алюминий), латунь. Поверхность покрывается никелем, бронзой или полимерной краской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0DBC" w:rsidRDefault="00927252">
            <w:pPr>
              <w:pStyle w:val="a4"/>
              <w:jc w:val="center"/>
            </w:pPr>
            <w:r>
              <w:lastRenderedPageBreak/>
              <w:t>10 шт.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</w:tr>
      <w:tr w:rsidR="00700DBC">
        <w:trPr>
          <w:trHeight w:val="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00DBC" w:rsidRDefault="00700DBC">
            <w:pPr>
              <w:pStyle w:val="a4"/>
              <w:jc w:val="right"/>
            </w:pPr>
          </w:p>
        </w:tc>
        <w:tc>
          <w:tcPr>
            <w:tcW w:w="26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00DBC" w:rsidRDefault="00700DBC">
            <w:pPr>
              <w:pStyle w:val="a4"/>
            </w:pPr>
          </w:p>
        </w:tc>
        <w:tc>
          <w:tcPr>
            <w:tcW w:w="25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00DBC" w:rsidRDefault="00927252">
            <w:pPr>
              <w:pStyle w:val="a4"/>
              <w:jc w:val="right"/>
            </w:pPr>
            <w:r>
              <w:t xml:space="preserve">ИТОГО: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00DBC" w:rsidRDefault="00700DBC">
            <w:pPr>
              <w:pStyle w:val="a4"/>
              <w:jc w:val="center"/>
            </w:pPr>
          </w:p>
        </w:tc>
      </w:tr>
      <w:tr w:rsidR="00700DBC">
        <w:trPr>
          <w:trHeight w:val="369"/>
        </w:trPr>
        <w:tc>
          <w:tcPr>
            <w:tcW w:w="56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00DBC" w:rsidRDefault="00700DBC">
            <w:pPr>
              <w:pStyle w:val="a4"/>
            </w:pPr>
          </w:p>
        </w:tc>
        <w:tc>
          <w:tcPr>
            <w:tcW w:w="9781" w:type="dxa"/>
            <w:gridSpan w:val="5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00DBC" w:rsidRDefault="00700DBC">
            <w:pPr>
              <w:pStyle w:val="a4"/>
            </w:pPr>
          </w:p>
        </w:tc>
      </w:tr>
      <w:tr w:rsidR="00700DBC">
        <w:trPr>
          <w:trHeight w:val="58"/>
        </w:trPr>
        <w:tc>
          <w:tcPr>
            <w:tcW w:w="5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00DBC" w:rsidRDefault="00700DBC">
            <w:pPr>
              <w:pStyle w:val="a4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978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10099" w:type="dxa"/>
              <w:tblLayout w:type="fixed"/>
              <w:tblLook w:val="04A0" w:firstRow="1" w:lastRow="0" w:firstColumn="1" w:lastColumn="0" w:noHBand="0" w:noVBand="1"/>
            </w:tblPr>
            <w:tblGrid>
              <w:gridCol w:w="5438"/>
              <w:gridCol w:w="4661"/>
            </w:tblGrid>
            <w:tr w:rsidR="00700DBC">
              <w:tc>
                <w:tcPr>
                  <w:tcW w:w="543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700DBC" w:rsidRDefault="00927252">
                  <w:pPr>
                    <w:pStyle w:val="a4"/>
                    <w:jc w:val="center"/>
                    <w:rPr>
                      <w:bCs/>
                    </w:rPr>
                  </w:pPr>
                  <w:r>
                    <w:rPr>
                      <w:b/>
                      <w:bCs/>
                      <w:u w:val="single"/>
                    </w:rPr>
                    <w:t>ГОСУДАРСТВЕННЫЙ</w:t>
                  </w:r>
                  <w:r>
                    <w:rPr>
                      <w:bCs/>
                      <w:u w:val="single"/>
                    </w:rPr>
                    <w:t xml:space="preserve"> </w:t>
                  </w:r>
                  <w:r>
                    <w:rPr>
                      <w:b/>
                      <w:bCs/>
                      <w:u w:val="single"/>
                    </w:rPr>
                    <w:t>ЗАКАЗЧИК</w:t>
                  </w:r>
                  <w:r>
                    <w:rPr>
                      <w:bCs/>
                    </w:rPr>
                    <w:t>:</w:t>
                  </w:r>
                </w:p>
                <w:p w:rsidR="00700DBC" w:rsidRDefault="00927252">
                  <w:pPr>
                    <w:pStyle w:val="a4"/>
                  </w:pPr>
                  <w:r>
                    <w:t>федеральное казенное учреждение «Лечебное исправительное учреждение  № 3 Управления Федеральной службы исполнения наказаний                по Новгородской области»</w:t>
                  </w:r>
                </w:p>
                <w:p w:rsidR="00700DBC" w:rsidRDefault="00927252">
                  <w:pPr>
                    <w:pStyle w:val="a4"/>
                  </w:pPr>
                  <w:r>
                    <w:t xml:space="preserve">174405, </w:t>
                  </w:r>
                  <w:proofErr w:type="gramStart"/>
                  <w:r>
                    <w:t>Новгородская</w:t>
                  </w:r>
                  <w:proofErr w:type="gramEnd"/>
                  <w:r>
                    <w:t xml:space="preserve"> обл., г. Боровичи,</w:t>
                  </w:r>
                </w:p>
                <w:p w:rsidR="00700DBC" w:rsidRDefault="00927252">
                  <w:pPr>
                    <w:pStyle w:val="a4"/>
                  </w:pPr>
                  <w:r>
                    <w:t xml:space="preserve"> ул. Угольщиков, д. 46 </w:t>
                  </w:r>
                  <w:r>
                    <w:br w:type="textWrapping" w:clear="all"/>
                  </w:r>
                </w:p>
                <w:p w:rsidR="00700DBC" w:rsidRDefault="00927252">
                  <w:pPr>
                    <w:pStyle w:val="a4"/>
                  </w:pPr>
                  <w:r>
                    <w:t>Начальник__________________</w:t>
                  </w:r>
                  <w:r>
                    <w:t>__</w:t>
                  </w:r>
                </w:p>
                <w:p w:rsidR="00700DBC" w:rsidRDefault="00927252">
                  <w:pPr>
                    <w:pStyle w:val="a4"/>
                    <w:jc w:val="center"/>
                  </w:pPr>
                  <w:r>
                    <w:t>И. С. Котов</w:t>
                  </w:r>
                </w:p>
              </w:tc>
              <w:tc>
                <w:tcPr>
                  <w:tcW w:w="466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700DBC" w:rsidRDefault="00927252">
                  <w:pPr>
                    <w:pStyle w:val="a4"/>
                    <w:rPr>
                      <w:b/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b/>
                      <w:u w:val="single"/>
                    </w:rPr>
                    <w:t>ПОСТАВЩИК:</w:t>
                  </w:r>
                </w:p>
              </w:tc>
            </w:tr>
          </w:tbl>
          <w:p w:rsidR="00700DBC" w:rsidRDefault="00700DBC">
            <w:pPr>
              <w:pStyle w:val="a4"/>
            </w:pPr>
          </w:p>
        </w:tc>
      </w:tr>
      <w:tr w:rsidR="00700DBC">
        <w:trPr>
          <w:trHeight w:val="58"/>
        </w:trPr>
        <w:tc>
          <w:tcPr>
            <w:tcW w:w="5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00DBC" w:rsidRDefault="00700DBC">
            <w:pPr>
              <w:pStyle w:val="a4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978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00DBC" w:rsidRDefault="00700DBC">
            <w:pPr>
              <w:pStyle w:val="a4"/>
            </w:pPr>
          </w:p>
        </w:tc>
      </w:tr>
    </w:tbl>
    <w:p w:rsidR="00927252" w:rsidRDefault="00927252"/>
    <w:sectPr w:rsidR="00927252">
      <w:pgSz w:w="11907" w:h="16840"/>
      <w:pgMar w:top="1134" w:right="851" w:bottom="426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252" w:rsidRDefault="00927252">
      <w:r>
        <w:separator/>
      </w:r>
    </w:p>
  </w:endnote>
  <w:endnote w:type="continuationSeparator" w:id="0">
    <w:p w:rsidR="00927252" w:rsidRDefault="0092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252" w:rsidRDefault="00927252">
      <w:r>
        <w:separator/>
      </w:r>
    </w:p>
  </w:footnote>
  <w:footnote w:type="continuationSeparator" w:id="0">
    <w:p w:rsidR="00927252" w:rsidRDefault="0092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206"/>
    <w:multiLevelType w:val="hybridMultilevel"/>
    <w:tmpl w:val="F74A94DA"/>
    <w:lvl w:ilvl="0" w:tplc="D5745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86012">
      <w:numFmt w:val="decimal"/>
      <w:lvlText w:val=""/>
      <w:lvlJc w:val="left"/>
      <w:pPr>
        <w:tabs>
          <w:tab w:val="num" w:pos="360"/>
        </w:tabs>
      </w:pPr>
    </w:lvl>
    <w:lvl w:ilvl="2" w:tplc="2FBE0DAA">
      <w:numFmt w:val="decimal"/>
      <w:lvlText w:val=""/>
      <w:lvlJc w:val="left"/>
      <w:pPr>
        <w:tabs>
          <w:tab w:val="num" w:pos="360"/>
        </w:tabs>
      </w:pPr>
    </w:lvl>
    <w:lvl w:ilvl="3" w:tplc="8BA26034">
      <w:numFmt w:val="decimal"/>
      <w:lvlText w:val=""/>
      <w:lvlJc w:val="left"/>
      <w:pPr>
        <w:tabs>
          <w:tab w:val="num" w:pos="360"/>
        </w:tabs>
      </w:pPr>
    </w:lvl>
    <w:lvl w:ilvl="4" w:tplc="3D3ECB6E">
      <w:numFmt w:val="decimal"/>
      <w:lvlText w:val=""/>
      <w:lvlJc w:val="left"/>
      <w:pPr>
        <w:tabs>
          <w:tab w:val="num" w:pos="360"/>
        </w:tabs>
      </w:pPr>
    </w:lvl>
    <w:lvl w:ilvl="5" w:tplc="D4C2C858">
      <w:numFmt w:val="decimal"/>
      <w:lvlText w:val=""/>
      <w:lvlJc w:val="left"/>
      <w:pPr>
        <w:tabs>
          <w:tab w:val="num" w:pos="360"/>
        </w:tabs>
      </w:pPr>
    </w:lvl>
    <w:lvl w:ilvl="6" w:tplc="667AC85A">
      <w:numFmt w:val="decimal"/>
      <w:lvlText w:val=""/>
      <w:lvlJc w:val="left"/>
      <w:pPr>
        <w:tabs>
          <w:tab w:val="num" w:pos="360"/>
        </w:tabs>
      </w:pPr>
    </w:lvl>
    <w:lvl w:ilvl="7" w:tplc="C652CAA2">
      <w:numFmt w:val="decimal"/>
      <w:lvlText w:val=""/>
      <w:lvlJc w:val="left"/>
      <w:pPr>
        <w:tabs>
          <w:tab w:val="num" w:pos="360"/>
        </w:tabs>
      </w:pPr>
    </w:lvl>
    <w:lvl w:ilvl="8" w:tplc="243A2C32">
      <w:numFmt w:val="decimal"/>
      <w:lvlText w:val=""/>
      <w:lvlJc w:val="left"/>
      <w:pPr>
        <w:tabs>
          <w:tab w:val="num" w:pos="360"/>
        </w:tabs>
      </w:pPr>
    </w:lvl>
  </w:abstractNum>
  <w:abstractNum w:abstractNumId="1">
    <w:nsid w:val="02B1764B"/>
    <w:multiLevelType w:val="hybridMultilevel"/>
    <w:tmpl w:val="DA6CFD2A"/>
    <w:lvl w:ilvl="0" w:tplc="F9CCB150">
      <w:start w:val="8"/>
      <w:numFmt w:val="decimal"/>
      <w:lvlText w:val="%1."/>
      <w:lvlJc w:val="left"/>
      <w:pPr>
        <w:ind w:left="720" w:hanging="360"/>
      </w:pPr>
    </w:lvl>
    <w:lvl w:ilvl="1" w:tplc="CB228CD0">
      <w:start w:val="1"/>
      <w:numFmt w:val="lowerLetter"/>
      <w:lvlText w:val="%2."/>
      <w:lvlJc w:val="left"/>
      <w:pPr>
        <w:ind w:left="1440" w:hanging="360"/>
      </w:pPr>
    </w:lvl>
    <w:lvl w:ilvl="2" w:tplc="A4FA8CB8">
      <w:start w:val="1"/>
      <w:numFmt w:val="lowerRoman"/>
      <w:lvlText w:val="%3."/>
      <w:lvlJc w:val="right"/>
      <w:pPr>
        <w:ind w:left="2160" w:hanging="180"/>
      </w:pPr>
    </w:lvl>
    <w:lvl w:ilvl="3" w:tplc="0C2E8E82">
      <w:start w:val="1"/>
      <w:numFmt w:val="decimal"/>
      <w:lvlText w:val="%4."/>
      <w:lvlJc w:val="left"/>
      <w:pPr>
        <w:ind w:left="2880" w:hanging="360"/>
      </w:pPr>
    </w:lvl>
    <w:lvl w:ilvl="4" w:tplc="BC84B60E">
      <w:start w:val="1"/>
      <w:numFmt w:val="lowerLetter"/>
      <w:lvlText w:val="%5."/>
      <w:lvlJc w:val="left"/>
      <w:pPr>
        <w:ind w:left="3600" w:hanging="360"/>
      </w:pPr>
    </w:lvl>
    <w:lvl w:ilvl="5" w:tplc="A6FEF66E">
      <w:start w:val="1"/>
      <w:numFmt w:val="lowerRoman"/>
      <w:lvlText w:val="%6."/>
      <w:lvlJc w:val="right"/>
      <w:pPr>
        <w:ind w:left="4320" w:hanging="180"/>
      </w:pPr>
    </w:lvl>
    <w:lvl w:ilvl="6" w:tplc="5E22AF16">
      <w:start w:val="1"/>
      <w:numFmt w:val="decimal"/>
      <w:lvlText w:val="%7."/>
      <w:lvlJc w:val="left"/>
      <w:pPr>
        <w:ind w:left="5040" w:hanging="360"/>
      </w:pPr>
    </w:lvl>
    <w:lvl w:ilvl="7" w:tplc="824058DA">
      <w:start w:val="1"/>
      <w:numFmt w:val="lowerLetter"/>
      <w:lvlText w:val="%8."/>
      <w:lvlJc w:val="left"/>
      <w:pPr>
        <w:ind w:left="5760" w:hanging="360"/>
      </w:pPr>
    </w:lvl>
    <w:lvl w:ilvl="8" w:tplc="3CDC49C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839B2"/>
    <w:multiLevelType w:val="multilevel"/>
    <w:tmpl w:val="F6BAF1B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/>
        <w:b w:val="0"/>
        <w:i w:val="0"/>
        <w:sz w:val="24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80452E5"/>
    <w:multiLevelType w:val="hybridMultilevel"/>
    <w:tmpl w:val="EADA38D4"/>
    <w:lvl w:ilvl="0" w:tplc="A6B28042">
      <w:start w:val="1"/>
      <w:numFmt w:val="decimal"/>
      <w:lvlText w:val="%1."/>
      <w:lvlJc w:val="left"/>
      <w:pPr>
        <w:ind w:left="502" w:hanging="360"/>
      </w:pPr>
    </w:lvl>
    <w:lvl w:ilvl="1" w:tplc="F0824462">
      <w:start w:val="1"/>
      <w:numFmt w:val="lowerLetter"/>
      <w:lvlText w:val="%2."/>
      <w:lvlJc w:val="left"/>
      <w:pPr>
        <w:ind w:left="1222" w:hanging="360"/>
      </w:pPr>
    </w:lvl>
    <w:lvl w:ilvl="2" w:tplc="BC18800C">
      <w:start w:val="1"/>
      <w:numFmt w:val="lowerRoman"/>
      <w:lvlText w:val="%3."/>
      <w:lvlJc w:val="right"/>
      <w:pPr>
        <w:ind w:left="1942" w:hanging="180"/>
      </w:pPr>
    </w:lvl>
    <w:lvl w:ilvl="3" w:tplc="CF80FA0E">
      <w:start w:val="1"/>
      <w:numFmt w:val="decimal"/>
      <w:lvlText w:val="%4."/>
      <w:lvlJc w:val="left"/>
      <w:pPr>
        <w:ind w:left="2662" w:hanging="360"/>
      </w:pPr>
    </w:lvl>
    <w:lvl w:ilvl="4" w:tplc="9C90AD9A">
      <w:start w:val="1"/>
      <w:numFmt w:val="lowerLetter"/>
      <w:lvlText w:val="%5."/>
      <w:lvlJc w:val="left"/>
      <w:pPr>
        <w:ind w:left="3382" w:hanging="360"/>
      </w:pPr>
    </w:lvl>
    <w:lvl w:ilvl="5" w:tplc="928EE1B4">
      <w:start w:val="1"/>
      <w:numFmt w:val="lowerRoman"/>
      <w:lvlText w:val="%6."/>
      <w:lvlJc w:val="right"/>
      <w:pPr>
        <w:ind w:left="4102" w:hanging="180"/>
      </w:pPr>
    </w:lvl>
    <w:lvl w:ilvl="6" w:tplc="65D40958">
      <w:start w:val="1"/>
      <w:numFmt w:val="decimal"/>
      <w:lvlText w:val="%7."/>
      <w:lvlJc w:val="left"/>
      <w:pPr>
        <w:ind w:left="4822" w:hanging="360"/>
      </w:pPr>
    </w:lvl>
    <w:lvl w:ilvl="7" w:tplc="F482D492">
      <w:start w:val="1"/>
      <w:numFmt w:val="lowerLetter"/>
      <w:lvlText w:val="%8."/>
      <w:lvlJc w:val="left"/>
      <w:pPr>
        <w:ind w:left="5542" w:hanging="360"/>
      </w:pPr>
    </w:lvl>
    <w:lvl w:ilvl="8" w:tplc="6958F030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3F123E"/>
    <w:multiLevelType w:val="hybridMultilevel"/>
    <w:tmpl w:val="056C4E30"/>
    <w:lvl w:ilvl="0" w:tplc="214842B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A2F5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0C12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9C2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27E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B26E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82F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AE3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B4C6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EC254A"/>
    <w:multiLevelType w:val="hybridMultilevel"/>
    <w:tmpl w:val="6E0C3578"/>
    <w:lvl w:ilvl="0" w:tplc="CE7AD122">
      <w:start w:val="2"/>
      <w:numFmt w:val="decimal"/>
      <w:lvlText w:val="%1."/>
      <w:lvlJc w:val="left"/>
      <w:pPr>
        <w:ind w:left="1080" w:hanging="360"/>
      </w:pPr>
    </w:lvl>
    <w:lvl w:ilvl="1" w:tplc="A0488C26">
      <w:start w:val="1"/>
      <w:numFmt w:val="lowerLetter"/>
      <w:lvlText w:val="%2."/>
      <w:lvlJc w:val="left"/>
      <w:pPr>
        <w:ind w:left="1800" w:hanging="360"/>
      </w:pPr>
    </w:lvl>
    <w:lvl w:ilvl="2" w:tplc="FCB07F42">
      <w:start w:val="1"/>
      <w:numFmt w:val="lowerRoman"/>
      <w:lvlText w:val="%3."/>
      <w:lvlJc w:val="right"/>
      <w:pPr>
        <w:ind w:left="2520" w:hanging="180"/>
      </w:pPr>
    </w:lvl>
    <w:lvl w:ilvl="3" w:tplc="88663168">
      <w:start w:val="1"/>
      <w:numFmt w:val="decimal"/>
      <w:lvlText w:val="%4."/>
      <w:lvlJc w:val="left"/>
      <w:pPr>
        <w:ind w:left="3240" w:hanging="360"/>
      </w:pPr>
    </w:lvl>
    <w:lvl w:ilvl="4" w:tplc="EEEE9EE0">
      <w:start w:val="1"/>
      <w:numFmt w:val="lowerLetter"/>
      <w:lvlText w:val="%5."/>
      <w:lvlJc w:val="left"/>
      <w:pPr>
        <w:ind w:left="3960" w:hanging="360"/>
      </w:pPr>
    </w:lvl>
    <w:lvl w:ilvl="5" w:tplc="83AE18C6">
      <w:start w:val="1"/>
      <w:numFmt w:val="lowerRoman"/>
      <w:lvlText w:val="%6."/>
      <w:lvlJc w:val="right"/>
      <w:pPr>
        <w:ind w:left="4680" w:hanging="180"/>
      </w:pPr>
    </w:lvl>
    <w:lvl w:ilvl="6" w:tplc="D0863A34">
      <w:start w:val="1"/>
      <w:numFmt w:val="decimal"/>
      <w:lvlText w:val="%7."/>
      <w:lvlJc w:val="left"/>
      <w:pPr>
        <w:ind w:left="5400" w:hanging="360"/>
      </w:pPr>
    </w:lvl>
    <w:lvl w:ilvl="7" w:tplc="31981678">
      <w:start w:val="1"/>
      <w:numFmt w:val="lowerLetter"/>
      <w:lvlText w:val="%8."/>
      <w:lvlJc w:val="left"/>
      <w:pPr>
        <w:ind w:left="6120" w:hanging="360"/>
      </w:pPr>
    </w:lvl>
    <w:lvl w:ilvl="8" w:tplc="639024BC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3573FF"/>
    <w:multiLevelType w:val="hybridMultilevel"/>
    <w:tmpl w:val="AECC5E2E"/>
    <w:lvl w:ilvl="0" w:tplc="768664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0240F4">
      <w:numFmt w:val="decimal"/>
      <w:lvlText w:val=""/>
      <w:lvlJc w:val="left"/>
      <w:pPr>
        <w:tabs>
          <w:tab w:val="num" w:pos="360"/>
        </w:tabs>
      </w:pPr>
    </w:lvl>
    <w:lvl w:ilvl="2" w:tplc="491286EA">
      <w:numFmt w:val="decimal"/>
      <w:lvlText w:val=""/>
      <w:lvlJc w:val="left"/>
      <w:pPr>
        <w:tabs>
          <w:tab w:val="num" w:pos="360"/>
        </w:tabs>
      </w:pPr>
    </w:lvl>
    <w:lvl w:ilvl="3" w:tplc="35DCA3AC">
      <w:numFmt w:val="decimal"/>
      <w:lvlText w:val=""/>
      <w:lvlJc w:val="left"/>
      <w:pPr>
        <w:tabs>
          <w:tab w:val="num" w:pos="360"/>
        </w:tabs>
      </w:pPr>
    </w:lvl>
    <w:lvl w:ilvl="4" w:tplc="B09262B8">
      <w:numFmt w:val="decimal"/>
      <w:lvlText w:val=""/>
      <w:lvlJc w:val="left"/>
      <w:pPr>
        <w:tabs>
          <w:tab w:val="num" w:pos="360"/>
        </w:tabs>
      </w:pPr>
    </w:lvl>
    <w:lvl w:ilvl="5" w:tplc="B5C4B6C8">
      <w:numFmt w:val="decimal"/>
      <w:lvlText w:val=""/>
      <w:lvlJc w:val="left"/>
      <w:pPr>
        <w:tabs>
          <w:tab w:val="num" w:pos="360"/>
        </w:tabs>
      </w:pPr>
    </w:lvl>
    <w:lvl w:ilvl="6" w:tplc="930A7066">
      <w:numFmt w:val="decimal"/>
      <w:lvlText w:val=""/>
      <w:lvlJc w:val="left"/>
      <w:pPr>
        <w:tabs>
          <w:tab w:val="num" w:pos="360"/>
        </w:tabs>
      </w:pPr>
    </w:lvl>
    <w:lvl w:ilvl="7" w:tplc="89701246">
      <w:numFmt w:val="decimal"/>
      <w:lvlText w:val=""/>
      <w:lvlJc w:val="left"/>
      <w:pPr>
        <w:tabs>
          <w:tab w:val="num" w:pos="360"/>
        </w:tabs>
      </w:pPr>
    </w:lvl>
    <w:lvl w:ilvl="8" w:tplc="6388F102">
      <w:numFmt w:val="decimal"/>
      <w:lvlText w:val=""/>
      <w:lvlJc w:val="left"/>
      <w:pPr>
        <w:tabs>
          <w:tab w:val="num" w:pos="360"/>
        </w:tabs>
      </w:pPr>
    </w:lvl>
  </w:abstractNum>
  <w:abstractNum w:abstractNumId="7">
    <w:nsid w:val="57CC0667"/>
    <w:multiLevelType w:val="hybridMultilevel"/>
    <w:tmpl w:val="AE5EC330"/>
    <w:lvl w:ilvl="0" w:tplc="AA004C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C0F7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4DAAE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F2C3C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23453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FB009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12007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566B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2408FA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451539D"/>
    <w:multiLevelType w:val="multilevel"/>
    <w:tmpl w:val="54A6F53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  <w:num w:numId="14">
    <w:abstractNumId w:val="7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BC"/>
    <w:rsid w:val="00700DBC"/>
    <w:rsid w:val="00927252"/>
    <w:rsid w:val="00AF3039"/>
    <w:rsid w:val="00F3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8"/>
      </w:numPr>
      <w:spacing w:line="360" w:lineRule="auto"/>
      <w:jc w:val="both"/>
      <w:outlineLvl w:val="1"/>
    </w:pPr>
    <w:rPr>
      <w:lang w:val="en-US"/>
    </w:rPr>
  </w:style>
  <w:style w:type="paragraph" w:styleId="3">
    <w:name w:val="heading 3"/>
    <w:basedOn w:val="a"/>
    <w:next w:val="a"/>
    <w:link w:val="30"/>
    <w:qFormat/>
    <w:pPr>
      <w:numPr>
        <w:ilvl w:val="2"/>
        <w:numId w:val="8"/>
      </w:numPr>
      <w:spacing w:before="120" w:after="60" w:line="360" w:lineRule="auto"/>
      <w:jc w:val="both"/>
      <w:outlineLvl w:val="2"/>
    </w:pPr>
    <w:rPr>
      <w:szCs w:val="26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8"/>
      </w:numPr>
      <w:spacing w:before="240" w:after="60"/>
      <w:outlineLvl w:val="5"/>
    </w:pPr>
    <w:rPr>
      <w:b/>
      <w:bCs/>
      <w:sz w:val="20"/>
      <w:szCs w:val="20"/>
      <w:lang w:val="en-US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8"/>
      </w:numPr>
      <w:spacing w:before="240" w:after="60"/>
      <w:outlineLvl w:val="6"/>
    </w:pPr>
    <w:rPr>
      <w:lang w:val="en-US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8"/>
      </w:numPr>
      <w:spacing w:before="240" w:after="60"/>
      <w:outlineLvl w:val="7"/>
    </w:pPr>
    <w:rPr>
      <w:i/>
      <w:iCs/>
      <w:lang w:val="en-US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8"/>
      </w:numPr>
      <w:spacing w:before="240" w:after="60"/>
      <w:outlineLvl w:val="8"/>
    </w:pPr>
    <w:rPr>
      <w:rFonts w:ascii="Arial" w:hAnsi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pPr>
      <w:jc w:val="center"/>
    </w:pPr>
    <w:rPr>
      <w:b/>
      <w:bCs/>
      <w:sz w:val="40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link w:val="ae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Pr>
      <w:rFonts w:ascii="Arial" w:eastAsia="Times New Roman" w:hAnsi="Arial" w:cs="Arial"/>
      <w:lang w:eastAsia="ru-RU"/>
    </w:rPr>
  </w:style>
  <w:style w:type="character" w:customStyle="1" w:styleId="a7">
    <w:name w:val="Название Знак"/>
    <w:link w:val="a6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fc">
    <w:name w:val="Body Text"/>
    <w:basedOn w:val="a"/>
    <w:link w:val="afd"/>
    <w:pPr>
      <w:jc w:val="both"/>
    </w:pPr>
    <w:rPr>
      <w:b/>
      <w:bCs/>
      <w:sz w:val="20"/>
      <w:u w:val="single"/>
      <w:lang w:val="en-US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 w:cs="Times New Roman"/>
      <w:b/>
      <w:bCs/>
      <w:szCs w:val="24"/>
      <w:u w:val="single"/>
      <w:lang w:eastAsia="ru-RU"/>
    </w:rPr>
  </w:style>
  <w:style w:type="character" w:customStyle="1" w:styleId="apple-converted-space">
    <w:name w:val="apple-converted-space"/>
    <w:basedOn w:val="a0"/>
  </w:style>
  <w:style w:type="character" w:styleId="afe">
    <w:name w:val="Strong"/>
    <w:qFormat/>
    <w:rPr>
      <w:b/>
      <w:bCs/>
    </w:rPr>
  </w:style>
  <w:style w:type="character" w:customStyle="1" w:styleId="greytext">
    <w:name w:val="greytext"/>
    <w:basedOn w:val="a0"/>
  </w:style>
  <w:style w:type="character" w:customStyle="1" w:styleId="text">
    <w:name w:val="text"/>
    <w:basedOn w:val="a0"/>
  </w:style>
  <w:style w:type="character" w:customStyle="1" w:styleId="a5">
    <w:name w:val="Без интервала Знак"/>
    <w:link w:val="a4"/>
    <w:uiPriority w:val="1"/>
    <w:rPr>
      <w:rFonts w:ascii="Times New Roman" w:eastAsia="Times New Roman" w:hAnsi="Times New Roman"/>
      <w:sz w:val="24"/>
      <w:szCs w:val="24"/>
      <w:lang w:bidi="ar-SA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  <w:lang w:eastAsia="ru-RU"/>
    </w:rPr>
  </w:style>
  <w:style w:type="character" w:customStyle="1" w:styleId="iceouttxt5">
    <w:name w:val="iceouttxt5"/>
    <w:rPr>
      <w:rFonts w:ascii="Arial" w:hAnsi="Arial" w:cs="Arial"/>
      <w:color w:val="666666"/>
      <w:sz w:val="15"/>
      <w:szCs w:val="15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value">
    <w:name w:val="value"/>
    <w:basedOn w:val="a0"/>
  </w:style>
  <w:style w:type="character" w:customStyle="1" w:styleId="copytarget">
    <w:name w:val="copy_targe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8"/>
      </w:numPr>
      <w:spacing w:line="360" w:lineRule="auto"/>
      <w:jc w:val="both"/>
      <w:outlineLvl w:val="1"/>
    </w:pPr>
    <w:rPr>
      <w:lang w:val="en-US"/>
    </w:rPr>
  </w:style>
  <w:style w:type="paragraph" w:styleId="3">
    <w:name w:val="heading 3"/>
    <w:basedOn w:val="a"/>
    <w:next w:val="a"/>
    <w:link w:val="30"/>
    <w:qFormat/>
    <w:pPr>
      <w:numPr>
        <w:ilvl w:val="2"/>
        <w:numId w:val="8"/>
      </w:numPr>
      <w:spacing w:before="120" w:after="60" w:line="360" w:lineRule="auto"/>
      <w:jc w:val="both"/>
      <w:outlineLvl w:val="2"/>
    </w:pPr>
    <w:rPr>
      <w:szCs w:val="26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8"/>
      </w:numPr>
      <w:spacing w:before="240" w:after="60"/>
      <w:outlineLvl w:val="5"/>
    </w:pPr>
    <w:rPr>
      <w:b/>
      <w:bCs/>
      <w:sz w:val="20"/>
      <w:szCs w:val="20"/>
      <w:lang w:val="en-US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8"/>
      </w:numPr>
      <w:spacing w:before="240" w:after="60"/>
      <w:outlineLvl w:val="6"/>
    </w:pPr>
    <w:rPr>
      <w:lang w:val="en-US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8"/>
      </w:numPr>
      <w:spacing w:before="240" w:after="60"/>
      <w:outlineLvl w:val="7"/>
    </w:pPr>
    <w:rPr>
      <w:i/>
      <w:iCs/>
      <w:lang w:val="en-US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8"/>
      </w:numPr>
      <w:spacing w:before="240" w:after="60"/>
      <w:outlineLvl w:val="8"/>
    </w:pPr>
    <w:rPr>
      <w:rFonts w:ascii="Arial" w:hAnsi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pPr>
      <w:jc w:val="center"/>
    </w:pPr>
    <w:rPr>
      <w:b/>
      <w:bCs/>
      <w:sz w:val="40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link w:val="ae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Pr>
      <w:rFonts w:ascii="Arial" w:eastAsia="Times New Roman" w:hAnsi="Arial" w:cs="Arial"/>
      <w:lang w:eastAsia="ru-RU"/>
    </w:rPr>
  </w:style>
  <w:style w:type="character" w:customStyle="1" w:styleId="a7">
    <w:name w:val="Название Знак"/>
    <w:link w:val="a6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fc">
    <w:name w:val="Body Text"/>
    <w:basedOn w:val="a"/>
    <w:link w:val="afd"/>
    <w:pPr>
      <w:jc w:val="both"/>
    </w:pPr>
    <w:rPr>
      <w:b/>
      <w:bCs/>
      <w:sz w:val="20"/>
      <w:u w:val="single"/>
      <w:lang w:val="en-US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 w:cs="Times New Roman"/>
      <w:b/>
      <w:bCs/>
      <w:szCs w:val="24"/>
      <w:u w:val="single"/>
      <w:lang w:eastAsia="ru-RU"/>
    </w:rPr>
  </w:style>
  <w:style w:type="character" w:customStyle="1" w:styleId="apple-converted-space">
    <w:name w:val="apple-converted-space"/>
    <w:basedOn w:val="a0"/>
  </w:style>
  <w:style w:type="character" w:styleId="afe">
    <w:name w:val="Strong"/>
    <w:qFormat/>
    <w:rPr>
      <w:b/>
      <w:bCs/>
    </w:rPr>
  </w:style>
  <w:style w:type="character" w:customStyle="1" w:styleId="greytext">
    <w:name w:val="greytext"/>
    <w:basedOn w:val="a0"/>
  </w:style>
  <w:style w:type="character" w:customStyle="1" w:styleId="text">
    <w:name w:val="text"/>
    <w:basedOn w:val="a0"/>
  </w:style>
  <w:style w:type="character" w:customStyle="1" w:styleId="a5">
    <w:name w:val="Без интервала Знак"/>
    <w:link w:val="a4"/>
    <w:uiPriority w:val="1"/>
    <w:rPr>
      <w:rFonts w:ascii="Times New Roman" w:eastAsia="Times New Roman" w:hAnsi="Times New Roman"/>
      <w:sz w:val="24"/>
      <w:szCs w:val="24"/>
      <w:lang w:bidi="ar-SA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  <w:lang w:eastAsia="ru-RU"/>
    </w:rPr>
  </w:style>
  <w:style w:type="character" w:customStyle="1" w:styleId="iceouttxt5">
    <w:name w:val="iceouttxt5"/>
    <w:rPr>
      <w:rFonts w:ascii="Arial" w:hAnsi="Arial" w:cs="Arial"/>
      <w:color w:val="666666"/>
      <w:sz w:val="15"/>
      <w:szCs w:val="15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value">
    <w:name w:val="value"/>
    <w:basedOn w:val="a0"/>
  </w:style>
  <w:style w:type="character" w:customStyle="1" w:styleId="copytarget">
    <w:name w:val="copy_targe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6365F63F9D79C011E6CF3868E3F0C44C4BD1C65F2EC9BC595557EC8F029A4031F82DE8A104A76FDF497D5A49TDi1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6365F63F9D79C011E6CF3868E3F0C44C4BD1C65F2EC9BC595557EC8F029A4023F875E4A104BA6FD15C2B0B0C8DADE7F80D7C7056BDCCC4T5i3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16365F63F9D79C011E6CF3868E3F0C44C4BD1C65F2EC9BC595557EC8F029A4031F82DE8A104A76FDF497D5A49TDi1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6365F63F9D79C011E6CF3868E3F0C44C4BD1C65F2EC9BC595557EC8F029A4031F82DE8A104A76FDF497D5A49TDi1P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4312</Words>
  <Characters>24585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Zakupki-NEW</cp:lastModifiedBy>
  <cp:revision>6</cp:revision>
  <dcterms:created xsi:type="dcterms:W3CDTF">2026-05-26T11:28:00Z</dcterms:created>
  <dcterms:modified xsi:type="dcterms:W3CDTF">2026-05-28T06:18:00Z</dcterms:modified>
  <cp:version>786432</cp:version>
</cp:coreProperties>
</file>