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Расчет и обоснование начальной (максимальной) цены</w:t>
      </w:r>
    </w:p>
    <w:p>
      <w:pPr>
        <w:pStyle w:val="Normal"/>
        <w:spacing w:before="0" w:after="0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государственного контракта на оказание услуг </w:t>
        <w:br/>
        <w:t>по техническому осмотру автотранспортных средств.</w:t>
      </w:r>
    </w:p>
    <w:p>
      <w:pPr>
        <w:pStyle w:val="Normal"/>
        <w:spacing w:lineRule="atLeast" w:line="2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lang w:eastAsia="en-US"/>
        </w:rPr>
        <w:t>При расчете начальной максимальной цены контракта использовался</w:t>
      </w:r>
      <w:r>
        <w:rPr>
          <w:rFonts w:ascii="PT Astra Serif" w:hAnsi="PT Astra Serif"/>
        </w:rPr>
        <w:t xml:space="preserve"> тарифный метод, согласно ч.8, ст.22. Федерального закона от 05.04.2013г. № 44-ФЗ «О контрактной системе в сфере закупок товаров, работ и услуг для обеспечения государственных и муниципальных нужд», согласно Приказа Федеральной антимонопольной службы от 30 июня 2022 г. № 489/22 «Об утверждении методики расчета предельного размера платы за проведение технического осмотра», в соответствии с постановлением Правительства Республики Бурятия от 5 декабря 2025 г. № 729  «О внесении изменений в постановление Правительства Республики Бурятия от 27.12.2011 № 696 «Об установлении предельных размеров платы за проведение технического осмотра транспортных средств и предельных (максимальных) размеров расходов на оформление дубликата талона технического осмотра транспортных средств на территории Республики Бурятия». </w:t>
      </w:r>
    </w:p>
    <w:p>
      <w:pPr>
        <w:pStyle w:val="Normal"/>
        <w:jc w:val="center"/>
        <w:rPr>
          <w:rFonts w:ascii="PT Astra Serif" w:hAnsi="PT Astra Serif" w:eastAsia="Calibri" w:eastAsiaTheme="minorHAnsi"/>
          <w:lang w:eastAsia="en-US"/>
        </w:rPr>
      </w:pPr>
      <w:r>
        <w:rPr>
          <w:rFonts w:eastAsia="Calibri" w:ascii="PT Astra Serif" w:hAnsi="PT Astra Serif" w:eastAsiaTheme="minorHAnsi"/>
          <w:lang w:eastAsia="en-US"/>
        </w:rPr>
        <w:t xml:space="preserve">Предельные размеры платы за проведение технического осмотра транспортных средств </w:t>
        <w:br/>
        <w:t>ФКУ БМТиВС УФСИН России по Республике Бурятия в зависимости от категории ТС:</w:t>
      </w:r>
    </w:p>
    <w:p>
      <w:pPr>
        <w:pStyle w:val="Normal"/>
        <w:jc w:val="center"/>
        <w:rPr>
          <w:rFonts w:ascii="PT Astra Serif" w:hAnsi="PT Astra Serif" w:eastAsia="Calibri" w:eastAsiaTheme="minorHAnsi"/>
          <w:lang w:eastAsia="en-US"/>
        </w:rPr>
      </w:pPr>
      <w:r>
        <w:rPr>
          <w:rFonts w:eastAsia="Calibri" w:eastAsiaTheme="minorHAnsi" w:ascii="PT Astra Serif" w:hAnsi="PT Astra Serif"/>
          <w:lang w:eastAsia="en-US"/>
        </w:rPr>
      </w:r>
    </w:p>
    <w:p>
      <w:pPr>
        <w:pStyle w:val="Normal"/>
        <w:jc w:val="center"/>
        <w:rPr>
          <w:rFonts w:ascii="PT Astra Serif" w:hAnsi="PT Astra Serif" w:eastAsia="Calibri" w:eastAsiaTheme="minorHAnsi"/>
          <w:lang w:eastAsia="en-US"/>
        </w:rPr>
      </w:pPr>
      <w:r>
        <w:rPr>
          <w:rFonts w:eastAsia="Calibri" w:eastAsiaTheme="minorHAnsi" w:ascii="PT Astra Serif" w:hAnsi="PT Astra Serif"/>
          <w:lang w:eastAsia="en-US"/>
        </w:rPr>
      </w:r>
    </w:p>
    <w:tbl>
      <w:tblPr>
        <w:tblStyle w:val="a5"/>
        <w:tblW w:w="9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4"/>
        <w:gridCol w:w="2554"/>
        <w:gridCol w:w="1272"/>
        <w:gridCol w:w="1280"/>
        <w:gridCol w:w="992"/>
        <w:gridCol w:w="991"/>
        <w:gridCol w:w="992"/>
        <w:gridCol w:w="988"/>
      </w:tblGrid>
      <w:tr>
        <w:trPr/>
        <w:tc>
          <w:tcPr>
            <w:tcW w:w="534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№</w:t>
            </w: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п/п</w:t>
            </w:r>
          </w:p>
        </w:tc>
        <w:tc>
          <w:tcPr>
            <w:tcW w:w="2554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Марка автомобиля, VIN, инв. №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Государственный регистрационный номер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 xml:space="preserve">Классификация транспортного средства </w:t>
              <w:br/>
              <w:t>по категориям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Единица измерения</w:t>
            </w:r>
          </w:p>
        </w:tc>
        <w:tc>
          <w:tcPr>
            <w:tcW w:w="991" w:type="dxa"/>
            <w:tcBorders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Кол -во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Цена за единицу услуг (в т.ч. НДС)</w:t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руб.</w:t>
            </w:r>
          </w:p>
        </w:tc>
        <w:tc>
          <w:tcPr>
            <w:tcW w:w="988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Сумма (в т.ч НДС)</w:t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руб.</w:t>
            </w:r>
          </w:p>
        </w:tc>
      </w:tr>
      <w:tr>
        <w:trPr/>
        <w:tc>
          <w:tcPr>
            <w:tcW w:w="534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1</w:t>
            </w:r>
          </w:p>
        </w:tc>
        <w:tc>
          <w:tcPr>
            <w:tcW w:w="2554" w:type="dxa"/>
            <w:tcBorders/>
            <w:vAlign w:val="center"/>
          </w:tcPr>
          <w:p>
            <w:pPr>
              <w:pStyle w:val="Normal"/>
              <w:spacing w:lineRule="auto" w:line="276" w:before="0" w:after="160"/>
              <w:ind w:hanging="0" w:left="-108" w:right="-103"/>
              <w:contextualSpacing/>
              <w:jc w:val="center"/>
              <w:rPr/>
            </w:pPr>
            <w:r>
              <w:rPr>
                <w:sz w:val="20"/>
                <w:szCs w:val="20"/>
              </w:rPr>
              <w:t xml:space="preserve">Автомобиль легковой </w:t>
              <w:br/>
              <w:t>Лада Нива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-79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20"/>
                <w:szCs w:val="20"/>
                <w:lang w:val="en-US" w:eastAsia="ru-RU"/>
              </w:rPr>
              <w:t>инв.№ 101350310177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 xml:space="preserve">А 313 НЕ </w:t>
            </w:r>
            <w:r>
              <w:rPr>
                <w:rFonts w:ascii="PT Astra Serif" w:hAnsi="PT Astra Serif"/>
                <w:kern w:val="0"/>
                <w:sz w:val="20"/>
                <w:lang w:val="ru-RU" w:bidi="ar-SA"/>
              </w:rPr>
              <w:t>03</w:t>
            </w:r>
            <w:r>
              <w:rPr>
                <w:rFonts w:ascii="PT Astra Serif" w:hAnsi="PT Astra Serif"/>
                <w:kern w:val="0"/>
                <w:sz w:val="20"/>
                <w:lang w:val="en-US" w:bidi="ar-SA"/>
              </w:rPr>
              <w:t>RUS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  <w:lang w:val="en-US"/>
              </w:rPr>
            </w:pPr>
            <w:r>
              <w:rPr>
                <w:rFonts w:cs="Times New Roman" w:ascii="PT Astra Serif" w:hAnsi="PT Astra Serif"/>
                <w:sz w:val="20"/>
                <w:lang w:val="en-US"/>
              </w:rPr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  <w:lang w:val="en-US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en-US" w:bidi="ar-SA"/>
              </w:rPr>
              <w:t>М1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sz w:val="20"/>
              </w:rPr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Усл.ед.</w:t>
            </w:r>
          </w:p>
        </w:tc>
        <w:tc>
          <w:tcPr>
            <w:tcW w:w="991" w:type="dxa"/>
            <w:tcBorders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sz w:val="20"/>
              </w:rPr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kern w:val="0"/>
                <w:sz w:val="2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sz w:val="20"/>
              </w:rPr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sz w:val="20"/>
              </w:rPr>
              <w:t>1203,00</w:t>
            </w:r>
          </w:p>
        </w:tc>
        <w:tc>
          <w:tcPr>
            <w:tcW w:w="988" w:type="dxa"/>
            <w:tcBorders/>
          </w:tcPr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sz w:val="20"/>
              </w:rPr>
            </w:r>
          </w:p>
          <w:p>
            <w:pPr>
              <w:pStyle w:val="ConsPlusNormal1"/>
              <w:suppressAutoHyphens w:val="true"/>
              <w:spacing w:before="0" w:after="0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cs="Times New Roman" w:ascii="PT Astra Serif" w:hAnsi="PT Astra Serif"/>
                <w:sz w:val="20"/>
              </w:rPr>
              <w:t>1203,00</w:t>
            </w:r>
          </w:p>
        </w:tc>
      </w:tr>
    </w:tbl>
    <w:p>
      <w:pPr>
        <w:pStyle w:val="Normal"/>
        <w:jc w:val="center"/>
        <w:rPr>
          <w:rFonts w:ascii="PT Astra Serif" w:hAnsi="PT Astra Serif" w:eastAsia="Calibri" w:eastAsiaTheme="minorHAnsi"/>
          <w:lang w:eastAsia="en-US"/>
        </w:rPr>
      </w:pPr>
      <w:r>
        <w:rPr>
          <w:rFonts w:eastAsia="Calibri" w:eastAsiaTheme="minorHAnsi" w:ascii="PT Astra Serif" w:hAnsi="PT Astra Serif"/>
          <w:lang w:eastAsia="en-US"/>
        </w:rPr>
      </w:r>
    </w:p>
    <w:p>
      <w:pPr>
        <w:pStyle w:val="Normal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Таким образом, НМЦК составляет 1203</w:t>
      </w:r>
      <w:r>
        <w:rPr>
          <w:rFonts w:ascii="PT Astra Serif" w:hAnsi="PT Astra Serif"/>
          <w:shd w:fill="auto" w:val="clear"/>
        </w:rPr>
        <w:t xml:space="preserve">, 00 </w:t>
      </w:r>
      <w:bookmarkStart w:id="0" w:name="_GoBack"/>
      <w:bookmarkEnd w:id="0"/>
      <w:r>
        <w:rPr>
          <w:rFonts w:ascii="PT Astra Serif" w:hAnsi="PT Astra Serif"/>
          <w:shd w:fill="auto" w:val="clear"/>
        </w:rPr>
        <w:t>(одна тысяча двести три</w:t>
      </w:r>
      <w:r>
        <w:rPr>
          <w:rFonts w:ascii="PT Astra Serif" w:hAnsi="PT Astra Serif"/>
        </w:rPr>
        <w:t>) рубля 00 копеек.</w:t>
      </w:r>
    </w:p>
    <w:p>
      <w:pPr>
        <w:pStyle w:val="Normal"/>
        <w:tabs>
          <w:tab w:val="clear" w:pos="708"/>
          <w:tab w:val="left" w:pos="567" w:leader="none"/>
          <w:tab w:val="left" w:pos="8647" w:leader="none"/>
          <w:tab w:val="left" w:pos="9356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>Оплата осуществляется за счет средств федерального бюджета в пределах ЛБО на 2026 год.</w:t>
      </w:r>
    </w:p>
    <w:p>
      <w:pPr>
        <w:pStyle w:val="Normal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before="0" w:after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Начальник АО ФКУ БМТиВС </w:t>
      </w:r>
    </w:p>
    <w:p>
      <w:pPr>
        <w:pStyle w:val="Normal"/>
        <w:spacing w:before="0" w:after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УФСИН России по Республике Бурятия </w:t>
      </w:r>
    </w:p>
    <w:p>
      <w:pPr>
        <w:pStyle w:val="Normal"/>
        <w:spacing w:before="0" w:after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лейтенант внутренней службы                                                                              Л.Г.Гурулева             </w:t>
      </w:r>
    </w:p>
    <w:p>
      <w:pPr>
        <w:pStyle w:val="Normal"/>
        <w:spacing w:before="0" w:after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</w:t>
      </w:r>
    </w:p>
    <w:sectPr>
      <w:type w:val="nextPage"/>
      <w:pgSz w:w="11906" w:h="16838"/>
      <w:pgMar w:left="1701" w:right="850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88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f41a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c55a6c"/>
    <w:rPr>
      <w:color w:val="80808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55a6c"/>
    <w:rPr>
      <w:rFonts w:ascii="Tahoma" w:hAnsi="Tahoma" w:eastAsia="Times New Roman" w:cs="Tahoma"/>
      <w:sz w:val="16"/>
      <w:szCs w:val="16"/>
      <w:lang w:eastAsia="ru-RU"/>
    </w:rPr>
  </w:style>
  <w:style w:type="character" w:styleId="ConsPlusNormal" w:customStyle="1">
    <w:name w:val="ConsPlusNormal Знак"/>
    <w:link w:val="ConsPlusNormal1"/>
    <w:qFormat/>
    <w:locked/>
    <w:rsid w:val="00a729df"/>
    <w:rPr>
      <w:rFonts w:ascii="Calibri" w:hAnsi="Calibri" w:eastAsia="Times New Roman" w:cs="Calibri"/>
      <w:szCs w:val="20"/>
      <w:lang w:eastAsia="ru-RU"/>
    </w:rPr>
  </w:style>
  <w:style w:type="character" w:styleId="Iceouttxt1">
    <w:name w:val="iceouttxt1"/>
    <w:qFormat/>
    <w:rPr>
      <w:rFonts w:ascii="Arial" w:hAnsi="Arial" w:cs="Arial"/>
      <w:color w:val="666666"/>
      <w:sz w:val="15"/>
      <w:szCs w:val="15"/>
    </w:rPr>
  </w:style>
  <w:style w:type="character" w:styleId="Style15">
    <w:name w:val="Подзаголовок Знак"/>
    <w:qFormat/>
    <w:rPr>
      <w:rFonts w:ascii="Arial" w:hAnsi="Arial" w:eastAsia="Times New Roman" w:cs="Times New Roman"/>
      <w:color w:val="000000"/>
      <w:lang w:eastAsia="ar-SA"/>
    </w:rPr>
  </w:style>
  <w:style w:type="character" w:styleId="2">
    <w:name w:val="Заголовок 2 Знак"/>
    <w:qFormat/>
    <w:rPr>
      <w:rFonts w:ascii="Cambria" w:hAnsi="Cambria" w:cs="0"/>
      <w:color w:val="365F91"/>
      <w:sz w:val="26"/>
      <w:szCs w:val="26"/>
    </w:rPr>
  </w:style>
  <w:style w:type="character" w:styleId="1">
    <w:name w:val="Заголовок 1 Знак"/>
    <w:qFormat/>
    <w:rPr>
      <w:rFonts w:ascii="Cambria" w:hAnsi="Cambria" w:cs="0"/>
      <w:color w:val="365F91"/>
      <w:sz w:val="32"/>
      <w:szCs w:val="32"/>
    </w:rPr>
  </w:style>
  <w:style w:type="character" w:styleId="Style16">
    <w:name w:val="Нижний колонтитул Знак"/>
    <w:qFormat/>
    <w:rPr>
      <w:rFonts w:ascii="Calibri" w:hAnsi="Calibri" w:eastAsia="Calibri" w:cs="Times New Roman"/>
      <w:color w:val="000000"/>
      <w:sz w:val="24"/>
      <w:szCs w:val="24"/>
    </w:rPr>
  </w:style>
  <w:style w:type="character" w:styleId="Style17">
    <w:name w:val="Верхний колонтитул Знак"/>
    <w:qFormat/>
    <w:rPr>
      <w:rFonts w:ascii="Calibri" w:hAnsi="Calibri" w:eastAsia="Calibri" w:cs="Times New Roman"/>
      <w:color w:val="000000"/>
      <w:sz w:val="24"/>
      <w:szCs w:val="24"/>
    </w:rPr>
  </w:style>
  <w:style w:type="character" w:styleId="Style18">
    <w:name w:val="Без интервала Знак"/>
    <w:qFormat/>
    <w:rPr>
      <w:rFonts w:ascii="Times New Roman" w:hAnsi="Times New Roman" w:eastAsia="Times New Roman" w:cs="Times New Roman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rsid w:val="005f41a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f34add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55a6c"/>
    <w:pPr/>
    <w:rPr>
      <w:rFonts w:ascii="Tahoma" w:hAnsi="Tahoma" w:cs="Tahoma"/>
      <w:sz w:val="16"/>
      <w:szCs w:val="16"/>
    </w:rPr>
  </w:style>
  <w:style w:type="paragraph" w:styleId="ConsPlusNormal1" w:customStyle="1">
    <w:name w:val="ConsPlusNormal"/>
    <w:link w:val="ConsPlusNormal"/>
    <w:qFormat/>
    <w:rsid w:val="00861cd6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21">
    <w:name w:val="Обычный2"/>
    <w:qFormat/>
    <w:pPr>
      <w:widowControl w:val="false"/>
      <w:suppressAutoHyphens w:val="true"/>
      <w:bidi w:val="0"/>
      <w:spacing w:lineRule="auto" w:line="30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TitlePage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650a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9D981-80F8-4C0A-A88F-36526FF9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LibreOffice/24.2.3.2$Linux_X86_64 LibreOffice_project/420$Build-2</Application>
  <AppVersion>15.0000</AppVersion>
  <Pages>1</Pages>
  <Words>234</Words>
  <Characters>1521</Characters>
  <CharactersWithSpaces>1934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dc:description/>
  <dc:language>ru-RU</dc:language>
  <cp:lastModifiedBy/>
  <dcterms:modified xsi:type="dcterms:W3CDTF">2026-07-21T14:59:50Z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