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5EF" w:rsidRPr="009670C4" w:rsidRDefault="00826FE1" w:rsidP="00D71556">
      <w:pPr>
        <w:pStyle w:val="a3"/>
        <w:ind w:left="-142"/>
        <w:jc w:val="center"/>
        <w:rPr>
          <w:b/>
          <w:sz w:val="20"/>
          <w:szCs w:val="20"/>
        </w:rPr>
      </w:pPr>
      <w:r>
        <w:rPr>
          <w:b/>
          <w:sz w:val="20"/>
          <w:szCs w:val="20"/>
        </w:rPr>
        <w:t>Техническое задание</w:t>
      </w:r>
    </w:p>
    <w:p w:rsidR="00AE57CC" w:rsidRPr="00AF1392" w:rsidRDefault="009670C4" w:rsidP="00AF1392">
      <w:pPr>
        <w:ind w:left="-142" w:right="-142"/>
        <w:jc w:val="center"/>
        <w:rPr>
          <w:i/>
          <w:sz w:val="20"/>
          <w:szCs w:val="20"/>
        </w:rPr>
      </w:pPr>
      <w:r w:rsidRPr="00AF1392">
        <w:rPr>
          <w:i/>
          <w:sz w:val="20"/>
          <w:szCs w:val="20"/>
        </w:rPr>
        <w:t>о</w:t>
      </w:r>
      <w:r w:rsidR="00AE57CC" w:rsidRPr="00AF1392">
        <w:rPr>
          <w:i/>
          <w:sz w:val="20"/>
          <w:szCs w:val="20"/>
        </w:rPr>
        <w:t xml:space="preserve">казание услуг по </w:t>
      </w:r>
      <w:r w:rsidR="00B95A52" w:rsidRPr="00AF1392">
        <w:rPr>
          <w:i/>
          <w:sz w:val="20"/>
          <w:szCs w:val="20"/>
        </w:rPr>
        <w:t>проведению технического</w:t>
      </w:r>
      <w:r w:rsidR="00EC5FFF" w:rsidRPr="00AF1392">
        <w:rPr>
          <w:i/>
          <w:sz w:val="20"/>
          <w:szCs w:val="20"/>
        </w:rPr>
        <w:t xml:space="preserve"> освидетельствования </w:t>
      </w:r>
      <w:r w:rsidR="00AE57CC" w:rsidRPr="00AF1392">
        <w:rPr>
          <w:i/>
          <w:sz w:val="20"/>
          <w:szCs w:val="20"/>
        </w:rPr>
        <w:t>лифтов</w:t>
      </w:r>
    </w:p>
    <w:p w:rsidR="00D55A4E" w:rsidRPr="009670C4" w:rsidRDefault="00696C4B" w:rsidP="00730D31">
      <w:pPr>
        <w:pStyle w:val="a3"/>
        <w:ind w:left="-142" w:right="-142"/>
        <w:jc w:val="both"/>
        <w:rPr>
          <w:sz w:val="20"/>
          <w:szCs w:val="20"/>
        </w:rPr>
      </w:pPr>
      <w:r>
        <w:rPr>
          <w:sz w:val="20"/>
          <w:szCs w:val="20"/>
        </w:rPr>
        <w:t xml:space="preserve">       </w:t>
      </w:r>
      <w:r w:rsidR="008732EE" w:rsidRPr="009670C4">
        <w:rPr>
          <w:sz w:val="20"/>
          <w:szCs w:val="20"/>
        </w:rPr>
        <w:t xml:space="preserve">Услуги оказываются </w:t>
      </w:r>
      <w:r w:rsidR="001A2DE1" w:rsidRPr="009670C4">
        <w:rPr>
          <w:sz w:val="20"/>
          <w:szCs w:val="20"/>
        </w:rPr>
        <w:t>в полном объеме в соответствии с требованиями федеральных законов и иных нормативных правовых актов РФ, Технического регламента Таможенного союза ТР ТС 011/2011 "Безопасность лифтов" (утв. решением Комиссии Таможенного союза от 18 октября 2011 г. N 824)</w:t>
      </w:r>
      <w:r w:rsidR="008732EE" w:rsidRPr="009670C4">
        <w:rPr>
          <w:sz w:val="20"/>
          <w:szCs w:val="20"/>
        </w:rPr>
        <w:t>, ГОСТ Р 53783-2010.</w:t>
      </w:r>
      <w:r w:rsidR="00D55A4E" w:rsidRPr="009670C4">
        <w:rPr>
          <w:sz w:val="20"/>
          <w:szCs w:val="20"/>
        </w:rPr>
        <w:t xml:space="preserve"> </w:t>
      </w:r>
    </w:p>
    <w:p w:rsidR="009B34C5" w:rsidRPr="009670C4" w:rsidRDefault="009B34C5" w:rsidP="00730D31">
      <w:pPr>
        <w:pStyle w:val="a3"/>
        <w:ind w:left="-142" w:right="-142"/>
        <w:jc w:val="both"/>
        <w:rPr>
          <w:sz w:val="20"/>
          <w:szCs w:val="20"/>
        </w:rPr>
      </w:pPr>
      <w:r w:rsidRPr="009670C4">
        <w:rPr>
          <w:sz w:val="20"/>
          <w:szCs w:val="20"/>
        </w:rPr>
        <w:t>- проверка соблюдения требований безопасности, установленных техническим регламентом;</w:t>
      </w:r>
    </w:p>
    <w:p w:rsidR="009B34C5" w:rsidRPr="009670C4" w:rsidRDefault="009B34C5" w:rsidP="00730D31">
      <w:pPr>
        <w:pStyle w:val="a3"/>
        <w:ind w:left="-142" w:right="-142"/>
        <w:jc w:val="both"/>
        <w:rPr>
          <w:sz w:val="20"/>
          <w:szCs w:val="20"/>
        </w:rPr>
      </w:pPr>
      <w:r w:rsidRPr="009670C4">
        <w:rPr>
          <w:sz w:val="20"/>
          <w:szCs w:val="20"/>
        </w:rPr>
        <w:t>- визуальный и измерительный контроль установки оборудования лифтов;</w:t>
      </w:r>
    </w:p>
    <w:p w:rsidR="009B34C5" w:rsidRPr="009670C4" w:rsidRDefault="009B34C5" w:rsidP="00730D31">
      <w:pPr>
        <w:pStyle w:val="a3"/>
        <w:ind w:left="-142" w:right="-142"/>
        <w:jc w:val="both"/>
        <w:rPr>
          <w:sz w:val="20"/>
          <w:szCs w:val="20"/>
        </w:rPr>
      </w:pPr>
      <w:r w:rsidRPr="009670C4">
        <w:rPr>
          <w:sz w:val="20"/>
          <w:szCs w:val="20"/>
        </w:rPr>
        <w:t>- проверка функционирования лифта и устройств безопасности лифта;</w:t>
      </w:r>
    </w:p>
    <w:p w:rsidR="009B34C5" w:rsidRPr="009670C4" w:rsidRDefault="009B34C5" w:rsidP="00730D31">
      <w:pPr>
        <w:pStyle w:val="a3"/>
        <w:ind w:left="-142" w:right="-142"/>
        <w:jc w:val="both"/>
        <w:rPr>
          <w:sz w:val="20"/>
          <w:szCs w:val="20"/>
        </w:rPr>
      </w:pPr>
      <w:r w:rsidRPr="009670C4">
        <w:rPr>
          <w:sz w:val="20"/>
          <w:szCs w:val="20"/>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9B34C5" w:rsidRPr="009670C4" w:rsidRDefault="009B34C5" w:rsidP="00730D31">
      <w:pPr>
        <w:pStyle w:val="a3"/>
        <w:ind w:left="-142" w:right="-142"/>
        <w:jc w:val="both"/>
        <w:rPr>
          <w:sz w:val="20"/>
          <w:szCs w:val="20"/>
        </w:rPr>
      </w:pPr>
      <w:r w:rsidRPr="009670C4">
        <w:rPr>
          <w:sz w:val="20"/>
          <w:szCs w:val="20"/>
        </w:rPr>
        <w:t>- испытание сцепления тяговых элементов с канатоведущим шкивом или барабаном трения и испытание тормозной системы на лифте с электрическим приводом.</w:t>
      </w:r>
    </w:p>
    <w:p w:rsidR="00687DD0" w:rsidRPr="009670C4" w:rsidRDefault="00D55A4E" w:rsidP="00730D31">
      <w:pPr>
        <w:ind w:left="-142" w:right="-142"/>
        <w:jc w:val="both"/>
        <w:rPr>
          <w:sz w:val="20"/>
          <w:szCs w:val="20"/>
        </w:rPr>
      </w:pPr>
      <w:r w:rsidRPr="009670C4">
        <w:rPr>
          <w:sz w:val="20"/>
          <w:szCs w:val="20"/>
        </w:rPr>
        <w:t xml:space="preserve"> </w:t>
      </w:r>
      <w:r w:rsidR="004664C8" w:rsidRPr="009670C4">
        <w:rPr>
          <w:sz w:val="20"/>
          <w:szCs w:val="20"/>
        </w:rPr>
        <w:t>При оказании услуг Исполнитель обеспечивает сохранность эксплуатационной документации (паспорта лифтов, технические отчеты по испытаниям устройств защитного заземления и проверки сопротивления изоляции электрооборудования, цепей управления, сигнализации, силовой и осветительной электропроводки, протоколы измерений полного сопротивления петли «фаза-</w:t>
      </w:r>
      <w:r w:rsidR="00687DD0" w:rsidRPr="009670C4">
        <w:rPr>
          <w:sz w:val="20"/>
          <w:szCs w:val="20"/>
        </w:rPr>
        <w:t>нуль»), получаемой от Заказчика.</w:t>
      </w:r>
    </w:p>
    <w:p w:rsidR="00F97ED5" w:rsidRPr="009670C4" w:rsidRDefault="00696C4B" w:rsidP="00730D31">
      <w:pPr>
        <w:pStyle w:val="a3"/>
        <w:ind w:left="-142" w:right="-142"/>
        <w:jc w:val="both"/>
        <w:rPr>
          <w:sz w:val="20"/>
          <w:szCs w:val="20"/>
        </w:rPr>
      </w:pPr>
      <w:r>
        <w:rPr>
          <w:sz w:val="20"/>
          <w:szCs w:val="20"/>
        </w:rPr>
        <w:t xml:space="preserve">       </w:t>
      </w:r>
      <w:r w:rsidR="00F97ED5" w:rsidRPr="009670C4">
        <w:rPr>
          <w:sz w:val="20"/>
          <w:szCs w:val="20"/>
        </w:rPr>
        <w:t>Услуги оказываются Исполнителем при помощи высококвалифицированного персонала с</w:t>
      </w:r>
      <w:r w:rsidR="00220460" w:rsidRPr="009670C4">
        <w:rPr>
          <w:sz w:val="20"/>
          <w:szCs w:val="20"/>
        </w:rPr>
        <w:t xml:space="preserve"> </w:t>
      </w:r>
      <w:r w:rsidR="00F97ED5" w:rsidRPr="009670C4">
        <w:rPr>
          <w:sz w:val="20"/>
          <w:szCs w:val="20"/>
        </w:rPr>
        <w:t>соблюдением правил охраны труда, окружающей среды и техники безопасности</w:t>
      </w:r>
      <w:r w:rsidR="0039691B" w:rsidRPr="009670C4">
        <w:rPr>
          <w:sz w:val="20"/>
          <w:szCs w:val="20"/>
        </w:rPr>
        <w:t>, инструкцией завода-изготовителя или эксплуатационной документацией, а также требованиями действующего законодательства, предъявляемыми к оказываемым услугам</w:t>
      </w:r>
      <w:r w:rsidR="00F97ED5" w:rsidRPr="009670C4">
        <w:rPr>
          <w:sz w:val="20"/>
          <w:szCs w:val="20"/>
        </w:rPr>
        <w:t>.</w:t>
      </w:r>
    </w:p>
    <w:p w:rsidR="00B8686C" w:rsidRPr="009670C4" w:rsidRDefault="00696C4B" w:rsidP="00730D31">
      <w:pPr>
        <w:pStyle w:val="a3"/>
        <w:ind w:left="-142" w:right="-142"/>
        <w:jc w:val="both"/>
        <w:rPr>
          <w:sz w:val="20"/>
          <w:szCs w:val="20"/>
        </w:rPr>
      </w:pPr>
      <w:r>
        <w:rPr>
          <w:sz w:val="20"/>
          <w:szCs w:val="20"/>
        </w:rPr>
        <w:t xml:space="preserve">                -  в</w:t>
      </w:r>
      <w:r w:rsidR="00B8686C" w:rsidRPr="009670C4">
        <w:rPr>
          <w:sz w:val="20"/>
          <w:szCs w:val="20"/>
        </w:rPr>
        <w:t xml:space="preserve"> случае повреждения действующих инженерных коммуникаций при оказании услуг Исполнитель обязан восстановить поврежденную сеть за свой счет в оговоренные с Заказчиком сроки.</w:t>
      </w:r>
    </w:p>
    <w:p w:rsidR="002D4F70" w:rsidRPr="009670C4" w:rsidRDefault="00696C4B" w:rsidP="00730D31">
      <w:pPr>
        <w:pStyle w:val="a3"/>
        <w:autoSpaceDE w:val="0"/>
        <w:autoSpaceDN w:val="0"/>
        <w:adjustRightInd w:val="0"/>
        <w:spacing w:before="240"/>
        <w:ind w:left="-142" w:right="-142"/>
        <w:jc w:val="both"/>
        <w:rPr>
          <w:sz w:val="20"/>
          <w:szCs w:val="20"/>
        </w:rPr>
      </w:pPr>
      <w:r w:rsidRPr="00FB487B">
        <w:rPr>
          <w:b/>
          <w:color w:val="FF0000"/>
          <w:sz w:val="20"/>
          <w:szCs w:val="20"/>
        </w:rPr>
        <w:t xml:space="preserve">                - о</w:t>
      </w:r>
      <w:r w:rsidR="000A45E3" w:rsidRPr="00FB487B">
        <w:rPr>
          <w:b/>
          <w:color w:val="FF0000"/>
          <w:sz w:val="20"/>
          <w:szCs w:val="20"/>
        </w:rPr>
        <w:t xml:space="preserve">бязательное наличие у Исполнителя </w:t>
      </w:r>
      <w:r w:rsidR="009515E7" w:rsidRPr="00FB487B">
        <w:rPr>
          <w:b/>
          <w:color w:val="FF0000"/>
          <w:sz w:val="20"/>
          <w:szCs w:val="20"/>
        </w:rPr>
        <w:t xml:space="preserve">действующего аттестата аккредитации </w:t>
      </w:r>
      <w:r w:rsidR="009515E7" w:rsidRPr="009670C4">
        <w:rPr>
          <w:sz w:val="20"/>
          <w:szCs w:val="20"/>
        </w:rPr>
        <w:t>испытательной лаборатории (центра), выданного Федеральной службой по аккредитации, для проведения работ по подтверждению соответствия лифтов требованиям технического регламента «О безопасности лифтов», утв. Решением Комиссии Таможенного Союза от 18.10.2011 г. №</w:t>
      </w:r>
      <w:r w:rsidR="004342DE" w:rsidRPr="009670C4">
        <w:rPr>
          <w:sz w:val="20"/>
          <w:szCs w:val="20"/>
        </w:rPr>
        <w:t xml:space="preserve"> </w:t>
      </w:r>
      <w:r w:rsidR="009515E7" w:rsidRPr="009670C4">
        <w:rPr>
          <w:sz w:val="20"/>
          <w:szCs w:val="20"/>
        </w:rPr>
        <w:t xml:space="preserve">824 и ГОСТ Р 53783-2010 «Лифты. Правила и методы оценки соответствия лифтов в период эксплуатации». Область аккредитации испытательной лаборатории (наименование объекта: Лифты). В подтверждение соответствия данному требованию </w:t>
      </w:r>
      <w:r w:rsidR="004342DE" w:rsidRPr="009670C4">
        <w:rPr>
          <w:sz w:val="20"/>
          <w:szCs w:val="20"/>
        </w:rPr>
        <w:t>Исполнитель</w:t>
      </w:r>
      <w:r w:rsidR="009515E7" w:rsidRPr="009670C4">
        <w:rPr>
          <w:sz w:val="20"/>
          <w:szCs w:val="20"/>
        </w:rPr>
        <w:t xml:space="preserve"> предоставляет в составе заявки на участие в закупке: действующий аттестат аккредитации испытательной лаборатории (центра), выданный Федеральной службой по аккредитации, для проведения работ по подтверждению соответствия лифтов требованиям технического регламента «О безопасности лифтов», утв. Решением Комиссии Таможенного Союза от 18.10.2011 г. №824 и ГОСТ Р 53783-2010 «Лифты. Правила и методы оценки соответствия лифтов в период эксплуатации, - область аккредитации испытательной лаборатории (наименование объекта: Лифты).</w:t>
      </w:r>
    </w:p>
    <w:p w:rsidR="00B4317E" w:rsidRPr="009670C4" w:rsidRDefault="005B79C9" w:rsidP="00730D31">
      <w:pPr>
        <w:pStyle w:val="a3"/>
        <w:ind w:left="-142" w:right="-142"/>
        <w:rPr>
          <w:rFonts w:eastAsiaTheme="minorHAnsi"/>
          <w:sz w:val="20"/>
          <w:szCs w:val="20"/>
          <w:lang w:eastAsia="en-US"/>
        </w:rPr>
      </w:pPr>
      <w:r w:rsidRPr="00730D31">
        <w:rPr>
          <w:rFonts w:eastAsiaTheme="minorHAnsi"/>
          <w:b/>
          <w:sz w:val="20"/>
          <w:szCs w:val="20"/>
          <w:lang w:eastAsia="en-US"/>
        </w:rPr>
        <w:t>Срок оказания услуг</w:t>
      </w:r>
      <w:r w:rsidRPr="009670C4">
        <w:rPr>
          <w:rFonts w:eastAsiaTheme="minorHAnsi"/>
          <w:sz w:val="20"/>
          <w:szCs w:val="20"/>
          <w:lang w:eastAsia="en-US"/>
        </w:rPr>
        <w:t xml:space="preserve">: </w:t>
      </w:r>
      <w:r w:rsidR="009B34C5" w:rsidRPr="009670C4">
        <w:rPr>
          <w:rFonts w:eastAsiaTheme="minorHAnsi"/>
          <w:sz w:val="20"/>
          <w:szCs w:val="20"/>
          <w:lang w:eastAsia="en-US"/>
        </w:rPr>
        <w:t xml:space="preserve">с даты заключения контракта в течение </w:t>
      </w:r>
      <w:r w:rsidR="004342DE" w:rsidRPr="009670C4">
        <w:rPr>
          <w:rFonts w:eastAsiaTheme="minorHAnsi"/>
          <w:sz w:val="20"/>
          <w:szCs w:val="20"/>
          <w:lang w:eastAsia="en-US"/>
        </w:rPr>
        <w:t>3</w:t>
      </w:r>
      <w:r w:rsidR="009B34C5" w:rsidRPr="009670C4">
        <w:rPr>
          <w:rFonts w:eastAsiaTheme="minorHAnsi"/>
          <w:sz w:val="20"/>
          <w:szCs w:val="20"/>
          <w:lang w:eastAsia="en-US"/>
        </w:rPr>
        <w:t>0 календарных дней.</w:t>
      </w:r>
    </w:p>
    <w:p w:rsidR="008C51CC" w:rsidRPr="009670C4" w:rsidRDefault="00884B7E" w:rsidP="00D71556">
      <w:pPr>
        <w:pStyle w:val="a3"/>
        <w:overflowPunct w:val="0"/>
        <w:autoSpaceDE w:val="0"/>
        <w:autoSpaceDN w:val="0"/>
        <w:adjustRightInd w:val="0"/>
        <w:ind w:left="-142"/>
        <w:jc w:val="center"/>
        <w:textAlignment w:val="baseline"/>
        <w:rPr>
          <w:b/>
          <w:sz w:val="20"/>
          <w:szCs w:val="20"/>
        </w:rPr>
      </w:pPr>
      <w:r w:rsidRPr="009670C4">
        <w:rPr>
          <w:b/>
          <w:sz w:val="20"/>
          <w:szCs w:val="20"/>
        </w:rPr>
        <w:t>Перечень лифтов, подлежащих техническому освидетельствованию:</w:t>
      </w:r>
    </w:p>
    <w:tbl>
      <w:tblPr>
        <w:tblStyle w:val="a5"/>
        <w:tblW w:w="10343" w:type="dxa"/>
        <w:tblInd w:w="-142" w:type="dxa"/>
        <w:tblLook w:val="04A0" w:firstRow="1" w:lastRow="0" w:firstColumn="1" w:lastColumn="0" w:noHBand="0" w:noVBand="1"/>
      </w:tblPr>
      <w:tblGrid>
        <w:gridCol w:w="540"/>
        <w:gridCol w:w="2716"/>
        <w:gridCol w:w="709"/>
        <w:gridCol w:w="1134"/>
        <w:gridCol w:w="1539"/>
        <w:gridCol w:w="722"/>
        <w:gridCol w:w="1424"/>
        <w:gridCol w:w="1559"/>
      </w:tblGrid>
      <w:tr w:rsidR="008C51CC" w:rsidRPr="009670C4" w:rsidTr="00E06828">
        <w:tc>
          <w:tcPr>
            <w:tcW w:w="540" w:type="dxa"/>
          </w:tcPr>
          <w:p w:rsidR="008C51CC" w:rsidRPr="009670C4" w:rsidRDefault="008C51CC" w:rsidP="008C51CC">
            <w:pPr>
              <w:pStyle w:val="a3"/>
              <w:overflowPunct w:val="0"/>
              <w:autoSpaceDE w:val="0"/>
              <w:autoSpaceDN w:val="0"/>
              <w:adjustRightInd w:val="0"/>
              <w:ind w:left="0"/>
              <w:jc w:val="center"/>
              <w:textAlignment w:val="baseline"/>
              <w:rPr>
                <w:sz w:val="20"/>
                <w:szCs w:val="20"/>
              </w:rPr>
            </w:pPr>
            <w:r w:rsidRPr="009670C4">
              <w:rPr>
                <w:sz w:val="20"/>
                <w:szCs w:val="20"/>
              </w:rPr>
              <w:t>№</w:t>
            </w:r>
          </w:p>
          <w:p w:rsidR="008C51CC" w:rsidRPr="009670C4" w:rsidRDefault="008C51CC" w:rsidP="008C51CC">
            <w:pPr>
              <w:pStyle w:val="a3"/>
              <w:overflowPunct w:val="0"/>
              <w:autoSpaceDE w:val="0"/>
              <w:autoSpaceDN w:val="0"/>
              <w:adjustRightInd w:val="0"/>
              <w:ind w:left="0"/>
              <w:jc w:val="center"/>
              <w:textAlignment w:val="baseline"/>
              <w:rPr>
                <w:sz w:val="20"/>
                <w:szCs w:val="20"/>
              </w:rPr>
            </w:pPr>
            <w:r w:rsidRPr="009670C4">
              <w:rPr>
                <w:sz w:val="20"/>
                <w:szCs w:val="20"/>
              </w:rPr>
              <w:t>п/п</w:t>
            </w:r>
          </w:p>
        </w:tc>
        <w:tc>
          <w:tcPr>
            <w:tcW w:w="2716" w:type="dxa"/>
          </w:tcPr>
          <w:p w:rsidR="008C51CC" w:rsidRPr="009670C4" w:rsidRDefault="008C51CC" w:rsidP="008C51CC">
            <w:pPr>
              <w:pStyle w:val="a3"/>
              <w:overflowPunct w:val="0"/>
              <w:autoSpaceDE w:val="0"/>
              <w:autoSpaceDN w:val="0"/>
              <w:adjustRightInd w:val="0"/>
              <w:ind w:left="0"/>
              <w:jc w:val="center"/>
              <w:textAlignment w:val="baseline"/>
              <w:rPr>
                <w:sz w:val="20"/>
                <w:szCs w:val="20"/>
              </w:rPr>
            </w:pPr>
            <w:r w:rsidRPr="009670C4">
              <w:rPr>
                <w:bCs/>
                <w:color w:val="000000"/>
                <w:sz w:val="20"/>
                <w:szCs w:val="20"/>
              </w:rPr>
              <w:t>Тип лифта</w:t>
            </w:r>
          </w:p>
        </w:tc>
        <w:tc>
          <w:tcPr>
            <w:tcW w:w="709" w:type="dxa"/>
          </w:tcPr>
          <w:p w:rsidR="008C51CC" w:rsidRPr="009670C4" w:rsidRDefault="008C51CC" w:rsidP="008C51CC">
            <w:pPr>
              <w:pStyle w:val="a3"/>
              <w:overflowPunct w:val="0"/>
              <w:autoSpaceDE w:val="0"/>
              <w:autoSpaceDN w:val="0"/>
              <w:adjustRightInd w:val="0"/>
              <w:ind w:left="0"/>
              <w:jc w:val="center"/>
              <w:textAlignment w:val="baseline"/>
              <w:rPr>
                <w:sz w:val="20"/>
                <w:szCs w:val="20"/>
              </w:rPr>
            </w:pPr>
            <w:r w:rsidRPr="009670C4">
              <w:rPr>
                <w:sz w:val="20"/>
                <w:szCs w:val="20"/>
              </w:rPr>
              <w:t>ГП</w:t>
            </w:r>
          </w:p>
          <w:p w:rsidR="008C51CC" w:rsidRPr="009670C4" w:rsidRDefault="008C51CC" w:rsidP="008C51CC">
            <w:pPr>
              <w:pStyle w:val="a3"/>
              <w:overflowPunct w:val="0"/>
              <w:autoSpaceDE w:val="0"/>
              <w:autoSpaceDN w:val="0"/>
              <w:adjustRightInd w:val="0"/>
              <w:ind w:left="0"/>
              <w:jc w:val="center"/>
              <w:textAlignment w:val="baseline"/>
              <w:rPr>
                <w:sz w:val="20"/>
                <w:szCs w:val="20"/>
              </w:rPr>
            </w:pPr>
            <w:r w:rsidRPr="009670C4">
              <w:rPr>
                <w:sz w:val="20"/>
                <w:szCs w:val="20"/>
              </w:rPr>
              <w:t>кг</w:t>
            </w:r>
          </w:p>
        </w:tc>
        <w:tc>
          <w:tcPr>
            <w:tcW w:w="1134" w:type="dxa"/>
          </w:tcPr>
          <w:p w:rsidR="008C51CC" w:rsidRPr="009670C4" w:rsidRDefault="008C51CC" w:rsidP="008C51CC">
            <w:pPr>
              <w:pStyle w:val="a3"/>
              <w:overflowPunct w:val="0"/>
              <w:autoSpaceDE w:val="0"/>
              <w:autoSpaceDN w:val="0"/>
              <w:adjustRightInd w:val="0"/>
              <w:ind w:left="0"/>
              <w:jc w:val="center"/>
              <w:textAlignment w:val="baseline"/>
              <w:rPr>
                <w:sz w:val="20"/>
                <w:szCs w:val="20"/>
              </w:rPr>
            </w:pPr>
            <w:r w:rsidRPr="009670C4">
              <w:rPr>
                <w:sz w:val="20"/>
                <w:szCs w:val="20"/>
              </w:rPr>
              <w:t>Кол-во</w:t>
            </w:r>
          </w:p>
          <w:p w:rsidR="008C51CC" w:rsidRPr="009670C4" w:rsidRDefault="008C51CC" w:rsidP="008C51CC">
            <w:pPr>
              <w:pStyle w:val="a3"/>
              <w:overflowPunct w:val="0"/>
              <w:autoSpaceDE w:val="0"/>
              <w:autoSpaceDN w:val="0"/>
              <w:adjustRightInd w:val="0"/>
              <w:ind w:left="0"/>
              <w:jc w:val="center"/>
              <w:textAlignment w:val="baseline"/>
              <w:rPr>
                <w:sz w:val="20"/>
                <w:szCs w:val="20"/>
              </w:rPr>
            </w:pPr>
            <w:r w:rsidRPr="009670C4">
              <w:rPr>
                <w:sz w:val="20"/>
                <w:szCs w:val="20"/>
              </w:rPr>
              <w:t>остановок</w:t>
            </w:r>
          </w:p>
        </w:tc>
        <w:tc>
          <w:tcPr>
            <w:tcW w:w="1539" w:type="dxa"/>
          </w:tcPr>
          <w:p w:rsidR="008C51CC" w:rsidRPr="009670C4" w:rsidRDefault="008C51CC" w:rsidP="008C51CC">
            <w:pPr>
              <w:pStyle w:val="a3"/>
              <w:overflowPunct w:val="0"/>
              <w:autoSpaceDE w:val="0"/>
              <w:autoSpaceDN w:val="0"/>
              <w:adjustRightInd w:val="0"/>
              <w:ind w:left="0"/>
              <w:jc w:val="center"/>
              <w:textAlignment w:val="baseline"/>
              <w:rPr>
                <w:sz w:val="20"/>
                <w:szCs w:val="20"/>
              </w:rPr>
            </w:pPr>
            <w:r w:rsidRPr="009670C4">
              <w:rPr>
                <w:bCs/>
                <w:color w:val="000000"/>
                <w:sz w:val="20"/>
                <w:szCs w:val="20"/>
              </w:rPr>
              <w:t>Тип привода дверей</w:t>
            </w:r>
          </w:p>
        </w:tc>
        <w:tc>
          <w:tcPr>
            <w:tcW w:w="722" w:type="dxa"/>
          </w:tcPr>
          <w:p w:rsidR="008C51CC" w:rsidRPr="009670C4" w:rsidRDefault="008C51CC" w:rsidP="008C51CC">
            <w:pPr>
              <w:pStyle w:val="a3"/>
              <w:overflowPunct w:val="0"/>
              <w:autoSpaceDE w:val="0"/>
              <w:autoSpaceDN w:val="0"/>
              <w:adjustRightInd w:val="0"/>
              <w:ind w:left="0"/>
              <w:jc w:val="center"/>
              <w:textAlignment w:val="baseline"/>
              <w:rPr>
                <w:sz w:val="20"/>
                <w:szCs w:val="20"/>
              </w:rPr>
            </w:pPr>
            <w:r w:rsidRPr="009670C4">
              <w:rPr>
                <w:sz w:val="20"/>
                <w:szCs w:val="20"/>
              </w:rPr>
              <w:t>Год</w:t>
            </w:r>
          </w:p>
          <w:p w:rsidR="008C51CC" w:rsidRPr="009670C4" w:rsidRDefault="008C51CC" w:rsidP="008C51CC">
            <w:pPr>
              <w:pStyle w:val="a3"/>
              <w:overflowPunct w:val="0"/>
              <w:autoSpaceDE w:val="0"/>
              <w:autoSpaceDN w:val="0"/>
              <w:adjustRightInd w:val="0"/>
              <w:ind w:left="0"/>
              <w:jc w:val="center"/>
              <w:textAlignment w:val="baseline"/>
              <w:rPr>
                <w:sz w:val="20"/>
                <w:szCs w:val="20"/>
              </w:rPr>
            </w:pPr>
            <w:r w:rsidRPr="009670C4">
              <w:rPr>
                <w:sz w:val="20"/>
                <w:szCs w:val="20"/>
              </w:rPr>
              <w:t>изгот.</w:t>
            </w:r>
          </w:p>
        </w:tc>
        <w:tc>
          <w:tcPr>
            <w:tcW w:w="1424" w:type="dxa"/>
          </w:tcPr>
          <w:p w:rsidR="008C51CC" w:rsidRPr="009670C4" w:rsidRDefault="008C51CC" w:rsidP="008C51CC">
            <w:pPr>
              <w:pStyle w:val="a3"/>
              <w:overflowPunct w:val="0"/>
              <w:autoSpaceDE w:val="0"/>
              <w:autoSpaceDN w:val="0"/>
              <w:adjustRightInd w:val="0"/>
              <w:ind w:left="0"/>
              <w:jc w:val="center"/>
              <w:textAlignment w:val="baseline"/>
              <w:rPr>
                <w:sz w:val="20"/>
                <w:szCs w:val="20"/>
              </w:rPr>
            </w:pPr>
            <w:r w:rsidRPr="009670C4">
              <w:rPr>
                <w:bCs/>
                <w:color w:val="000000"/>
                <w:sz w:val="20"/>
                <w:szCs w:val="20"/>
              </w:rPr>
              <w:t>Ввод в эксплуатацию</w:t>
            </w:r>
          </w:p>
        </w:tc>
        <w:tc>
          <w:tcPr>
            <w:tcW w:w="1559" w:type="dxa"/>
          </w:tcPr>
          <w:p w:rsidR="008C51CC" w:rsidRPr="009670C4" w:rsidRDefault="008C51CC" w:rsidP="008C51CC">
            <w:pPr>
              <w:pStyle w:val="a3"/>
              <w:overflowPunct w:val="0"/>
              <w:autoSpaceDE w:val="0"/>
              <w:autoSpaceDN w:val="0"/>
              <w:adjustRightInd w:val="0"/>
              <w:ind w:left="0"/>
              <w:jc w:val="center"/>
              <w:textAlignment w:val="baseline"/>
              <w:rPr>
                <w:color w:val="000000"/>
                <w:sz w:val="20"/>
                <w:szCs w:val="20"/>
              </w:rPr>
            </w:pPr>
            <w:r w:rsidRPr="009670C4">
              <w:rPr>
                <w:color w:val="000000"/>
                <w:sz w:val="20"/>
                <w:szCs w:val="20"/>
              </w:rPr>
              <w:t>Зав. номер</w:t>
            </w:r>
          </w:p>
          <w:p w:rsidR="008C51CC" w:rsidRPr="009670C4" w:rsidRDefault="008C51CC" w:rsidP="008C51CC">
            <w:pPr>
              <w:pStyle w:val="a3"/>
              <w:overflowPunct w:val="0"/>
              <w:autoSpaceDE w:val="0"/>
              <w:autoSpaceDN w:val="0"/>
              <w:adjustRightInd w:val="0"/>
              <w:ind w:left="0"/>
              <w:jc w:val="center"/>
              <w:textAlignment w:val="baseline"/>
              <w:rPr>
                <w:sz w:val="20"/>
                <w:szCs w:val="20"/>
              </w:rPr>
            </w:pPr>
            <w:r w:rsidRPr="009670C4">
              <w:rPr>
                <w:color w:val="000000"/>
                <w:sz w:val="20"/>
                <w:szCs w:val="20"/>
              </w:rPr>
              <w:t xml:space="preserve">производитель   </w:t>
            </w:r>
          </w:p>
        </w:tc>
      </w:tr>
      <w:tr w:rsidR="008C51CC" w:rsidRPr="009670C4" w:rsidTr="00E06828">
        <w:tc>
          <w:tcPr>
            <w:tcW w:w="540" w:type="dxa"/>
          </w:tcPr>
          <w:p w:rsidR="008C51CC" w:rsidRPr="009670C4" w:rsidRDefault="00B63413" w:rsidP="008C51CC">
            <w:pPr>
              <w:pStyle w:val="a3"/>
              <w:overflowPunct w:val="0"/>
              <w:autoSpaceDE w:val="0"/>
              <w:autoSpaceDN w:val="0"/>
              <w:adjustRightInd w:val="0"/>
              <w:ind w:left="0"/>
              <w:jc w:val="center"/>
              <w:textAlignment w:val="baseline"/>
              <w:rPr>
                <w:sz w:val="20"/>
                <w:szCs w:val="20"/>
              </w:rPr>
            </w:pPr>
            <w:r w:rsidRPr="009670C4">
              <w:rPr>
                <w:sz w:val="20"/>
                <w:szCs w:val="20"/>
              </w:rPr>
              <w:t>1</w:t>
            </w:r>
          </w:p>
        </w:tc>
        <w:tc>
          <w:tcPr>
            <w:tcW w:w="2716" w:type="dxa"/>
            <w:tcBorders>
              <w:top w:val="nil"/>
              <w:left w:val="nil"/>
              <w:bottom w:val="single" w:sz="4" w:space="0" w:color="auto"/>
              <w:right w:val="single" w:sz="4" w:space="0" w:color="auto"/>
            </w:tcBorders>
            <w:shd w:val="clear" w:color="auto" w:fill="auto"/>
            <w:vAlign w:val="center"/>
          </w:tcPr>
          <w:p w:rsidR="008C51CC" w:rsidRPr="009670C4" w:rsidRDefault="00B63413" w:rsidP="00E06828">
            <w:pPr>
              <w:ind w:left="-85"/>
              <w:rPr>
                <w:sz w:val="20"/>
                <w:szCs w:val="20"/>
                <w:lang w:val="en-US"/>
              </w:rPr>
            </w:pPr>
            <w:r w:rsidRPr="009670C4">
              <w:rPr>
                <w:sz w:val="20"/>
                <w:szCs w:val="20"/>
              </w:rPr>
              <w:t>П</w:t>
            </w:r>
            <w:r w:rsidR="008C51CC" w:rsidRPr="009670C4">
              <w:rPr>
                <w:sz w:val="20"/>
                <w:szCs w:val="20"/>
              </w:rPr>
              <w:t xml:space="preserve">ассажирский </w:t>
            </w:r>
            <w:r w:rsidR="00E06828" w:rsidRPr="009670C4">
              <w:rPr>
                <w:sz w:val="20"/>
                <w:szCs w:val="20"/>
                <w:lang w:val="en-US"/>
              </w:rPr>
              <w:t>HAS 140S</w:t>
            </w:r>
          </w:p>
        </w:tc>
        <w:tc>
          <w:tcPr>
            <w:tcW w:w="709" w:type="dxa"/>
          </w:tcPr>
          <w:p w:rsidR="008C51CC" w:rsidRPr="009670C4" w:rsidRDefault="00B63413" w:rsidP="00B63413">
            <w:pPr>
              <w:pStyle w:val="a3"/>
              <w:overflowPunct w:val="0"/>
              <w:autoSpaceDE w:val="0"/>
              <w:autoSpaceDN w:val="0"/>
              <w:adjustRightInd w:val="0"/>
              <w:ind w:left="0"/>
              <w:jc w:val="center"/>
              <w:textAlignment w:val="baseline"/>
              <w:rPr>
                <w:sz w:val="20"/>
                <w:szCs w:val="20"/>
              </w:rPr>
            </w:pPr>
            <w:r w:rsidRPr="009670C4">
              <w:rPr>
                <w:sz w:val="20"/>
                <w:szCs w:val="20"/>
              </w:rPr>
              <w:t>600</w:t>
            </w:r>
          </w:p>
        </w:tc>
        <w:tc>
          <w:tcPr>
            <w:tcW w:w="1134" w:type="dxa"/>
          </w:tcPr>
          <w:p w:rsidR="008C51CC" w:rsidRPr="009670C4" w:rsidRDefault="00B63413" w:rsidP="008C51CC">
            <w:pPr>
              <w:pStyle w:val="a3"/>
              <w:overflowPunct w:val="0"/>
              <w:autoSpaceDE w:val="0"/>
              <w:autoSpaceDN w:val="0"/>
              <w:adjustRightInd w:val="0"/>
              <w:ind w:left="0"/>
              <w:jc w:val="center"/>
              <w:textAlignment w:val="baseline"/>
              <w:rPr>
                <w:sz w:val="20"/>
                <w:szCs w:val="20"/>
              </w:rPr>
            </w:pPr>
            <w:r w:rsidRPr="009670C4">
              <w:rPr>
                <w:sz w:val="20"/>
                <w:szCs w:val="20"/>
              </w:rPr>
              <w:t>8</w:t>
            </w:r>
          </w:p>
        </w:tc>
        <w:tc>
          <w:tcPr>
            <w:tcW w:w="1539" w:type="dxa"/>
            <w:tcBorders>
              <w:top w:val="nil"/>
              <w:left w:val="nil"/>
              <w:bottom w:val="single" w:sz="4" w:space="0" w:color="auto"/>
              <w:right w:val="single" w:sz="4" w:space="0" w:color="auto"/>
            </w:tcBorders>
            <w:shd w:val="clear" w:color="auto" w:fill="auto"/>
            <w:vAlign w:val="center"/>
          </w:tcPr>
          <w:p w:rsidR="008C51CC" w:rsidRPr="009670C4" w:rsidRDefault="008C51CC" w:rsidP="008C51CC">
            <w:pPr>
              <w:ind w:left="-142"/>
              <w:jc w:val="center"/>
              <w:rPr>
                <w:color w:val="000000"/>
                <w:sz w:val="20"/>
                <w:szCs w:val="20"/>
              </w:rPr>
            </w:pPr>
            <w:r w:rsidRPr="009670C4">
              <w:rPr>
                <w:color w:val="000000"/>
                <w:sz w:val="20"/>
                <w:szCs w:val="20"/>
              </w:rPr>
              <w:t>Автоматический</w:t>
            </w:r>
          </w:p>
        </w:tc>
        <w:tc>
          <w:tcPr>
            <w:tcW w:w="722" w:type="dxa"/>
          </w:tcPr>
          <w:p w:rsidR="008C51CC" w:rsidRPr="009670C4" w:rsidRDefault="00B63413" w:rsidP="008C51CC">
            <w:pPr>
              <w:pStyle w:val="a3"/>
              <w:overflowPunct w:val="0"/>
              <w:autoSpaceDE w:val="0"/>
              <w:autoSpaceDN w:val="0"/>
              <w:adjustRightInd w:val="0"/>
              <w:ind w:left="0"/>
              <w:jc w:val="center"/>
              <w:textAlignment w:val="baseline"/>
              <w:rPr>
                <w:sz w:val="20"/>
                <w:szCs w:val="20"/>
              </w:rPr>
            </w:pPr>
            <w:r w:rsidRPr="009670C4">
              <w:rPr>
                <w:sz w:val="20"/>
                <w:szCs w:val="20"/>
              </w:rPr>
              <w:t>2012</w:t>
            </w:r>
          </w:p>
        </w:tc>
        <w:tc>
          <w:tcPr>
            <w:tcW w:w="1424" w:type="dxa"/>
          </w:tcPr>
          <w:p w:rsidR="008C51CC" w:rsidRPr="009670C4" w:rsidRDefault="00B63413" w:rsidP="008C51CC">
            <w:pPr>
              <w:pStyle w:val="a3"/>
              <w:overflowPunct w:val="0"/>
              <w:autoSpaceDE w:val="0"/>
              <w:autoSpaceDN w:val="0"/>
              <w:adjustRightInd w:val="0"/>
              <w:ind w:left="0"/>
              <w:jc w:val="center"/>
              <w:textAlignment w:val="baseline"/>
              <w:rPr>
                <w:sz w:val="20"/>
                <w:szCs w:val="20"/>
              </w:rPr>
            </w:pPr>
            <w:r w:rsidRPr="009670C4">
              <w:rPr>
                <w:sz w:val="20"/>
                <w:szCs w:val="20"/>
              </w:rPr>
              <w:t>31.08.2012</w:t>
            </w:r>
          </w:p>
        </w:tc>
        <w:tc>
          <w:tcPr>
            <w:tcW w:w="1559" w:type="dxa"/>
          </w:tcPr>
          <w:p w:rsidR="008C51CC" w:rsidRPr="009670C4" w:rsidRDefault="00B63413" w:rsidP="008C51CC">
            <w:pPr>
              <w:pStyle w:val="a3"/>
              <w:overflowPunct w:val="0"/>
              <w:autoSpaceDE w:val="0"/>
              <w:autoSpaceDN w:val="0"/>
              <w:adjustRightInd w:val="0"/>
              <w:ind w:left="0"/>
              <w:jc w:val="center"/>
              <w:textAlignment w:val="baseline"/>
              <w:rPr>
                <w:sz w:val="20"/>
                <w:szCs w:val="20"/>
              </w:rPr>
            </w:pPr>
            <w:r w:rsidRPr="009670C4">
              <w:rPr>
                <w:sz w:val="20"/>
                <w:szCs w:val="20"/>
              </w:rPr>
              <w:t>КВ-097</w:t>
            </w:r>
          </w:p>
        </w:tc>
      </w:tr>
      <w:tr w:rsidR="008C51CC" w:rsidRPr="009670C4" w:rsidTr="00E06828">
        <w:tc>
          <w:tcPr>
            <w:tcW w:w="540" w:type="dxa"/>
          </w:tcPr>
          <w:p w:rsidR="008C51CC" w:rsidRPr="009670C4" w:rsidRDefault="00B63413" w:rsidP="008C51CC">
            <w:pPr>
              <w:pStyle w:val="a3"/>
              <w:overflowPunct w:val="0"/>
              <w:autoSpaceDE w:val="0"/>
              <w:autoSpaceDN w:val="0"/>
              <w:adjustRightInd w:val="0"/>
              <w:ind w:left="0"/>
              <w:jc w:val="center"/>
              <w:textAlignment w:val="baseline"/>
              <w:rPr>
                <w:sz w:val="20"/>
                <w:szCs w:val="20"/>
              </w:rPr>
            </w:pPr>
            <w:r w:rsidRPr="009670C4">
              <w:rPr>
                <w:sz w:val="20"/>
                <w:szCs w:val="20"/>
              </w:rPr>
              <w:t>2</w:t>
            </w:r>
          </w:p>
        </w:tc>
        <w:tc>
          <w:tcPr>
            <w:tcW w:w="2716" w:type="dxa"/>
            <w:tcBorders>
              <w:top w:val="nil"/>
              <w:left w:val="nil"/>
              <w:bottom w:val="single" w:sz="4" w:space="0" w:color="auto"/>
              <w:right w:val="single" w:sz="4" w:space="0" w:color="auto"/>
            </w:tcBorders>
            <w:shd w:val="clear" w:color="auto" w:fill="auto"/>
            <w:vAlign w:val="center"/>
          </w:tcPr>
          <w:p w:rsidR="008C51CC" w:rsidRPr="009670C4" w:rsidRDefault="00B63413" w:rsidP="00E06828">
            <w:pPr>
              <w:ind w:left="-85"/>
              <w:rPr>
                <w:sz w:val="20"/>
                <w:szCs w:val="20"/>
              </w:rPr>
            </w:pPr>
            <w:r w:rsidRPr="009670C4">
              <w:rPr>
                <w:sz w:val="20"/>
                <w:szCs w:val="20"/>
              </w:rPr>
              <w:t>П</w:t>
            </w:r>
            <w:r w:rsidR="008C51CC" w:rsidRPr="009670C4">
              <w:rPr>
                <w:sz w:val="20"/>
                <w:szCs w:val="20"/>
              </w:rPr>
              <w:t xml:space="preserve">ассажирский </w:t>
            </w:r>
            <w:r w:rsidR="00E06828" w:rsidRPr="009670C4">
              <w:rPr>
                <w:sz w:val="20"/>
                <w:szCs w:val="20"/>
                <w:lang w:val="en-US"/>
              </w:rPr>
              <w:t>HAS 140S</w:t>
            </w:r>
          </w:p>
        </w:tc>
        <w:tc>
          <w:tcPr>
            <w:tcW w:w="709" w:type="dxa"/>
          </w:tcPr>
          <w:p w:rsidR="008C51CC" w:rsidRPr="009670C4" w:rsidRDefault="00B63413" w:rsidP="008C51CC">
            <w:pPr>
              <w:pStyle w:val="a3"/>
              <w:overflowPunct w:val="0"/>
              <w:autoSpaceDE w:val="0"/>
              <w:autoSpaceDN w:val="0"/>
              <w:adjustRightInd w:val="0"/>
              <w:ind w:left="0"/>
              <w:jc w:val="center"/>
              <w:textAlignment w:val="baseline"/>
              <w:rPr>
                <w:sz w:val="20"/>
                <w:szCs w:val="20"/>
              </w:rPr>
            </w:pPr>
            <w:r w:rsidRPr="009670C4">
              <w:rPr>
                <w:sz w:val="20"/>
                <w:szCs w:val="20"/>
              </w:rPr>
              <w:t>975</w:t>
            </w:r>
          </w:p>
        </w:tc>
        <w:tc>
          <w:tcPr>
            <w:tcW w:w="1134" w:type="dxa"/>
          </w:tcPr>
          <w:p w:rsidR="008C51CC" w:rsidRPr="009670C4" w:rsidRDefault="00B63413" w:rsidP="008C51CC">
            <w:pPr>
              <w:pStyle w:val="a3"/>
              <w:overflowPunct w:val="0"/>
              <w:autoSpaceDE w:val="0"/>
              <w:autoSpaceDN w:val="0"/>
              <w:adjustRightInd w:val="0"/>
              <w:ind w:left="0"/>
              <w:jc w:val="center"/>
              <w:textAlignment w:val="baseline"/>
              <w:rPr>
                <w:sz w:val="20"/>
                <w:szCs w:val="20"/>
              </w:rPr>
            </w:pPr>
            <w:r w:rsidRPr="009670C4">
              <w:rPr>
                <w:sz w:val="20"/>
                <w:szCs w:val="20"/>
              </w:rPr>
              <w:t>9</w:t>
            </w:r>
          </w:p>
        </w:tc>
        <w:tc>
          <w:tcPr>
            <w:tcW w:w="1539" w:type="dxa"/>
            <w:tcBorders>
              <w:top w:val="nil"/>
              <w:left w:val="nil"/>
              <w:bottom w:val="single" w:sz="4" w:space="0" w:color="auto"/>
              <w:right w:val="single" w:sz="4" w:space="0" w:color="auto"/>
            </w:tcBorders>
            <w:shd w:val="clear" w:color="auto" w:fill="auto"/>
            <w:vAlign w:val="center"/>
          </w:tcPr>
          <w:p w:rsidR="008C51CC" w:rsidRPr="009670C4" w:rsidRDefault="008C51CC" w:rsidP="008C51CC">
            <w:pPr>
              <w:ind w:left="-142"/>
              <w:jc w:val="center"/>
              <w:rPr>
                <w:color w:val="000000"/>
                <w:sz w:val="20"/>
                <w:szCs w:val="20"/>
              </w:rPr>
            </w:pPr>
            <w:r w:rsidRPr="009670C4">
              <w:rPr>
                <w:color w:val="000000"/>
                <w:sz w:val="20"/>
                <w:szCs w:val="20"/>
              </w:rPr>
              <w:t>Автоматический</w:t>
            </w:r>
          </w:p>
        </w:tc>
        <w:tc>
          <w:tcPr>
            <w:tcW w:w="722" w:type="dxa"/>
          </w:tcPr>
          <w:p w:rsidR="008C51CC" w:rsidRPr="009670C4" w:rsidRDefault="00B63413" w:rsidP="008C51CC">
            <w:pPr>
              <w:pStyle w:val="a3"/>
              <w:overflowPunct w:val="0"/>
              <w:autoSpaceDE w:val="0"/>
              <w:autoSpaceDN w:val="0"/>
              <w:adjustRightInd w:val="0"/>
              <w:ind w:left="0"/>
              <w:jc w:val="center"/>
              <w:textAlignment w:val="baseline"/>
              <w:rPr>
                <w:sz w:val="20"/>
                <w:szCs w:val="20"/>
              </w:rPr>
            </w:pPr>
            <w:r w:rsidRPr="009670C4">
              <w:rPr>
                <w:sz w:val="20"/>
                <w:szCs w:val="20"/>
              </w:rPr>
              <w:t>2012</w:t>
            </w:r>
          </w:p>
        </w:tc>
        <w:tc>
          <w:tcPr>
            <w:tcW w:w="1424" w:type="dxa"/>
          </w:tcPr>
          <w:p w:rsidR="008C51CC" w:rsidRPr="009670C4" w:rsidRDefault="00B63413" w:rsidP="008C51CC">
            <w:pPr>
              <w:pStyle w:val="a3"/>
              <w:overflowPunct w:val="0"/>
              <w:autoSpaceDE w:val="0"/>
              <w:autoSpaceDN w:val="0"/>
              <w:adjustRightInd w:val="0"/>
              <w:ind w:left="0"/>
              <w:jc w:val="center"/>
              <w:textAlignment w:val="baseline"/>
              <w:rPr>
                <w:sz w:val="20"/>
                <w:szCs w:val="20"/>
              </w:rPr>
            </w:pPr>
            <w:r w:rsidRPr="009670C4">
              <w:rPr>
                <w:sz w:val="20"/>
                <w:szCs w:val="20"/>
              </w:rPr>
              <w:t>31.08.2012</w:t>
            </w:r>
          </w:p>
        </w:tc>
        <w:tc>
          <w:tcPr>
            <w:tcW w:w="1559" w:type="dxa"/>
          </w:tcPr>
          <w:p w:rsidR="008C51CC" w:rsidRPr="009670C4" w:rsidRDefault="00E06828" w:rsidP="008C51CC">
            <w:pPr>
              <w:pStyle w:val="a3"/>
              <w:overflowPunct w:val="0"/>
              <w:autoSpaceDE w:val="0"/>
              <w:autoSpaceDN w:val="0"/>
              <w:adjustRightInd w:val="0"/>
              <w:ind w:left="0"/>
              <w:jc w:val="center"/>
              <w:textAlignment w:val="baseline"/>
              <w:rPr>
                <w:sz w:val="20"/>
                <w:szCs w:val="20"/>
              </w:rPr>
            </w:pPr>
            <w:r w:rsidRPr="009670C4">
              <w:rPr>
                <w:sz w:val="20"/>
                <w:szCs w:val="20"/>
              </w:rPr>
              <w:t>КВ-096</w:t>
            </w:r>
          </w:p>
        </w:tc>
      </w:tr>
    </w:tbl>
    <w:p w:rsidR="00D55A4E" w:rsidRPr="009670C4" w:rsidRDefault="00D55A4E" w:rsidP="00D71556">
      <w:pPr>
        <w:ind w:left="-142"/>
        <w:jc w:val="both"/>
        <w:rPr>
          <w:b/>
          <w:bCs/>
          <w:sz w:val="20"/>
          <w:szCs w:val="20"/>
        </w:rPr>
      </w:pPr>
      <w:r w:rsidRPr="009670C4">
        <w:rPr>
          <w:b/>
          <w:bCs/>
          <w:sz w:val="20"/>
          <w:szCs w:val="20"/>
        </w:rPr>
        <w:t xml:space="preserve"> Порядок оказания услуг:</w:t>
      </w:r>
    </w:p>
    <w:p w:rsidR="00D55A4E" w:rsidRPr="009670C4" w:rsidRDefault="00D55A4E" w:rsidP="00D71556">
      <w:pPr>
        <w:ind w:left="-142"/>
        <w:jc w:val="both"/>
        <w:rPr>
          <w:sz w:val="20"/>
          <w:szCs w:val="20"/>
        </w:rPr>
      </w:pPr>
      <w:r w:rsidRPr="009670C4">
        <w:rPr>
          <w:b/>
          <w:bCs/>
          <w:sz w:val="20"/>
          <w:szCs w:val="20"/>
        </w:rPr>
        <w:t xml:space="preserve"> </w:t>
      </w:r>
      <w:r w:rsidRPr="009670C4">
        <w:rPr>
          <w:sz w:val="20"/>
          <w:szCs w:val="20"/>
        </w:rPr>
        <w:t>Время оказания услуг с 8-</w:t>
      </w:r>
      <w:r w:rsidR="00D71556" w:rsidRPr="009670C4">
        <w:rPr>
          <w:sz w:val="20"/>
          <w:szCs w:val="20"/>
        </w:rPr>
        <w:t>3</w:t>
      </w:r>
      <w:r w:rsidRPr="009670C4">
        <w:rPr>
          <w:sz w:val="20"/>
          <w:szCs w:val="20"/>
        </w:rPr>
        <w:t>0 до 17-00 в рабочие дни. Работы не должны проводиться в выходные и праздничные дни. Увеличение продолжительности рабочего дня по согласованию с Заказчиком.</w:t>
      </w:r>
    </w:p>
    <w:p w:rsidR="00D55A4E" w:rsidRPr="009670C4" w:rsidRDefault="00D55A4E" w:rsidP="00D71556">
      <w:pPr>
        <w:ind w:left="-142"/>
        <w:jc w:val="both"/>
        <w:rPr>
          <w:sz w:val="20"/>
          <w:szCs w:val="20"/>
        </w:rPr>
      </w:pPr>
      <w:r w:rsidRPr="009670C4">
        <w:rPr>
          <w:bCs/>
          <w:sz w:val="20"/>
          <w:szCs w:val="20"/>
        </w:rPr>
        <w:t>По завершению оказания услуг Исполнитель обязан передать заказчику всю документацию по техническому освидетельствованию подъемного оборудования.</w:t>
      </w:r>
    </w:p>
    <w:p w:rsidR="00D55A4E" w:rsidRPr="009670C4" w:rsidRDefault="00D55A4E" w:rsidP="00D71556">
      <w:pPr>
        <w:ind w:left="-142"/>
        <w:jc w:val="both"/>
        <w:rPr>
          <w:sz w:val="20"/>
          <w:szCs w:val="20"/>
        </w:rPr>
      </w:pPr>
      <w:r w:rsidRPr="009670C4">
        <w:rPr>
          <w:sz w:val="20"/>
          <w:szCs w:val="20"/>
        </w:rPr>
        <w:t xml:space="preserve">Сдача и приема результатов работ осуществляется в один этап путем подписания Акта приемки услуг после оформления на каждую единицу вертикального транспорта Акта технического освидетельствования и оформления </w:t>
      </w:r>
      <w:r w:rsidRPr="009670C4">
        <w:rPr>
          <w:color w:val="000000"/>
          <w:sz w:val="20"/>
          <w:szCs w:val="20"/>
        </w:rPr>
        <w:t xml:space="preserve">записей о проведенных работах в паспортах </w:t>
      </w:r>
      <w:r w:rsidRPr="009670C4">
        <w:rPr>
          <w:bCs/>
          <w:sz w:val="20"/>
          <w:szCs w:val="20"/>
        </w:rPr>
        <w:t>подъемного оборудования</w:t>
      </w:r>
      <w:r w:rsidRPr="009670C4">
        <w:rPr>
          <w:sz w:val="20"/>
          <w:szCs w:val="20"/>
        </w:rPr>
        <w:t xml:space="preserve">. </w:t>
      </w:r>
    </w:p>
    <w:p w:rsidR="00D55A4E" w:rsidRPr="009670C4" w:rsidRDefault="00D55A4E" w:rsidP="00D71556">
      <w:pPr>
        <w:tabs>
          <w:tab w:val="left" w:pos="0"/>
        </w:tabs>
        <w:ind w:left="-142"/>
        <w:jc w:val="both"/>
        <w:rPr>
          <w:sz w:val="20"/>
          <w:szCs w:val="20"/>
        </w:rPr>
      </w:pPr>
      <w:r w:rsidRPr="009670C4">
        <w:rPr>
          <w:sz w:val="20"/>
          <w:szCs w:val="20"/>
        </w:rPr>
        <w:t>До начала работ на объекте Исполнитель предоставляет Заказчику:</w:t>
      </w:r>
    </w:p>
    <w:p w:rsidR="00D55A4E" w:rsidRPr="009670C4" w:rsidRDefault="00D55A4E" w:rsidP="00D71556">
      <w:pPr>
        <w:ind w:left="-142" w:right="-1"/>
        <w:jc w:val="both"/>
        <w:rPr>
          <w:sz w:val="20"/>
          <w:szCs w:val="20"/>
        </w:rPr>
      </w:pPr>
      <w:r w:rsidRPr="009670C4">
        <w:rPr>
          <w:sz w:val="20"/>
          <w:szCs w:val="20"/>
        </w:rPr>
        <w:t>- список аттестованного персонала, который будет задействован при оказании услуг по контракту;</w:t>
      </w:r>
    </w:p>
    <w:p w:rsidR="00D55A4E" w:rsidRPr="009670C4" w:rsidRDefault="00D55A4E" w:rsidP="00D71556">
      <w:pPr>
        <w:ind w:left="-142" w:right="-1"/>
        <w:jc w:val="both"/>
        <w:rPr>
          <w:sz w:val="20"/>
          <w:szCs w:val="20"/>
        </w:rPr>
      </w:pPr>
      <w:r w:rsidRPr="009670C4">
        <w:rPr>
          <w:sz w:val="20"/>
          <w:szCs w:val="20"/>
        </w:rPr>
        <w:t>- заверенные копии свидетельств о квалификации и удостоверений аттестованного персонала на право производства работ;</w:t>
      </w:r>
    </w:p>
    <w:p w:rsidR="00D55A4E" w:rsidRPr="009670C4" w:rsidRDefault="00D55A4E" w:rsidP="00D71556">
      <w:pPr>
        <w:tabs>
          <w:tab w:val="left" w:pos="0"/>
        </w:tabs>
        <w:ind w:left="-142"/>
        <w:jc w:val="both"/>
        <w:rPr>
          <w:sz w:val="20"/>
          <w:szCs w:val="20"/>
        </w:rPr>
      </w:pPr>
      <w:r w:rsidRPr="009670C4">
        <w:rPr>
          <w:sz w:val="20"/>
          <w:szCs w:val="20"/>
        </w:rPr>
        <w:tab/>
        <w:t>Допуск на территорию Заказчика осуществляется на основании представленных списков персонала. Замена персонала производится только после согласования и оформления им допуска Заказчиком.</w:t>
      </w:r>
    </w:p>
    <w:p w:rsidR="00D55A4E" w:rsidRPr="00893341" w:rsidRDefault="00893341" w:rsidP="00893341">
      <w:pPr>
        <w:pStyle w:val="a3"/>
        <w:overflowPunct w:val="0"/>
        <w:autoSpaceDE w:val="0"/>
        <w:autoSpaceDN w:val="0"/>
        <w:adjustRightInd w:val="0"/>
        <w:ind w:left="-142"/>
        <w:jc w:val="both"/>
        <w:textAlignment w:val="baseline"/>
        <w:rPr>
          <w:color w:val="FF0000"/>
        </w:rPr>
      </w:pPr>
      <w:r w:rsidRPr="00893341">
        <w:rPr>
          <w:b/>
          <w:color w:val="FF0000"/>
        </w:rPr>
        <w:t>К предложению обязательно приложить</w:t>
      </w:r>
      <w:r w:rsidRPr="00893341">
        <w:rPr>
          <w:color w:val="FF0000"/>
        </w:rPr>
        <w:t xml:space="preserve"> </w:t>
      </w:r>
      <w:r>
        <w:rPr>
          <w:rStyle w:val="a8"/>
          <w:color w:val="FF0000"/>
          <w:shd w:val="clear" w:color="auto" w:fill="FFFFFF"/>
        </w:rPr>
        <w:t>д</w:t>
      </w:r>
      <w:r w:rsidRPr="00893341">
        <w:rPr>
          <w:rStyle w:val="a8"/>
          <w:color w:val="FF0000"/>
          <w:shd w:val="clear" w:color="auto" w:fill="FFFFFF"/>
        </w:rPr>
        <w:t>окумен</w:t>
      </w:r>
      <w:r>
        <w:rPr>
          <w:rStyle w:val="a8"/>
          <w:color w:val="FF0000"/>
          <w:shd w:val="clear" w:color="auto" w:fill="FFFFFF"/>
        </w:rPr>
        <w:t xml:space="preserve">ты, подтверждающие квалификацию </w:t>
      </w:r>
      <w:r w:rsidRPr="00893341">
        <w:rPr>
          <w:rStyle w:val="a8"/>
          <w:color w:val="FF0000"/>
          <w:shd w:val="clear" w:color="auto" w:fill="FFFFFF"/>
        </w:rPr>
        <w:t>специалистов</w:t>
      </w:r>
    </w:p>
    <w:p w:rsidR="00D55A4E" w:rsidRPr="009670C4" w:rsidRDefault="00D55A4E" w:rsidP="00893341">
      <w:pPr>
        <w:pStyle w:val="a3"/>
        <w:overflowPunct w:val="0"/>
        <w:autoSpaceDE w:val="0"/>
        <w:autoSpaceDN w:val="0"/>
        <w:adjustRightInd w:val="0"/>
        <w:ind w:left="-142"/>
        <w:jc w:val="both"/>
        <w:textAlignment w:val="baseline"/>
        <w:rPr>
          <w:sz w:val="20"/>
          <w:szCs w:val="20"/>
        </w:rPr>
      </w:pPr>
    </w:p>
    <w:p w:rsidR="00B926E9" w:rsidRPr="009670C4" w:rsidRDefault="00B926E9" w:rsidP="00D55A4E">
      <w:pPr>
        <w:pStyle w:val="a3"/>
        <w:overflowPunct w:val="0"/>
        <w:autoSpaceDE w:val="0"/>
        <w:autoSpaceDN w:val="0"/>
        <w:adjustRightInd w:val="0"/>
        <w:ind w:left="851" w:hanging="709"/>
        <w:textAlignment w:val="baseline"/>
        <w:rPr>
          <w:sz w:val="20"/>
          <w:szCs w:val="20"/>
        </w:rPr>
      </w:pPr>
      <w:bookmarkStart w:id="0" w:name="_GoBack"/>
      <w:bookmarkEnd w:id="0"/>
    </w:p>
    <w:p w:rsidR="00B926E9" w:rsidRPr="009670C4" w:rsidRDefault="00B926E9" w:rsidP="00D55A4E">
      <w:pPr>
        <w:pStyle w:val="a3"/>
        <w:overflowPunct w:val="0"/>
        <w:autoSpaceDE w:val="0"/>
        <w:autoSpaceDN w:val="0"/>
        <w:adjustRightInd w:val="0"/>
        <w:ind w:left="851" w:hanging="709"/>
        <w:textAlignment w:val="baseline"/>
        <w:rPr>
          <w:sz w:val="20"/>
          <w:szCs w:val="20"/>
        </w:rPr>
      </w:pPr>
    </w:p>
    <w:p w:rsidR="00B926E9" w:rsidRPr="009670C4" w:rsidRDefault="00B926E9" w:rsidP="00D55A4E">
      <w:pPr>
        <w:pStyle w:val="a3"/>
        <w:overflowPunct w:val="0"/>
        <w:autoSpaceDE w:val="0"/>
        <w:autoSpaceDN w:val="0"/>
        <w:adjustRightInd w:val="0"/>
        <w:ind w:left="851" w:hanging="709"/>
        <w:textAlignment w:val="baseline"/>
        <w:rPr>
          <w:sz w:val="20"/>
          <w:szCs w:val="20"/>
        </w:rPr>
      </w:pPr>
    </w:p>
    <w:p w:rsidR="00B926E9" w:rsidRPr="009670C4" w:rsidRDefault="00B926E9" w:rsidP="00D55A4E">
      <w:pPr>
        <w:pStyle w:val="a3"/>
        <w:overflowPunct w:val="0"/>
        <w:autoSpaceDE w:val="0"/>
        <w:autoSpaceDN w:val="0"/>
        <w:adjustRightInd w:val="0"/>
        <w:ind w:left="851" w:hanging="709"/>
        <w:textAlignment w:val="baseline"/>
        <w:rPr>
          <w:sz w:val="20"/>
          <w:szCs w:val="20"/>
        </w:rPr>
      </w:pPr>
    </w:p>
    <w:p w:rsidR="00B926E9" w:rsidRPr="009670C4" w:rsidRDefault="00B926E9" w:rsidP="00D55A4E">
      <w:pPr>
        <w:pStyle w:val="a3"/>
        <w:overflowPunct w:val="0"/>
        <w:autoSpaceDE w:val="0"/>
        <w:autoSpaceDN w:val="0"/>
        <w:adjustRightInd w:val="0"/>
        <w:ind w:left="851" w:hanging="709"/>
        <w:textAlignment w:val="baseline"/>
        <w:rPr>
          <w:sz w:val="20"/>
          <w:szCs w:val="20"/>
        </w:rPr>
      </w:pPr>
    </w:p>
    <w:sectPr w:rsidR="00B926E9" w:rsidRPr="009670C4" w:rsidSect="006450B8">
      <w:pgSz w:w="11906" w:h="16838"/>
      <w:pgMar w:top="993"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62DA"/>
    <w:multiLevelType w:val="multilevel"/>
    <w:tmpl w:val="609A7EAE"/>
    <w:lvl w:ilvl="0">
      <w:start w:val="1"/>
      <w:numFmt w:val="decimal"/>
      <w:lvlText w:val="%1."/>
      <w:lvlJc w:val="left"/>
      <w:pPr>
        <w:ind w:left="720" w:hanging="360"/>
      </w:pPr>
    </w:lvl>
    <w:lvl w:ilvl="1">
      <w:start w:val="1"/>
      <w:numFmt w:val="decimal"/>
      <w:isLgl/>
      <w:lvlText w:val="%1.%2."/>
      <w:lvlJc w:val="left"/>
      <w:pPr>
        <w:ind w:left="1495"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1" w15:restartNumberingAfterBreak="0">
    <w:nsid w:val="27830CC4"/>
    <w:multiLevelType w:val="hybridMultilevel"/>
    <w:tmpl w:val="EBF4A1F4"/>
    <w:lvl w:ilvl="0" w:tplc="A616471A">
      <w:start w:val="1"/>
      <w:numFmt w:val="decimal"/>
      <w:lvlText w:val="%1."/>
      <w:lvlJc w:val="left"/>
      <w:pPr>
        <w:ind w:left="928"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4F97B1E"/>
    <w:multiLevelType w:val="hybridMultilevel"/>
    <w:tmpl w:val="910A9BA4"/>
    <w:lvl w:ilvl="0" w:tplc="6CE064E4">
      <w:start w:val="3"/>
      <w:numFmt w:val="decimal"/>
      <w:lvlText w:val="%1."/>
      <w:lvlJc w:val="left"/>
      <w:pPr>
        <w:ind w:left="993" w:hanging="36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3" w15:restartNumberingAfterBreak="0">
    <w:nsid w:val="50C737E5"/>
    <w:multiLevelType w:val="multilevel"/>
    <w:tmpl w:val="3B161DBE"/>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27" w:hanging="360"/>
      </w:pPr>
    </w:lvl>
    <w:lvl w:ilvl="2">
      <w:start w:val="1"/>
      <w:numFmt w:val="decimal"/>
      <w:isLgl/>
      <w:lvlText w:val="%1.%2.%3"/>
      <w:lvlJc w:val="left"/>
      <w:pPr>
        <w:ind w:left="1713" w:hanging="720"/>
      </w:pPr>
    </w:lvl>
    <w:lvl w:ilvl="3">
      <w:start w:val="1"/>
      <w:numFmt w:val="decimal"/>
      <w:isLgl/>
      <w:lvlText w:val="%1.%2.%3.%4"/>
      <w:lvlJc w:val="left"/>
      <w:pPr>
        <w:ind w:left="2139" w:hanging="720"/>
      </w:pPr>
    </w:lvl>
    <w:lvl w:ilvl="4">
      <w:start w:val="1"/>
      <w:numFmt w:val="decimal"/>
      <w:isLgl/>
      <w:lvlText w:val="%1.%2.%3.%4.%5"/>
      <w:lvlJc w:val="left"/>
      <w:pPr>
        <w:ind w:left="2925" w:hanging="1080"/>
      </w:pPr>
    </w:lvl>
    <w:lvl w:ilvl="5">
      <w:start w:val="1"/>
      <w:numFmt w:val="decimal"/>
      <w:isLgl/>
      <w:lvlText w:val="%1.%2.%3.%4.%5.%6"/>
      <w:lvlJc w:val="left"/>
      <w:pPr>
        <w:ind w:left="3351" w:hanging="1080"/>
      </w:pPr>
    </w:lvl>
    <w:lvl w:ilvl="6">
      <w:start w:val="1"/>
      <w:numFmt w:val="decimal"/>
      <w:isLgl/>
      <w:lvlText w:val="%1.%2.%3.%4.%5.%6.%7"/>
      <w:lvlJc w:val="left"/>
      <w:pPr>
        <w:ind w:left="4137" w:hanging="1440"/>
      </w:pPr>
    </w:lvl>
    <w:lvl w:ilvl="7">
      <w:start w:val="1"/>
      <w:numFmt w:val="decimal"/>
      <w:isLgl/>
      <w:lvlText w:val="%1.%2.%3.%4.%5.%6.%7.%8"/>
      <w:lvlJc w:val="left"/>
      <w:pPr>
        <w:ind w:left="4563" w:hanging="1440"/>
      </w:pPr>
    </w:lvl>
    <w:lvl w:ilvl="8">
      <w:start w:val="1"/>
      <w:numFmt w:val="decimal"/>
      <w:isLgl/>
      <w:lvlText w:val="%1.%2.%3.%4.%5.%6.%7.%8.%9"/>
      <w:lvlJc w:val="left"/>
      <w:pPr>
        <w:ind w:left="4989" w:hanging="1440"/>
      </w:pPr>
    </w:lvl>
  </w:abstractNum>
  <w:abstractNum w:abstractNumId="4" w15:restartNumberingAfterBreak="0">
    <w:nsid w:val="63AF73DF"/>
    <w:multiLevelType w:val="multilevel"/>
    <w:tmpl w:val="A9468B48"/>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1D"/>
    <w:rsid w:val="000019E3"/>
    <w:rsid w:val="00013081"/>
    <w:rsid w:val="00017B3E"/>
    <w:rsid w:val="00053CFE"/>
    <w:rsid w:val="00063218"/>
    <w:rsid w:val="00065A1D"/>
    <w:rsid w:val="00066655"/>
    <w:rsid w:val="000946CF"/>
    <w:rsid w:val="000A45E3"/>
    <w:rsid w:val="000C0BF5"/>
    <w:rsid w:val="000D6F23"/>
    <w:rsid w:val="00105BBD"/>
    <w:rsid w:val="00115F8B"/>
    <w:rsid w:val="001563B4"/>
    <w:rsid w:val="0017008E"/>
    <w:rsid w:val="00183649"/>
    <w:rsid w:val="00183BF6"/>
    <w:rsid w:val="00186B18"/>
    <w:rsid w:val="001A2DE1"/>
    <w:rsid w:val="001E3AA6"/>
    <w:rsid w:val="001F07C6"/>
    <w:rsid w:val="001F42E2"/>
    <w:rsid w:val="00220460"/>
    <w:rsid w:val="00220765"/>
    <w:rsid w:val="002213BE"/>
    <w:rsid w:val="00224ED7"/>
    <w:rsid w:val="00227610"/>
    <w:rsid w:val="00235A6F"/>
    <w:rsid w:val="00235E51"/>
    <w:rsid w:val="00245490"/>
    <w:rsid w:val="002565AF"/>
    <w:rsid w:val="00261BD9"/>
    <w:rsid w:val="00265491"/>
    <w:rsid w:val="00290873"/>
    <w:rsid w:val="00291C76"/>
    <w:rsid w:val="00295BAB"/>
    <w:rsid w:val="002A7990"/>
    <w:rsid w:val="002C3405"/>
    <w:rsid w:val="002D4F70"/>
    <w:rsid w:val="002E5B76"/>
    <w:rsid w:val="002F0639"/>
    <w:rsid w:val="00306752"/>
    <w:rsid w:val="00306A5A"/>
    <w:rsid w:val="0031006D"/>
    <w:rsid w:val="00330541"/>
    <w:rsid w:val="00346900"/>
    <w:rsid w:val="00347B66"/>
    <w:rsid w:val="00360338"/>
    <w:rsid w:val="00377E44"/>
    <w:rsid w:val="00390EE7"/>
    <w:rsid w:val="0039691B"/>
    <w:rsid w:val="00397A0F"/>
    <w:rsid w:val="003A6813"/>
    <w:rsid w:val="003B2ED1"/>
    <w:rsid w:val="003D67E8"/>
    <w:rsid w:val="0043326B"/>
    <w:rsid w:val="004342DE"/>
    <w:rsid w:val="00436924"/>
    <w:rsid w:val="00460D79"/>
    <w:rsid w:val="004664C8"/>
    <w:rsid w:val="00473545"/>
    <w:rsid w:val="0047405F"/>
    <w:rsid w:val="0048100F"/>
    <w:rsid w:val="00482B7C"/>
    <w:rsid w:val="00485A19"/>
    <w:rsid w:val="004A488D"/>
    <w:rsid w:val="004F1832"/>
    <w:rsid w:val="004F3ED4"/>
    <w:rsid w:val="005043C7"/>
    <w:rsid w:val="005333EE"/>
    <w:rsid w:val="005474CE"/>
    <w:rsid w:val="00554E77"/>
    <w:rsid w:val="00557EEC"/>
    <w:rsid w:val="00586469"/>
    <w:rsid w:val="00591A76"/>
    <w:rsid w:val="005B79C9"/>
    <w:rsid w:val="005B7F52"/>
    <w:rsid w:val="005E7E86"/>
    <w:rsid w:val="00612076"/>
    <w:rsid w:val="006231E9"/>
    <w:rsid w:val="00640F33"/>
    <w:rsid w:val="006450B8"/>
    <w:rsid w:val="0065107C"/>
    <w:rsid w:val="006635EF"/>
    <w:rsid w:val="00665A29"/>
    <w:rsid w:val="00671C6E"/>
    <w:rsid w:val="00687DD0"/>
    <w:rsid w:val="00696C4B"/>
    <w:rsid w:val="006B113A"/>
    <w:rsid w:val="006B7AE1"/>
    <w:rsid w:val="006C4350"/>
    <w:rsid w:val="006D6B6C"/>
    <w:rsid w:val="006F4CC7"/>
    <w:rsid w:val="00710D16"/>
    <w:rsid w:val="00730D31"/>
    <w:rsid w:val="00741476"/>
    <w:rsid w:val="00743255"/>
    <w:rsid w:val="00775D13"/>
    <w:rsid w:val="00782014"/>
    <w:rsid w:val="007A124E"/>
    <w:rsid w:val="007A7F8F"/>
    <w:rsid w:val="007C5098"/>
    <w:rsid w:val="00810BC3"/>
    <w:rsid w:val="00816924"/>
    <w:rsid w:val="00826FE1"/>
    <w:rsid w:val="00837CCF"/>
    <w:rsid w:val="00841DD0"/>
    <w:rsid w:val="00841F61"/>
    <w:rsid w:val="00856FA4"/>
    <w:rsid w:val="00860656"/>
    <w:rsid w:val="00861197"/>
    <w:rsid w:val="00861A2E"/>
    <w:rsid w:val="008732EE"/>
    <w:rsid w:val="00884B7E"/>
    <w:rsid w:val="00893341"/>
    <w:rsid w:val="00893B6F"/>
    <w:rsid w:val="00894449"/>
    <w:rsid w:val="008B2F20"/>
    <w:rsid w:val="008B5E85"/>
    <w:rsid w:val="008C185F"/>
    <w:rsid w:val="008C51CC"/>
    <w:rsid w:val="008D40F3"/>
    <w:rsid w:val="008D7BBA"/>
    <w:rsid w:val="008E1A1B"/>
    <w:rsid w:val="008E6816"/>
    <w:rsid w:val="008E6A69"/>
    <w:rsid w:val="008F4FBD"/>
    <w:rsid w:val="00906628"/>
    <w:rsid w:val="00927941"/>
    <w:rsid w:val="0093353B"/>
    <w:rsid w:val="00936912"/>
    <w:rsid w:val="00940B5F"/>
    <w:rsid w:val="00944071"/>
    <w:rsid w:val="009515E7"/>
    <w:rsid w:val="009605F6"/>
    <w:rsid w:val="00966873"/>
    <w:rsid w:val="009670C4"/>
    <w:rsid w:val="009971B9"/>
    <w:rsid w:val="009B1899"/>
    <w:rsid w:val="009B34C5"/>
    <w:rsid w:val="009C3EC8"/>
    <w:rsid w:val="009E0E6A"/>
    <w:rsid w:val="009E1191"/>
    <w:rsid w:val="00A35654"/>
    <w:rsid w:val="00A40112"/>
    <w:rsid w:val="00A41D92"/>
    <w:rsid w:val="00A70FEB"/>
    <w:rsid w:val="00A7514D"/>
    <w:rsid w:val="00A802B2"/>
    <w:rsid w:val="00A91E14"/>
    <w:rsid w:val="00AC3723"/>
    <w:rsid w:val="00AC69BE"/>
    <w:rsid w:val="00AE57CC"/>
    <w:rsid w:val="00AF1392"/>
    <w:rsid w:val="00B13774"/>
    <w:rsid w:val="00B22782"/>
    <w:rsid w:val="00B262A6"/>
    <w:rsid w:val="00B27632"/>
    <w:rsid w:val="00B4317E"/>
    <w:rsid w:val="00B52932"/>
    <w:rsid w:val="00B63413"/>
    <w:rsid w:val="00B649AD"/>
    <w:rsid w:val="00B719B0"/>
    <w:rsid w:val="00B72356"/>
    <w:rsid w:val="00B77809"/>
    <w:rsid w:val="00B80746"/>
    <w:rsid w:val="00B8686C"/>
    <w:rsid w:val="00B926E9"/>
    <w:rsid w:val="00B94BC8"/>
    <w:rsid w:val="00B95A52"/>
    <w:rsid w:val="00BD2C6E"/>
    <w:rsid w:val="00C20F20"/>
    <w:rsid w:val="00C32148"/>
    <w:rsid w:val="00C32A16"/>
    <w:rsid w:val="00C34DEA"/>
    <w:rsid w:val="00C54FD4"/>
    <w:rsid w:val="00C73D70"/>
    <w:rsid w:val="00C87513"/>
    <w:rsid w:val="00C90016"/>
    <w:rsid w:val="00CB0074"/>
    <w:rsid w:val="00CB3144"/>
    <w:rsid w:val="00CD70C3"/>
    <w:rsid w:val="00CE461A"/>
    <w:rsid w:val="00D274FA"/>
    <w:rsid w:val="00D51109"/>
    <w:rsid w:val="00D55A4E"/>
    <w:rsid w:val="00D71556"/>
    <w:rsid w:val="00D71F61"/>
    <w:rsid w:val="00D74873"/>
    <w:rsid w:val="00D77EB2"/>
    <w:rsid w:val="00D93E12"/>
    <w:rsid w:val="00DB7CFB"/>
    <w:rsid w:val="00DD3CDF"/>
    <w:rsid w:val="00DD414D"/>
    <w:rsid w:val="00DF75A8"/>
    <w:rsid w:val="00E00820"/>
    <w:rsid w:val="00E02861"/>
    <w:rsid w:val="00E06828"/>
    <w:rsid w:val="00E15457"/>
    <w:rsid w:val="00E410A7"/>
    <w:rsid w:val="00E74FB8"/>
    <w:rsid w:val="00E80934"/>
    <w:rsid w:val="00E83D40"/>
    <w:rsid w:val="00EA2786"/>
    <w:rsid w:val="00EA7E3C"/>
    <w:rsid w:val="00EB38B0"/>
    <w:rsid w:val="00EC5FFF"/>
    <w:rsid w:val="00ED6883"/>
    <w:rsid w:val="00EE734E"/>
    <w:rsid w:val="00F024BA"/>
    <w:rsid w:val="00F03BAE"/>
    <w:rsid w:val="00F103FB"/>
    <w:rsid w:val="00F17E00"/>
    <w:rsid w:val="00F30DFB"/>
    <w:rsid w:val="00F97C5E"/>
    <w:rsid w:val="00F97ED5"/>
    <w:rsid w:val="00FB3F4B"/>
    <w:rsid w:val="00FB487B"/>
    <w:rsid w:val="00FC01FD"/>
    <w:rsid w:val="00FC171C"/>
    <w:rsid w:val="00FE176E"/>
    <w:rsid w:val="00FF0952"/>
    <w:rsid w:val="00FF0B64"/>
    <w:rsid w:val="00FF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FA59F-730C-4A6F-AD89-AA7A034D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A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A1D"/>
    <w:pPr>
      <w:ind w:left="720"/>
      <w:contextualSpacing/>
    </w:pPr>
  </w:style>
  <w:style w:type="character" w:styleId="a4">
    <w:name w:val="Hyperlink"/>
    <w:basedOn w:val="a0"/>
    <w:uiPriority w:val="99"/>
    <w:unhideWhenUsed/>
    <w:rsid w:val="00065A1D"/>
    <w:rPr>
      <w:color w:val="0000FF" w:themeColor="hyperlink"/>
      <w:u w:val="single"/>
    </w:rPr>
  </w:style>
  <w:style w:type="paragraph" w:styleId="3">
    <w:name w:val="Body Text Indent 3"/>
    <w:basedOn w:val="a"/>
    <w:link w:val="30"/>
    <w:uiPriority w:val="99"/>
    <w:semiHidden/>
    <w:unhideWhenUsed/>
    <w:rsid w:val="00065A1D"/>
    <w:pPr>
      <w:spacing w:after="120"/>
      <w:ind w:left="283"/>
    </w:pPr>
    <w:rPr>
      <w:sz w:val="16"/>
      <w:szCs w:val="16"/>
    </w:rPr>
  </w:style>
  <w:style w:type="character" w:customStyle="1" w:styleId="30">
    <w:name w:val="Основной текст с отступом 3 Знак"/>
    <w:basedOn w:val="a0"/>
    <w:link w:val="3"/>
    <w:uiPriority w:val="99"/>
    <w:semiHidden/>
    <w:rsid w:val="00065A1D"/>
    <w:rPr>
      <w:rFonts w:ascii="Times New Roman" w:eastAsia="Times New Roman" w:hAnsi="Times New Roman" w:cs="Times New Roman"/>
      <w:sz w:val="16"/>
      <w:szCs w:val="16"/>
      <w:lang w:eastAsia="ru-RU"/>
    </w:rPr>
  </w:style>
  <w:style w:type="table" w:styleId="a5">
    <w:name w:val="Table Grid"/>
    <w:basedOn w:val="a1"/>
    <w:uiPriority w:val="59"/>
    <w:rsid w:val="00065A1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E74FB8"/>
    <w:rPr>
      <w:rFonts w:ascii="Tahoma" w:hAnsi="Tahoma" w:cs="Tahoma"/>
      <w:sz w:val="16"/>
      <w:szCs w:val="16"/>
    </w:rPr>
  </w:style>
  <w:style w:type="character" w:customStyle="1" w:styleId="a7">
    <w:name w:val="Текст выноски Знак"/>
    <w:basedOn w:val="a0"/>
    <w:link w:val="a6"/>
    <w:uiPriority w:val="99"/>
    <w:semiHidden/>
    <w:rsid w:val="00E74FB8"/>
    <w:rPr>
      <w:rFonts w:ascii="Tahoma" w:eastAsia="Times New Roman" w:hAnsi="Tahoma" w:cs="Tahoma"/>
      <w:sz w:val="16"/>
      <w:szCs w:val="16"/>
      <w:lang w:eastAsia="ru-RU"/>
    </w:rPr>
  </w:style>
  <w:style w:type="character" w:styleId="a8">
    <w:name w:val="Strong"/>
    <w:basedOn w:val="a0"/>
    <w:uiPriority w:val="22"/>
    <w:qFormat/>
    <w:rsid w:val="008933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0813">
      <w:bodyDiv w:val="1"/>
      <w:marLeft w:val="0"/>
      <w:marRight w:val="0"/>
      <w:marTop w:val="0"/>
      <w:marBottom w:val="0"/>
      <w:divBdr>
        <w:top w:val="none" w:sz="0" w:space="0" w:color="auto"/>
        <w:left w:val="none" w:sz="0" w:space="0" w:color="auto"/>
        <w:bottom w:val="none" w:sz="0" w:space="0" w:color="auto"/>
        <w:right w:val="none" w:sz="0" w:space="0" w:color="auto"/>
      </w:divBdr>
    </w:div>
    <w:div w:id="944508040">
      <w:bodyDiv w:val="1"/>
      <w:marLeft w:val="0"/>
      <w:marRight w:val="0"/>
      <w:marTop w:val="0"/>
      <w:marBottom w:val="0"/>
      <w:divBdr>
        <w:top w:val="none" w:sz="0" w:space="0" w:color="auto"/>
        <w:left w:val="none" w:sz="0" w:space="0" w:color="auto"/>
        <w:bottom w:val="none" w:sz="0" w:space="0" w:color="auto"/>
        <w:right w:val="none" w:sz="0" w:space="0" w:color="auto"/>
      </w:divBdr>
    </w:div>
    <w:div w:id="958996447">
      <w:bodyDiv w:val="1"/>
      <w:marLeft w:val="0"/>
      <w:marRight w:val="0"/>
      <w:marTop w:val="0"/>
      <w:marBottom w:val="0"/>
      <w:divBdr>
        <w:top w:val="none" w:sz="0" w:space="0" w:color="auto"/>
        <w:left w:val="none" w:sz="0" w:space="0" w:color="auto"/>
        <w:bottom w:val="none" w:sz="0" w:space="0" w:color="auto"/>
        <w:right w:val="none" w:sz="0" w:space="0" w:color="auto"/>
      </w:divBdr>
    </w:div>
    <w:div w:id="1086414875">
      <w:bodyDiv w:val="1"/>
      <w:marLeft w:val="0"/>
      <w:marRight w:val="0"/>
      <w:marTop w:val="0"/>
      <w:marBottom w:val="0"/>
      <w:divBdr>
        <w:top w:val="none" w:sz="0" w:space="0" w:color="auto"/>
        <w:left w:val="none" w:sz="0" w:space="0" w:color="auto"/>
        <w:bottom w:val="none" w:sz="0" w:space="0" w:color="auto"/>
        <w:right w:val="none" w:sz="0" w:space="0" w:color="auto"/>
      </w:divBdr>
    </w:div>
    <w:div w:id="166038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A8EDB-E149-4261-8FA3-31CF4810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671</Words>
  <Characters>3825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Отдел закупок 2</cp:lastModifiedBy>
  <cp:revision>15</cp:revision>
  <cp:lastPrinted>2025-06-04T09:09:00Z</cp:lastPrinted>
  <dcterms:created xsi:type="dcterms:W3CDTF">2025-06-04T08:49:00Z</dcterms:created>
  <dcterms:modified xsi:type="dcterms:W3CDTF">2025-07-03T07:48:00Z</dcterms:modified>
</cp:coreProperties>
</file>