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C4" w:rsidRPr="002E41C4" w:rsidRDefault="002E41C4" w:rsidP="002E41C4">
      <w:pPr>
        <w:spacing w:after="0" w:line="200" w:lineRule="exact"/>
        <w:jc w:val="center"/>
        <w:rPr>
          <w:rFonts w:ascii="Times New Roman" w:eastAsiaTheme="minorHAnsi" w:hAnsi="Times New Roman"/>
          <w:sz w:val="21"/>
          <w:szCs w:val="21"/>
        </w:rPr>
      </w:pPr>
      <w:r w:rsidRPr="002E41C4">
        <w:rPr>
          <w:rFonts w:ascii="Times New Roman" w:eastAsiaTheme="minorHAnsi" w:hAnsi="Times New Roman"/>
          <w:b/>
          <w:sz w:val="21"/>
          <w:szCs w:val="21"/>
        </w:rPr>
        <w:t>ОБОСНОВАНИЕ НАЧАЛЬНОЙ (МАКСИМАЛЬНОЙ) ЦЕНЫ КОНТРАКТА (НМЦК)</w:t>
      </w:r>
    </w:p>
    <w:p w:rsidR="002E41C4" w:rsidRPr="002E41C4" w:rsidRDefault="002E41C4" w:rsidP="002E41C4">
      <w:pPr>
        <w:spacing w:after="0" w:line="200" w:lineRule="exact"/>
        <w:jc w:val="center"/>
        <w:rPr>
          <w:rFonts w:ascii="Times New Roman" w:eastAsiaTheme="minorHAnsi" w:hAnsi="Times New Roman"/>
          <w:sz w:val="21"/>
          <w:szCs w:val="21"/>
        </w:rPr>
      </w:pPr>
      <w:r w:rsidRPr="002E41C4">
        <w:rPr>
          <w:rFonts w:ascii="Times New Roman" w:eastAsiaTheme="minorHAnsi" w:hAnsi="Times New Roman"/>
          <w:i/>
          <w:sz w:val="21"/>
          <w:szCs w:val="21"/>
        </w:rPr>
        <w:t>Применение иного метода расчета в соответствии с ч. 12 ст. 22 Закона № 44-ФЗ</w:t>
      </w:r>
    </w:p>
    <w:p w:rsidR="002E41C4" w:rsidRPr="002E41C4" w:rsidRDefault="002E41C4" w:rsidP="002E41C4">
      <w:pPr>
        <w:spacing w:after="0" w:line="200" w:lineRule="exact"/>
        <w:jc w:val="right"/>
        <w:rPr>
          <w:rFonts w:ascii="Times New Roman" w:hAnsi="Times New Roman"/>
          <w:sz w:val="21"/>
          <w:szCs w:val="21"/>
        </w:rPr>
      </w:pPr>
    </w:p>
    <w:p w:rsidR="002E41C4" w:rsidRPr="002E41C4" w:rsidRDefault="002E41C4" w:rsidP="002E41C4">
      <w:pPr>
        <w:spacing w:after="0" w:line="200" w:lineRule="exact"/>
        <w:jc w:val="both"/>
        <w:rPr>
          <w:rFonts w:ascii="Times New Roman" w:eastAsiaTheme="minorHAnsi" w:hAnsi="Times New Roman"/>
          <w:sz w:val="21"/>
          <w:szCs w:val="21"/>
        </w:rPr>
      </w:pPr>
      <w:r w:rsidRPr="002E41C4">
        <w:rPr>
          <w:rFonts w:ascii="Times New Roman" w:eastAsiaTheme="minorHAnsi" w:hAnsi="Times New Roman"/>
          <w:b/>
          <w:sz w:val="21"/>
          <w:szCs w:val="21"/>
        </w:rPr>
        <w:t xml:space="preserve">1. Общие положения и специфика объекта: 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Ввиду существенной удаленности, изолированности и уникальных географических особенностей места оказания услуг (поселок Хужир, остров Ольхон, </w:t>
      </w:r>
      <w:proofErr w:type="spellStart"/>
      <w:r w:rsidRPr="002E41C4">
        <w:rPr>
          <w:rFonts w:ascii="Times New Roman" w:eastAsiaTheme="minorHAnsi" w:hAnsi="Times New Roman"/>
          <w:sz w:val="21"/>
          <w:szCs w:val="21"/>
        </w:rPr>
        <w:t>Ольхонский</w:t>
      </w:r>
      <w:proofErr w:type="spellEnd"/>
      <w:r w:rsidRPr="002E41C4">
        <w:rPr>
          <w:rFonts w:ascii="Times New Roman" w:eastAsiaTheme="minorHAnsi" w:hAnsi="Times New Roman"/>
          <w:sz w:val="21"/>
          <w:szCs w:val="21"/>
        </w:rPr>
        <w:t xml:space="preserve"> район Иркутской области), на данной территории сформирован закрытый недефицитный рынок с полным отсутствием естественной конкуренции среди операторов связи. Посёлок расположен в Центральной экологической зоне Байкальской природной территории, что накладывает строгие законодательные ограничения на прокладку и модернизацию наземных коммуникаций.</w:t>
      </w:r>
    </w:p>
    <w:p w:rsidR="002E41C4" w:rsidRPr="002E41C4" w:rsidRDefault="002E41C4" w:rsidP="002E41C4">
      <w:pPr>
        <w:spacing w:after="0" w:line="200" w:lineRule="exact"/>
        <w:jc w:val="both"/>
        <w:rPr>
          <w:rFonts w:ascii="Times New Roman" w:eastAsiaTheme="minorHAnsi" w:hAnsi="Times New Roman"/>
          <w:sz w:val="21"/>
          <w:szCs w:val="21"/>
        </w:rPr>
      </w:pPr>
      <w:r w:rsidRPr="002E41C4">
        <w:rPr>
          <w:rFonts w:ascii="Times New Roman" w:eastAsiaTheme="minorHAnsi" w:hAnsi="Times New Roman"/>
          <w:b/>
          <w:sz w:val="21"/>
          <w:szCs w:val="21"/>
        </w:rPr>
        <w:t xml:space="preserve">2. Обоснование технологической потребности: </w:t>
      </w:r>
      <w:r w:rsidRPr="002E41C4">
        <w:rPr>
          <w:rFonts w:ascii="Times New Roman" w:eastAsiaTheme="minorHAnsi" w:hAnsi="Times New Roman"/>
          <w:sz w:val="21"/>
          <w:szCs w:val="21"/>
        </w:rPr>
        <w:t>Для обеспечения стабильной, высокоскоростной передачи данных и бесперебойного функционирования ведомственных информационных систем Заказчику объективно требуется организация канала связи именно на базе волоконно-оптической линии связи (ВОЛС). Альтернативные варианты (спутниковая связь, радиорелейные каналы) не обеспечивают требуемую пропускную способность, защищенность и стабильность сигнала в условиях специфического климата и рельефа острова Ольхон.</w:t>
      </w:r>
    </w:p>
    <w:p w:rsidR="002E41C4" w:rsidRPr="002E41C4" w:rsidRDefault="002E41C4" w:rsidP="002E41C4">
      <w:pPr>
        <w:spacing w:after="0" w:line="200" w:lineRule="exact"/>
        <w:jc w:val="both"/>
        <w:rPr>
          <w:rFonts w:ascii="Times New Roman" w:eastAsiaTheme="minorHAnsi" w:hAnsi="Times New Roman"/>
          <w:sz w:val="21"/>
          <w:szCs w:val="21"/>
        </w:rPr>
      </w:pPr>
      <w:r w:rsidRPr="002E41C4">
        <w:rPr>
          <w:rFonts w:ascii="Times New Roman" w:eastAsiaTheme="minorHAnsi" w:hAnsi="Times New Roman"/>
          <w:b/>
          <w:sz w:val="21"/>
          <w:szCs w:val="21"/>
        </w:rPr>
        <w:t xml:space="preserve">3. Доказательства отсутствия конкурентного рынка: </w:t>
      </w:r>
      <w:r w:rsidRPr="002E41C4">
        <w:rPr>
          <w:rFonts w:ascii="Times New Roman" w:eastAsiaTheme="minorHAnsi" w:hAnsi="Times New Roman"/>
          <w:sz w:val="21"/>
          <w:szCs w:val="21"/>
        </w:rPr>
        <w:t>Заказчиком были направлены запросы о предоставлении коммерческих предложений местным операторам связи, присутствующим в поселке Хужир, остров Ольхон (включая</w:t>
      </w:r>
      <w:r w:rsidRPr="002E41C4">
        <w:rPr>
          <w:rFonts w:asciiTheme="minorHAnsi" w:eastAsiaTheme="minorHAnsi" w:hAnsiTheme="minorHAnsi" w:cstheme="minorBidi"/>
        </w:rPr>
        <w:t xml:space="preserve"> </w:t>
      </w:r>
      <w:r w:rsidRPr="002E41C4">
        <w:rPr>
          <w:rFonts w:ascii="Times New Roman" w:eastAsiaTheme="minorHAnsi" w:hAnsi="Times New Roman"/>
          <w:color w:val="000000" w:themeColor="text1"/>
          <w:sz w:val="20"/>
          <w:szCs w:val="20"/>
        </w:rPr>
        <w:t>АО «</w:t>
      </w:r>
      <w:proofErr w:type="gramStart"/>
      <w:r w:rsidRPr="002E41C4">
        <w:rPr>
          <w:rFonts w:ascii="Times New Roman" w:eastAsiaTheme="minorHAnsi" w:hAnsi="Times New Roman"/>
          <w:color w:val="000000" w:themeColor="text1"/>
          <w:sz w:val="20"/>
          <w:szCs w:val="20"/>
        </w:rPr>
        <w:t>ЭР-Телеком</w:t>
      </w:r>
      <w:proofErr w:type="gramEnd"/>
      <w:r w:rsidRPr="002E41C4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 Холдинг»,</w:t>
      </w:r>
      <w:r w:rsidRPr="002E41C4">
        <w:rPr>
          <w:rFonts w:asciiTheme="minorHAnsi" w:eastAsiaTheme="minorHAnsi" w:hAnsiTheme="minorHAnsi" w:cstheme="minorBidi"/>
          <w:color w:val="000000" w:themeColor="text1"/>
        </w:rPr>
        <w:t xml:space="preserve"> </w:t>
      </w:r>
      <w:r w:rsidRPr="002E41C4">
        <w:rPr>
          <w:rFonts w:ascii="Times New Roman" w:eastAsiaTheme="minorHAnsi" w:hAnsi="Times New Roman"/>
          <w:color w:val="000000" w:themeColor="text1"/>
          <w:sz w:val="20"/>
          <w:szCs w:val="20"/>
        </w:rPr>
        <w:t>АО «Деловая Сеть-Иркутск»).</w:t>
      </w:r>
      <w:r w:rsidRPr="002E41C4">
        <w:rPr>
          <w:rFonts w:ascii="Times New Roman" w:eastAsiaTheme="minorHAnsi" w:hAnsi="Times New Roman"/>
          <w:color w:val="000000" w:themeColor="text1"/>
          <w:sz w:val="21"/>
          <w:szCs w:val="21"/>
        </w:rPr>
        <w:t xml:space="preserve"> </w:t>
      </w:r>
      <w:r w:rsidRPr="002E41C4">
        <w:rPr>
          <w:rFonts w:ascii="Times New Roman" w:eastAsiaTheme="minorHAnsi" w:hAnsi="Times New Roman"/>
          <w:sz w:val="21"/>
          <w:szCs w:val="21"/>
        </w:rPr>
        <w:t>Ответы от указанных операторов не поступили, либо были получены официальные отказы в связи с полным отсутствием технической возможности подключения и отсутствием собственной магистральной инфраструктуры (ВОЛС) непосредственно в п. Хужир. Проведенный сбор информации в Единой информационной системе (ЕИС) также показал полное отсутствие аналогичных исполненных контрактов со схожими специфическими условиями (совмещение разовой капитальной инсталляции оборудования и ежемесячного трафика на острове Ольхон).</w:t>
      </w:r>
    </w:p>
    <w:p w:rsidR="002E41C4" w:rsidRPr="002E41C4" w:rsidRDefault="002E41C4" w:rsidP="002E41C4">
      <w:pPr>
        <w:spacing w:after="0" w:line="200" w:lineRule="exact"/>
        <w:jc w:val="both"/>
        <w:rPr>
          <w:rFonts w:ascii="Times New Roman" w:eastAsiaTheme="minorHAnsi" w:hAnsi="Times New Roman"/>
          <w:sz w:val="21"/>
          <w:szCs w:val="21"/>
        </w:rPr>
      </w:pPr>
      <w:r w:rsidRPr="002E41C4">
        <w:rPr>
          <w:rFonts w:ascii="Times New Roman" w:eastAsiaTheme="minorHAnsi" w:hAnsi="Times New Roman"/>
          <w:b/>
          <w:sz w:val="21"/>
          <w:szCs w:val="21"/>
        </w:rPr>
        <w:t xml:space="preserve">4. Невозможность применения стандартных методов и выбор правового пути: 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На основании вышеизложенного, применение метода сопоставимых рыночных цен (анализа рынка) в соответствии с ч. 2-6 ст. 22 Закона № 44-ФЗ объективно невозможно. </w:t>
      </w:r>
      <w:r w:rsidRPr="002E41C4">
        <w:rPr>
          <w:rFonts w:ascii="Times New Roman" w:eastAsiaTheme="minorHAnsi" w:hAnsi="Times New Roman"/>
          <w:b/>
          <w:sz w:val="21"/>
          <w:szCs w:val="21"/>
        </w:rPr>
        <w:t>Применение тарифного метода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 в чистом виде (ч. 8 ст. 22) также </w:t>
      </w:r>
      <w:r w:rsidRPr="002E41C4">
        <w:rPr>
          <w:rFonts w:ascii="Times New Roman" w:eastAsiaTheme="minorHAnsi" w:hAnsi="Times New Roman"/>
          <w:b/>
          <w:sz w:val="21"/>
          <w:szCs w:val="21"/>
        </w:rPr>
        <w:t>невозможно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, поскольку государственному регулированию подлежит исключительно периодическая абонентская плата за услуги связи, тогда как разовые работы по монтажу, настройке уникального оконечного оборудования и выделению оптических волокон не имеют утвержденных государством тарифов и рассчитываются индивидуально под проект. </w:t>
      </w:r>
      <w:r w:rsidRPr="002E41C4">
        <w:rPr>
          <w:rFonts w:ascii="Times New Roman" w:eastAsiaTheme="minorHAnsi" w:hAnsi="Times New Roman"/>
          <w:b/>
          <w:sz w:val="21"/>
          <w:szCs w:val="21"/>
        </w:rPr>
        <w:t>Нормативный метод не может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 </w:t>
      </w:r>
      <w:r w:rsidRPr="002E41C4">
        <w:rPr>
          <w:rFonts w:ascii="Times New Roman" w:eastAsiaTheme="minorHAnsi" w:hAnsi="Times New Roman"/>
          <w:b/>
          <w:sz w:val="21"/>
          <w:szCs w:val="21"/>
        </w:rPr>
        <w:t>быть применен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, так как на данный вид товара не установлено требований к закупаемым товарам и их предельной цене в порядке, определенном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 </w:t>
      </w:r>
      <w:r w:rsidRPr="002E41C4">
        <w:rPr>
          <w:rFonts w:ascii="Times New Roman" w:eastAsiaTheme="minorHAnsi" w:hAnsi="Times New Roman"/>
          <w:b/>
          <w:sz w:val="21"/>
          <w:szCs w:val="21"/>
        </w:rPr>
        <w:t>Затратный метод не может быть применен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 в связи с отсутствием возможности расчёта, как суммы произведённых затрат и обычной для определённой сферы деятельности прибыли. </w:t>
      </w:r>
      <w:proofErr w:type="gramStart"/>
      <w:r w:rsidRPr="002E41C4">
        <w:rPr>
          <w:rFonts w:ascii="Times New Roman" w:eastAsiaTheme="minorHAnsi" w:hAnsi="Times New Roman"/>
          <w:b/>
          <w:sz w:val="21"/>
          <w:szCs w:val="21"/>
        </w:rPr>
        <w:t>Проектно-сметный метод не соответствует предмету закупки</w:t>
      </w:r>
      <w:r w:rsidRPr="002E41C4">
        <w:rPr>
          <w:rFonts w:ascii="Times New Roman" w:eastAsiaTheme="minorHAnsi" w:hAnsi="Times New Roman"/>
          <w:sz w:val="21"/>
          <w:szCs w:val="21"/>
        </w:rPr>
        <w:t xml:space="preserve"> – в соответствии с ч. 9 ст. 22 Федерального закона от 5 апреля 2013 г. №44-ФЗ "О контрактной системе в сфере закупок товаров, работ, услуг для обеспечения государственных и муниципальных нужд", данный метод обоснования цены применяется при строительстве, реконструкции, капитальном ремонте объектов капитального строительства на основании проектной документации в соответствии с методиками и нормативами (государственными</w:t>
      </w:r>
      <w:proofErr w:type="gramEnd"/>
      <w:r w:rsidRPr="002E41C4">
        <w:rPr>
          <w:rFonts w:ascii="Times New Roman" w:eastAsiaTheme="minorHAnsi" w:hAnsi="Times New Roman"/>
          <w:sz w:val="21"/>
          <w:szCs w:val="21"/>
        </w:rPr>
        <w:t xml:space="preserve">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 Проектно-сметный метод может применяться при определении и обосновании начальной (максимальной) цены контракта, на текущий ремонт зданий, строений, сооружений, помещений.</w:t>
      </w:r>
    </w:p>
    <w:p w:rsidR="002E41C4" w:rsidRPr="002E41C4" w:rsidRDefault="002E41C4" w:rsidP="002E41C4">
      <w:pPr>
        <w:spacing w:after="0" w:line="200" w:lineRule="exact"/>
        <w:jc w:val="both"/>
        <w:rPr>
          <w:rFonts w:ascii="Times New Roman" w:eastAsiaTheme="minorHAnsi" w:hAnsi="Times New Roman"/>
          <w:sz w:val="21"/>
          <w:szCs w:val="21"/>
        </w:rPr>
      </w:pPr>
      <w:r w:rsidRPr="002E41C4">
        <w:rPr>
          <w:rFonts w:ascii="Times New Roman" w:eastAsiaTheme="minorHAnsi" w:hAnsi="Times New Roman"/>
          <w:sz w:val="21"/>
          <w:szCs w:val="21"/>
        </w:rPr>
        <w:br/>
        <w:t>Руководствуясь частью 12 статьи 22 Федерального закона № 44-ФЗ, Заказчик применяет иной метод расчета на основании 1 коммерческого предложения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5"/>
        <w:gridCol w:w="5190"/>
        <w:gridCol w:w="1417"/>
        <w:gridCol w:w="1886"/>
        <w:gridCol w:w="2595"/>
        <w:gridCol w:w="3304"/>
      </w:tblGrid>
      <w:tr w:rsidR="002E41C4" w:rsidRPr="002E41C4" w:rsidTr="00F2194B">
        <w:tc>
          <w:tcPr>
            <w:tcW w:w="308" w:type="pct"/>
            <w:tcBorders>
              <w:top w:val="single" w:sz="4" w:space="0" w:color="B0B0B0"/>
              <w:bottom w:val="single" w:sz="4" w:space="0" w:color="B0B0B0"/>
            </w:tcBorders>
            <w:shd w:val="clear" w:color="auto" w:fill="E0E0E0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jc w:val="center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№</w:t>
            </w:r>
          </w:p>
        </w:tc>
        <w:tc>
          <w:tcPr>
            <w:tcW w:w="1692" w:type="pct"/>
            <w:tcBorders>
              <w:top w:val="single" w:sz="4" w:space="0" w:color="B0B0B0"/>
              <w:bottom w:val="single" w:sz="4" w:space="0" w:color="B0B0B0"/>
            </w:tcBorders>
            <w:shd w:val="clear" w:color="auto" w:fill="E0E0E0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jc w:val="center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Наименование работ / услуг</w:t>
            </w:r>
          </w:p>
        </w:tc>
        <w:tc>
          <w:tcPr>
            <w:tcW w:w="462" w:type="pct"/>
            <w:tcBorders>
              <w:top w:val="single" w:sz="4" w:space="0" w:color="B0B0B0"/>
              <w:bottom w:val="single" w:sz="4" w:space="0" w:color="B0B0B0"/>
            </w:tcBorders>
            <w:shd w:val="clear" w:color="auto" w:fill="E0E0E0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jc w:val="center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Объем</w:t>
            </w:r>
          </w:p>
        </w:tc>
        <w:tc>
          <w:tcPr>
            <w:tcW w:w="615" w:type="pct"/>
            <w:tcBorders>
              <w:top w:val="single" w:sz="4" w:space="0" w:color="B0B0B0"/>
              <w:bottom w:val="single" w:sz="4" w:space="0" w:color="B0B0B0"/>
            </w:tcBorders>
            <w:shd w:val="clear" w:color="auto" w:fill="E0E0E0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jc w:val="center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Ед. изм.</w:t>
            </w:r>
          </w:p>
        </w:tc>
        <w:tc>
          <w:tcPr>
            <w:tcW w:w="846" w:type="pct"/>
            <w:tcBorders>
              <w:top w:val="single" w:sz="4" w:space="0" w:color="B0B0B0"/>
              <w:bottom w:val="single" w:sz="4" w:space="0" w:color="B0B0B0"/>
            </w:tcBorders>
            <w:shd w:val="clear" w:color="auto" w:fill="E0E0E0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jc w:val="center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Цена за ед. (руб.)*</w:t>
            </w:r>
          </w:p>
        </w:tc>
        <w:tc>
          <w:tcPr>
            <w:tcW w:w="1077" w:type="pct"/>
            <w:tcBorders>
              <w:top w:val="single" w:sz="4" w:space="0" w:color="B0B0B0"/>
              <w:bottom w:val="single" w:sz="4" w:space="0" w:color="B0B0B0"/>
            </w:tcBorders>
            <w:shd w:val="clear" w:color="auto" w:fill="E0E0E0"/>
            <w:tcMar>
              <w:top w:w="120" w:type="dxa"/>
              <w:left w:w="100" w:type="dxa"/>
              <w:bottom w:w="12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jc w:val="center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Стоимость (руб.)*</w:t>
            </w:r>
          </w:p>
        </w:tc>
      </w:tr>
      <w:tr w:rsidR="002E41C4" w:rsidRPr="002E41C4" w:rsidTr="00F2194B">
        <w:tc>
          <w:tcPr>
            <w:tcW w:w="308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1</w:t>
            </w:r>
          </w:p>
        </w:tc>
        <w:tc>
          <w:tcPr>
            <w:tcW w:w="1692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 xml:space="preserve">Единовременный платеж за организацию канала связи </w:t>
            </w:r>
          </w:p>
        </w:tc>
        <w:tc>
          <w:tcPr>
            <w:tcW w:w="462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1</w:t>
            </w:r>
          </w:p>
        </w:tc>
        <w:tc>
          <w:tcPr>
            <w:tcW w:w="615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proofErr w:type="spellStart"/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усл</w:t>
            </w:r>
            <w:proofErr w:type="spellEnd"/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.</w:t>
            </w:r>
          </w:p>
        </w:tc>
        <w:tc>
          <w:tcPr>
            <w:tcW w:w="846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50 000,00</w:t>
            </w:r>
          </w:p>
        </w:tc>
        <w:tc>
          <w:tcPr>
            <w:tcW w:w="1077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50 000,00</w:t>
            </w:r>
          </w:p>
        </w:tc>
      </w:tr>
      <w:tr w:rsidR="002E41C4" w:rsidRPr="002E41C4" w:rsidTr="00F2194B">
        <w:tc>
          <w:tcPr>
            <w:tcW w:w="308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2</w:t>
            </w:r>
          </w:p>
        </w:tc>
        <w:tc>
          <w:tcPr>
            <w:tcW w:w="1692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Оказание услуг по предоставлению бесперебойного доступа к сети Интернет по волоконно-оптической линии связи (ежемесячная абонентская плата)</w:t>
            </w:r>
          </w:p>
        </w:tc>
        <w:tc>
          <w:tcPr>
            <w:tcW w:w="462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12</w:t>
            </w:r>
          </w:p>
        </w:tc>
        <w:tc>
          <w:tcPr>
            <w:tcW w:w="615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мес.</w:t>
            </w:r>
          </w:p>
        </w:tc>
        <w:tc>
          <w:tcPr>
            <w:tcW w:w="846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20 000,00</w:t>
            </w:r>
          </w:p>
        </w:tc>
        <w:tc>
          <w:tcPr>
            <w:tcW w:w="1077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sz w:val="21"/>
                <w:szCs w:val="21"/>
              </w:rPr>
              <w:t>20 000,00</w:t>
            </w:r>
          </w:p>
        </w:tc>
      </w:tr>
      <w:tr w:rsidR="002E41C4" w:rsidRPr="002E41C4" w:rsidTr="00F2194B">
        <w:tc>
          <w:tcPr>
            <w:tcW w:w="308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1692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ИТОГО НАЧАЛЬНАЯ (</w:t>
            </w:r>
            <w:proofErr w:type="gramStart"/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МАКСИМАЛЬНОЙ</w:t>
            </w:r>
            <w:proofErr w:type="gramEnd"/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) ЦЕНА КОНТРАКТА:</w:t>
            </w:r>
          </w:p>
        </w:tc>
        <w:tc>
          <w:tcPr>
            <w:tcW w:w="462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615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846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</w:p>
        </w:tc>
        <w:tc>
          <w:tcPr>
            <w:tcW w:w="1077" w:type="pct"/>
            <w:tcBorders>
              <w:top w:val="single" w:sz="4" w:space="0" w:color="B0B0B0"/>
              <w:bottom w:val="single" w:sz="4" w:space="0" w:color="B0B0B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E41C4" w:rsidRPr="002E41C4" w:rsidRDefault="002E41C4" w:rsidP="002E41C4">
            <w:pPr>
              <w:spacing w:after="0" w:line="200" w:lineRule="exact"/>
              <w:rPr>
                <w:rFonts w:ascii="Times New Roman" w:eastAsiaTheme="minorHAnsi" w:hAnsi="Times New Roman"/>
                <w:sz w:val="21"/>
                <w:szCs w:val="21"/>
              </w:rPr>
            </w:pPr>
            <w:r w:rsidRPr="002E41C4">
              <w:rPr>
                <w:rFonts w:ascii="Times New Roman" w:eastAsiaTheme="minorHAnsi" w:hAnsi="Times New Roman"/>
                <w:b/>
                <w:sz w:val="21"/>
                <w:szCs w:val="21"/>
              </w:rPr>
              <w:t>290 000,00</w:t>
            </w:r>
          </w:p>
        </w:tc>
      </w:tr>
    </w:tbl>
    <w:p w:rsidR="00702FED" w:rsidRDefault="00DC1ABA" w:rsidP="00DC1ABA">
      <w:bookmarkStart w:id="0" w:name="_GoBack"/>
      <w:r w:rsidRPr="006A5BED">
        <w:rPr>
          <w:noProof/>
          <w:lang w:eastAsia="ru-RU"/>
        </w:rPr>
        <w:lastRenderedPageBreak/>
        <w:drawing>
          <wp:inline distT="0" distB="0" distL="0" distR="0" wp14:anchorId="62DECABB" wp14:editId="18144898">
            <wp:extent cx="9422130" cy="520530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36336" cy="521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7454F" w:rsidRDefault="0007454F" w:rsidP="00DC1ABA"/>
    <w:p w:rsidR="0007454F" w:rsidRDefault="0007454F" w:rsidP="00DC1ABA"/>
    <w:p w:rsidR="0007454F" w:rsidRPr="00DC1ABA" w:rsidRDefault="0007454F" w:rsidP="00DC1ABA">
      <w:r w:rsidRPr="006A5BED">
        <w:rPr>
          <w:noProof/>
          <w:lang w:eastAsia="ru-RU"/>
        </w:rPr>
        <w:lastRenderedPageBreak/>
        <w:drawing>
          <wp:inline distT="0" distB="0" distL="0" distR="0" wp14:anchorId="1E039A78" wp14:editId="0B49A079">
            <wp:extent cx="9611995" cy="6392398"/>
            <wp:effectExtent l="0" t="0" r="825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39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54F" w:rsidRPr="00DC1ABA" w:rsidSect="002E41C4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015B6"/>
    <w:multiLevelType w:val="multilevel"/>
    <w:tmpl w:val="482C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840AB4"/>
    <w:multiLevelType w:val="multilevel"/>
    <w:tmpl w:val="B3AC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</w:num>
  <w:num w:numId="11">
    <w:abstractNumId w:val="6"/>
  </w:num>
  <w:num w:numId="12">
    <w:abstractNumId w:val="8"/>
  </w:num>
  <w:num w:numId="13">
    <w:abstractNumId w:val="6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"/>
  </w:num>
  <w:num w:numId="24">
    <w:abstractNumId w:val="6"/>
  </w:num>
  <w:num w:numId="25">
    <w:abstractNumId w:val="5"/>
  </w:num>
  <w:num w:numId="26">
    <w:abstractNumId w:val="15"/>
  </w:num>
  <w:num w:numId="27">
    <w:abstractNumId w:val="12"/>
  </w:num>
  <w:num w:numId="28">
    <w:abstractNumId w:val="2"/>
  </w:num>
  <w:num w:numId="29">
    <w:abstractNumId w:val="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6783E"/>
    <w:rsid w:val="0007454F"/>
    <w:rsid w:val="000A3AF5"/>
    <w:rsid w:val="000A3DED"/>
    <w:rsid w:val="000B14A9"/>
    <w:rsid w:val="000B40D7"/>
    <w:rsid w:val="000D4CB8"/>
    <w:rsid w:val="000E193C"/>
    <w:rsid w:val="000E4C72"/>
    <w:rsid w:val="000F57C0"/>
    <w:rsid w:val="001122BB"/>
    <w:rsid w:val="001130A7"/>
    <w:rsid w:val="00113376"/>
    <w:rsid w:val="00114A72"/>
    <w:rsid w:val="00122395"/>
    <w:rsid w:val="00122C93"/>
    <w:rsid w:val="00125A5B"/>
    <w:rsid w:val="001263EE"/>
    <w:rsid w:val="001519DB"/>
    <w:rsid w:val="00153215"/>
    <w:rsid w:val="001537D0"/>
    <w:rsid w:val="00183EB4"/>
    <w:rsid w:val="00190AA8"/>
    <w:rsid w:val="001973F6"/>
    <w:rsid w:val="001A61C6"/>
    <w:rsid w:val="001B7E18"/>
    <w:rsid w:val="001C2233"/>
    <w:rsid w:val="001C41BF"/>
    <w:rsid w:val="001C71FD"/>
    <w:rsid w:val="001D04B0"/>
    <w:rsid w:val="001D28F7"/>
    <w:rsid w:val="001F3887"/>
    <w:rsid w:val="002027D4"/>
    <w:rsid w:val="00235E57"/>
    <w:rsid w:val="0026274A"/>
    <w:rsid w:val="00263148"/>
    <w:rsid w:val="00263A2B"/>
    <w:rsid w:val="00267774"/>
    <w:rsid w:val="00271D6D"/>
    <w:rsid w:val="0028269D"/>
    <w:rsid w:val="00287A82"/>
    <w:rsid w:val="002A425F"/>
    <w:rsid w:val="002A73C3"/>
    <w:rsid w:val="002C03BF"/>
    <w:rsid w:val="002D5EA0"/>
    <w:rsid w:val="002D69E9"/>
    <w:rsid w:val="002E41C4"/>
    <w:rsid w:val="002F1AA2"/>
    <w:rsid w:val="002F2D17"/>
    <w:rsid w:val="002F4718"/>
    <w:rsid w:val="003042FC"/>
    <w:rsid w:val="00311D34"/>
    <w:rsid w:val="00316F7E"/>
    <w:rsid w:val="00327F44"/>
    <w:rsid w:val="0034512A"/>
    <w:rsid w:val="00346FAD"/>
    <w:rsid w:val="00377FD5"/>
    <w:rsid w:val="00393D39"/>
    <w:rsid w:val="00397375"/>
    <w:rsid w:val="003A7AD1"/>
    <w:rsid w:val="003B16F8"/>
    <w:rsid w:val="003B7C07"/>
    <w:rsid w:val="003C190C"/>
    <w:rsid w:val="003C6C7D"/>
    <w:rsid w:val="003D50EB"/>
    <w:rsid w:val="003E63B7"/>
    <w:rsid w:val="00411A1A"/>
    <w:rsid w:val="0043049E"/>
    <w:rsid w:val="00446C77"/>
    <w:rsid w:val="0045269A"/>
    <w:rsid w:val="004659D9"/>
    <w:rsid w:val="00473F7F"/>
    <w:rsid w:val="00493C5A"/>
    <w:rsid w:val="004B38DD"/>
    <w:rsid w:val="004B4055"/>
    <w:rsid w:val="004B5B36"/>
    <w:rsid w:val="004E43EB"/>
    <w:rsid w:val="00510372"/>
    <w:rsid w:val="005116A7"/>
    <w:rsid w:val="005240D4"/>
    <w:rsid w:val="005338AA"/>
    <w:rsid w:val="005351D6"/>
    <w:rsid w:val="005379E4"/>
    <w:rsid w:val="00571FCB"/>
    <w:rsid w:val="005867B4"/>
    <w:rsid w:val="00596EE8"/>
    <w:rsid w:val="005C5A4A"/>
    <w:rsid w:val="005F3CF7"/>
    <w:rsid w:val="005F75C8"/>
    <w:rsid w:val="00607B35"/>
    <w:rsid w:val="00667150"/>
    <w:rsid w:val="00673F68"/>
    <w:rsid w:val="00697469"/>
    <w:rsid w:val="006C383D"/>
    <w:rsid w:val="006D5B79"/>
    <w:rsid w:val="00702FED"/>
    <w:rsid w:val="007052ED"/>
    <w:rsid w:val="007126E6"/>
    <w:rsid w:val="00716B92"/>
    <w:rsid w:val="00726E4D"/>
    <w:rsid w:val="007329B2"/>
    <w:rsid w:val="00753CF0"/>
    <w:rsid w:val="00765B3F"/>
    <w:rsid w:val="00767CD9"/>
    <w:rsid w:val="00772643"/>
    <w:rsid w:val="007734F6"/>
    <w:rsid w:val="007750A2"/>
    <w:rsid w:val="00776CED"/>
    <w:rsid w:val="00777651"/>
    <w:rsid w:val="00784B0C"/>
    <w:rsid w:val="007A41B0"/>
    <w:rsid w:val="007A7566"/>
    <w:rsid w:val="007B3186"/>
    <w:rsid w:val="007D1606"/>
    <w:rsid w:val="007D1BCB"/>
    <w:rsid w:val="007D3FBB"/>
    <w:rsid w:val="00820F11"/>
    <w:rsid w:val="00826383"/>
    <w:rsid w:val="00827737"/>
    <w:rsid w:val="008359EB"/>
    <w:rsid w:val="0084011C"/>
    <w:rsid w:val="00855FFF"/>
    <w:rsid w:val="0086207D"/>
    <w:rsid w:val="00862C7C"/>
    <w:rsid w:val="00874F30"/>
    <w:rsid w:val="008A2839"/>
    <w:rsid w:val="008D29EE"/>
    <w:rsid w:val="008E4354"/>
    <w:rsid w:val="008E568E"/>
    <w:rsid w:val="008F4EC0"/>
    <w:rsid w:val="008F72E5"/>
    <w:rsid w:val="008F74CA"/>
    <w:rsid w:val="00913008"/>
    <w:rsid w:val="00922F5D"/>
    <w:rsid w:val="00940E27"/>
    <w:rsid w:val="00957FE9"/>
    <w:rsid w:val="00963A63"/>
    <w:rsid w:val="00973C40"/>
    <w:rsid w:val="00980932"/>
    <w:rsid w:val="00984D16"/>
    <w:rsid w:val="00990348"/>
    <w:rsid w:val="00990CCB"/>
    <w:rsid w:val="009978BB"/>
    <w:rsid w:val="009B5798"/>
    <w:rsid w:val="009C2DA1"/>
    <w:rsid w:val="009D68F4"/>
    <w:rsid w:val="009D7941"/>
    <w:rsid w:val="009F5DE7"/>
    <w:rsid w:val="00A013C0"/>
    <w:rsid w:val="00A13615"/>
    <w:rsid w:val="00A144F4"/>
    <w:rsid w:val="00A15423"/>
    <w:rsid w:val="00A25FAC"/>
    <w:rsid w:val="00A32B22"/>
    <w:rsid w:val="00A33130"/>
    <w:rsid w:val="00A51FF5"/>
    <w:rsid w:val="00A528C1"/>
    <w:rsid w:val="00A528C9"/>
    <w:rsid w:val="00A64FD0"/>
    <w:rsid w:val="00A7136F"/>
    <w:rsid w:val="00A81249"/>
    <w:rsid w:val="00A83CDF"/>
    <w:rsid w:val="00A85915"/>
    <w:rsid w:val="00AA2B5F"/>
    <w:rsid w:val="00AA413A"/>
    <w:rsid w:val="00AA7DCC"/>
    <w:rsid w:val="00AB4713"/>
    <w:rsid w:val="00AC2435"/>
    <w:rsid w:val="00AC52AE"/>
    <w:rsid w:val="00AC74EC"/>
    <w:rsid w:val="00AE0CD6"/>
    <w:rsid w:val="00AE1AA0"/>
    <w:rsid w:val="00AE7880"/>
    <w:rsid w:val="00B23BCE"/>
    <w:rsid w:val="00B36049"/>
    <w:rsid w:val="00B40C42"/>
    <w:rsid w:val="00B555DD"/>
    <w:rsid w:val="00B86239"/>
    <w:rsid w:val="00B954AF"/>
    <w:rsid w:val="00BA3CDF"/>
    <w:rsid w:val="00BB0DE7"/>
    <w:rsid w:val="00BD3EC7"/>
    <w:rsid w:val="00BE0C71"/>
    <w:rsid w:val="00BE2F64"/>
    <w:rsid w:val="00BE36BC"/>
    <w:rsid w:val="00BF0B66"/>
    <w:rsid w:val="00BF286D"/>
    <w:rsid w:val="00C00F84"/>
    <w:rsid w:val="00C0721C"/>
    <w:rsid w:val="00C07ADC"/>
    <w:rsid w:val="00C15063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6AE9"/>
    <w:rsid w:val="00C8729F"/>
    <w:rsid w:val="00CA399C"/>
    <w:rsid w:val="00CC10CB"/>
    <w:rsid w:val="00CE0C6F"/>
    <w:rsid w:val="00CE0CA9"/>
    <w:rsid w:val="00CE4E0C"/>
    <w:rsid w:val="00CF3CB2"/>
    <w:rsid w:val="00CF6D78"/>
    <w:rsid w:val="00D11D73"/>
    <w:rsid w:val="00D171A4"/>
    <w:rsid w:val="00D21EB3"/>
    <w:rsid w:val="00D23DA8"/>
    <w:rsid w:val="00D26DBB"/>
    <w:rsid w:val="00D449C9"/>
    <w:rsid w:val="00D47640"/>
    <w:rsid w:val="00D5079F"/>
    <w:rsid w:val="00D56401"/>
    <w:rsid w:val="00D57BBF"/>
    <w:rsid w:val="00D71E3B"/>
    <w:rsid w:val="00D72D1F"/>
    <w:rsid w:val="00D74EE3"/>
    <w:rsid w:val="00D7540E"/>
    <w:rsid w:val="00D75CF9"/>
    <w:rsid w:val="00D94DAD"/>
    <w:rsid w:val="00DB0318"/>
    <w:rsid w:val="00DC014B"/>
    <w:rsid w:val="00DC1ABA"/>
    <w:rsid w:val="00DD0808"/>
    <w:rsid w:val="00DD79D5"/>
    <w:rsid w:val="00DE42C6"/>
    <w:rsid w:val="00DF61B1"/>
    <w:rsid w:val="00E16705"/>
    <w:rsid w:val="00E32884"/>
    <w:rsid w:val="00E437C1"/>
    <w:rsid w:val="00E44634"/>
    <w:rsid w:val="00E51C1F"/>
    <w:rsid w:val="00E61689"/>
    <w:rsid w:val="00E62AA6"/>
    <w:rsid w:val="00E81C18"/>
    <w:rsid w:val="00EA2D8E"/>
    <w:rsid w:val="00EC78DC"/>
    <w:rsid w:val="00ED1B9A"/>
    <w:rsid w:val="00EE19E6"/>
    <w:rsid w:val="00EE2249"/>
    <w:rsid w:val="00F00E39"/>
    <w:rsid w:val="00F0574E"/>
    <w:rsid w:val="00F07FB1"/>
    <w:rsid w:val="00F20301"/>
    <w:rsid w:val="00F239FF"/>
    <w:rsid w:val="00F274D7"/>
    <w:rsid w:val="00F40545"/>
    <w:rsid w:val="00F42647"/>
    <w:rsid w:val="00F42F9B"/>
    <w:rsid w:val="00F5205E"/>
    <w:rsid w:val="00F6672F"/>
    <w:rsid w:val="00FB2301"/>
    <w:rsid w:val="00FC3BF6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267</cp:revision>
  <dcterms:created xsi:type="dcterms:W3CDTF">2025-11-26T02:06:00Z</dcterms:created>
  <dcterms:modified xsi:type="dcterms:W3CDTF">2026-08-26T07:17:00Z</dcterms:modified>
</cp:coreProperties>
</file>