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 w:eastAsia="Times New Roman" w:cs="Times New Roman"/>
          <w:b/>
          <w:sz w:val="26"/>
        </w:rPr>
      </w:pPr>
      <w:r>
        <w:rPr>
          <w:rFonts w:eastAsia="Times New Roman" w:cs="Times New Roman" w:ascii="PT Astra Serif" w:hAnsi="PT Astra Serif"/>
          <w:b/>
          <w:sz w:val="26"/>
        </w:rPr>
        <w:t>Расчет и обоснование цены</w:t>
      </w:r>
    </w:p>
    <w:p>
      <w:pPr>
        <w:pStyle w:val="ConsPlusNormal1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cs="Times New Roman" w:ascii="PT Astra Serif" w:hAnsi="PT Astra Serif"/>
          <w:b/>
          <w:sz w:val="26"/>
        </w:rPr>
        <w:t xml:space="preserve">Государственного контракта </w:t>
      </w:r>
      <w:r>
        <w:rPr>
          <w:rFonts w:cs="Times New Roman" w:ascii="PT Astra Serif" w:hAnsi="PT Astra Serif"/>
          <w:b/>
          <w:sz w:val="26"/>
          <w:szCs w:val="26"/>
        </w:rPr>
        <w:t>на поставку частей и принадлежностей</w:t>
      </w:r>
    </w:p>
    <w:p>
      <w:pPr>
        <w:pStyle w:val="ConsPlusNormal1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cs="Times New Roman" w:ascii="PT Astra Serif" w:hAnsi="PT Astra Serif"/>
          <w:b/>
          <w:sz w:val="26"/>
          <w:szCs w:val="26"/>
        </w:rPr>
        <w:t xml:space="preserve"> </w:t>
      </w:r>
      <w:r>
        <w:rPr>
          <w:rFonts w:cs="Times New Roman" w:ascii="PT Astra Serif" w:hAnsi="PT Astra Serif"/>
          <w:b/>
          <w:sz w:val="26"/>
          <w:szCs w:val="26"/>
        </w:rPr>
        <w:t>прочих, не включенных в другие группировки для автотранспортных средств</w:t>
      </w:r>
    </w:p>
    <w:p>
      <w:pPr>
        <w:pStyle w:val="Normal"/>
        <w:spacing w:lineRule="auto" w:line="240" w:before="0" w:after="0"/>
        <w:ind w:firstLine="540"/>
        <w:jc w:val="center"/>
        <w:rPr>
          <w:rFonts w:ascii="PT Astra Serif" w:hAnsi="PT Astra Serif" w:eastAsia="Times New Roman" w:cs="Times New Roman"/>
          <w:b/>
          <w:sz w:val="26"/>
        </w:rPr>
      </w:pPr>
      <w:r>
        <w:rPr>
          <w:rFonts w:eastAsia="Times New Roman" w:cs="Times New Roman" w:ascii="PT Astra Serif" w:hAnsi="PT Astra Serif"/>
          <w:b/>
          <w:sz w:val="26"/>
        </w:rPr>
        <w:t>ФКУ БМТиВС УФСИН России по Республике Бурятия</w:t>
      </w:r>
    </w:p>
    <w:p>
      <w:pPr>
        <w:pStyle w:val="Normal"/>
        <w:spacing w:lineRule="auto" w:line="240" w:before="0" w:after="0"/>
        <w:ind w:firstLine="540"/>
        <w:jc w:val="center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79"/>
        <w:gridCol w:w="3303"/>
        <w:gridCol w:w="9171"/>
        <w:gridCol w:w="765"/>
        <w:gridCol w:w="1164"/>
      </w:tblGrid>
      <w:tr>
        <w:trPr>
          <w:trHeight w:val="280" w:hRule="atLeast"/>
          <w:cantSplit w:val="true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>
              <w:rPr>
                <w:rFonts w:ascii="PT Astra Serif" w:hAnsi="PT Astra Serif"/>
                <w:sz w:val="20"/>
                <w:szCs w:val="20"/>
              </w:rPr>
              <w:t>п/п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Предмет контракта</w:t>
            </w:r>
          </w:p>
        </w:tc>
        <w:tc>
          <w:tcPr>
            <w:tcW w:w="9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Ед. изм.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Кол-во</w:t>
            </w:r>
          </w:p>
        </w:tc>
      </w:tr>
      <w:tr>
        <w:trPr>
          <w:trHeight w:val="284" w:hRule="atLeast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Поставка запасных частей</w:t>
            </w:r>
          </w:p>
        </w:tc>
        <w:tc>
          <w:tcPr>
            <w:tcW w:w="9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b/>
                <w:sz w:val="20"/>
                <w:szCs w:val="20"/>
              </w:rPr>
              <w:t xml:space="preserve"> </w:t>
            </w:r>
            <w:r>
              <w:rPr>
                <w:rFonts w:cs="Times New Roman" w:ascii="PT Astra Serif" w:hAnsi="PT Astra Serif"/>
                <w:sz w:val="20"/>
                <w:szCs w:val="20"/>
              </w:rPr>
              <w:t>на поставку частей и принадлежностей прочих, не включенных в другие группировки для автотранспортных средств</w:t>
            </w:r>
          </w:p>
          <w:p>
            <w:pPr>
              <w:pStyle w:val="NoSpacing"/>
              <w:widowControl w:val="false"/>
              <w:ind w:firstLine="567"/>
              <w:rPr>
                <w:rFonts w:ascii="PT Astra Serif" w:hAnsi="PT Astra Serif"/>
                <w:sz w:val="20"/>
                <w:szCs w:val="20"/>
                <w:shd w:fill="FFFFFF" w:val="clear"/>
              </w:rPr>
            </w:pPr>
            <w:r>
              <w:rPr>
                <w:rFonts w:ascii="PT Astra Serif" w:hAnsi="PT Astra Serif"/>
                <w:sz w:val="20"/>
                <w:szCs w:val="20"/>
                <w:shd w:fill="FFFFFF" w:val="clear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шт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ind w:left="-108" w:right="-108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Используемый метод определения ЦК с обоснованием:</w:t>
            </w:r>
          </w:p>
        </w:tc>
        <w:tc>
          <w:tcPr>
            <w:tcW w:w="1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2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Метод сопоставимых рыночных цен (анализа рынка). 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</w:t>
            </w:r>
          </w:p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cs="Calibri" w:ascii="PT Astra Serif" w:hAnsi="PT Astra Serif"/>
                <w:color w:val="000000"/>
                <w:sz w:val="20"/>
                <w:szCs w:val="20"/>
              </w:rPr>
              <w:t>При использовании пункта 3.7.4 Рекомендаций, осуществлен поиск ценовой информации в сети Интернет.</w:t>
              <w:br/>
            </w:r>
          </w:p>
        </w:tc>
      </w:tr>
      <w:tr>
        <w:trPr>
          <w:trHeight w:val="284" w:hRule="atLeast"/>
        </w:trPr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НМЦК, руб.</w:t>
            </w:r>
          </w:p>
        </w:tc>
        <w:tc>
          <w:tcPr>
            <w:tcW w:w="1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30 310 ( тридцать тысяч триста десять ) рублей 00 копеек</w:t>
            </w:r>
          </w:p>
        </w:tc>
      </w:tr>
      <w:tr>
        <w:trPr>
          <w:trHeight w:val="284" w:hRule="atLeast"/>
        </w:trPr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Дата подготовки обоснования</w:t>
            </w:r>
          </w:p>
        </w:tc>
        <w:tc>
          <w:tcPr>
            <w:tcW w:w="1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28.07.2026</w:t>
            </w:r>
          </w:p>
        </w:tc>
      </w:tr>
      <w:tr>
        <w:trPr>
          <w:trHeight w:val="284" w:hRule="atLeast"/>
        </w:trPr>
        <w:tc>
          <w:tcPr>
            <w:tcW w:w="3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Исполнитель</w:t>
            </w:r>
          </w:p>
        </w:tc>
        <w:tc>
          <w:tcPr>
            <w:tcW w:w="11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Абросимова Л.И.</w:t>
            </w:r>
          </w:p>
        </w:tc>
      </w:tr>
    </w:tbl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0"/>
          <w:szCs w:val="20"/>
        </w:rPr>
      </w:pPr>
      <w:r>
        <w:rPr>
          <w:rFonts w:eastAsia="Times New Roman" w:cs="Times New Roman" w:ascii="PT Astra Serif" w:hAnsi="PT Astra Serif"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0"/>
          <w:szCs w:val="20"/>
        </w:rPr>
      </w:pPr>
      <w:r>
        <w:rPr>
          <w:rFonts w:eastAsia="Times New Roman" w:cs="Times New Roman" w:ascii="PT Astra Serif" w:hAnsi="PT Astra Serif"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PT Astra Serif" w:hAnsi="PT Astra Serif" w:eastAsia="Times New Roman" w:cs="Times New Roman"/>
          <w:b/>
          <w:sz w:val="20"/>
          <w:szCs w:val="20"/>
        </w:rPr>
      </w:pPr>
      <w:r>
        <w:rPr>
          <w:rFonts w:eastAsia="Times New Roman" w:cs="Times New Roman" w:ascii="PT Astra Serif" w:hAnsi="PT Astra Serif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0"/>
          <w:szCs w:val="20"/>
        </w:rPr>
      </w:pPr>
      <w:r>
        <w:rPr>
          <w:rFonts w:eastAsia="Times New Roman" w:cs="Times New Roman" w:ascii="PT Astra Serif" w:hAnsi="PT Astra Serif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PT Astra Serif" w:hAnsi="PT Astra Serif" w:eastAsia="Times New Roman" w:cs="Times New Roman"/>
          <w:b/>
          <w:sz w:val="20"/>
          <w:szCs w:val="20"/>
        </w:rPr>
      </w:pPr>
      <w:r>
        <w:rPr>
          <w:rFonts w:eastAsia="Times New Roman" w:cs="Times New Roman" w:ascii="PT Astra Serif" w:hAnsi="PT Astra Serif"/>
          <w:b/>
          <w:sz w:val="20"/>
          <w:szCs w:val="2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0"/>
          <w:szCs w:val="20"/>
        </w:rPr>
      </w:pPr>
      <w:r>
        <w:rPr>
          <w:rFonts w:eastAsia="Times New Roman" w:cs="Times New Roman" w:ascii="PT Astra Serif" w:hAnsi="PT Astra Serif"/>
          <w:sz w:val="20"/>
          <w:szCs w:val="20"/>
        </w:rPr>
      </w:r>
    </w:p>
    <w:tbl>
      <w:tblPr>
        <w:tblpPr w:vertAnchor="page" w:horzAnchor="margin" w:tblpXSpec="center" w:bottomFromText="200" w:leftFromText="180" w:rightFromText="180" w:tblpY="1606"/>
        <w:tblW w:w="152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92"/>
        <w:gridCol w:w="2834"/>
        <w:gridCol w:w="568"/>
        <w:gridCol w:w="425"/>
        <w:gridCol w:w="851"/>
        <w:gridCol w:w="991"/>
        <w:gridCol w:w="851"/>
        <w:gridCol w:w="993"/>
        <w:gridCol w:w="849"/>
        <w:gridCol w:w="993"/>
        <w:gridCol w:w="851"/>
        <w:gridCol w:w="991"/>
        <w:gridCol w:w="992"/>
        <w:gridCol w:w="852"/>
        <w:gridCol w:w="850"/>
        <w:gridCol w:w="989"/>
      </w:tblGrid>
      <w:tr>
        <w:trPr>
          <w:trHeight w:val="1407" w:hRule="atLeast"/>
        </w:trPr>
        <w:tc>
          <w:tcPr>
            <w:tcW w:w="4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Источник получения информации</w:t>
            </w: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п.3.7.1. Приказа Минэкономразвития России от 02.10.2013 № 567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п.3.7.4. Приказа Минэкономразвития России от 02.10.2013</w:t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 xml:space="preserve"> № </w:t>
            </w:r>
            <w:r>
              <w:rPr>
                <w:rFonts w:cs="Times New Roman" w:ascii="PT Astra Serif" w:hAnsi="PT Astra Serif"/>
                <w:sz w:val="16"/>
                <w:szCs w:val="16"/>
              </w:rPr>
              <w:t>567</w:t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  <w:p>
            <w:pPr>
              <w:pStyle w:val="NoSpacing"/>
              <w:widowControl w:val="false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Средняя</w:t>
            </w:r>
          </w:p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цена, руб.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0" w:left="-94" w:right="-64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Коэффициент вариации (%)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b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b/>
                <w:sz w:val="16"/>
                <w:szCs w:val="16"/>
              </w:rPr>
              <w:t>НМЦК</w:t>
            </w:r>
          </w:p>
        </w:tc>
      </w:tr>
      <w:tr>
        <w:trPr>
          <w:trHeight w:val="1113" w:hRule="atLeast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725" w:leader="none"/>
              </w:tabs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Наименование запасных частей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Ед. изм.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Кол-во.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Коммерческое предложение</w:t>
            </w:r>
          </w:p>
          <w:p>
            <w:pPr>
              <w:pStyle w:val="Normal"/>
              <w:spacing w:lineRule="auto" w:line="240" w:before="0" w:after="200"/>
              <w:ind w:left="-95" w:right="-95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highlight w:val="yellow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вх-4/ТО/27/1-755 от 27.07.2026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Коммерческое предложение</w:t>
            </w:r>
          </w:p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highlight w:val="yellow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вх-4/ТО/27/1-754 от 27.07.2026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Коммерческое предложение</w:t>
            </w:r>
          </w:p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вх-4/ТО/27/1-753 от 27.07.2026</w:t>
            </w:r>
          </w:p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  <w:r>
              <w:rPr>
                <w:rFonts w:cs="Times New Roman" w:ascii="PT Astra Serif" w:hAnsi="PT Astra Serif"/>
                <w:sz w:val="16"/>
                <w:szCs w:val="16"/>
                <w:highlight w:val="yellow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 xml:space="preserve">№ </w:t>
            </w:r>
            <w:r>
              <w:rPr>
                <w:rFonts w:cs="Times New Roman"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0" w:left="-94" w:right="-64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</w:tr>
      <w:tr>
        <w:trPr>
          <w:trHeight w:val="559" w:hRule="atLeast"/>
        </w:trPr>
        <w:tc>
          <w:tcPr>
            <w:tcW w:w="3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28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5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Стоимость услуг,</w:t>
            </w:r>
          </w:p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руб.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Стоимость услуг, руб.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Стоимость услуг, руб.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Стоимость услуг,</w:t>
            </w:r>
          </w:p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руб.</w:t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</w:tr>
      <w:tr>
        <w:trPr>
          <w:trHeight w:val="607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16"/>
                <w:szCs w:val="16"/>
                <w:lang w:val="en-US"/>
              </w:rPr>
            </w:pPr>
            <w:r>
              <w:rPr>
                <w:rFonts w:ascii="PT Astra Serif" w:hAnsi="PT Astra Serif"/>
                <w:sz w:val="16"/>
                <w:szCs w:val="16"/>
                <w:lang w:val="en-US"/>
              </w:rPr>
              <w:t xml:space="preserve">  </w:t>
            </w:r>
            <w:r>
              <w:rPr>
                <w:rFonts w:ascii="PT Astra Serif" w:hAnsi="PT Astra Serif"/>
                <w:sz w:val="16"/>
                <w:szCs w:val="16"/>
              </w:rPr>
              <w:t>Комплект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</w:rPr>
              <w:t>ГРМ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 xml:space="preserve"> 16V Logan, Duster, Fluence, Megane II-III GATES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9500,00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9500,00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10000,00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10000,00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10100,00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10100,00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10606,00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10606,00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10051,50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453,37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4,51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10 051,50</w:t>
            </w:r>
          </w:p>
        </w:tc>
      </w:tr>
      <w:tr>
        <w:trPr>
          <w:trHeight w:val="481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16"/>
                <w:szCs w:val="16"/>
                <w:lang w:val="en-US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Клапан выпускной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16VK4M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FRECCIA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700,00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5600,00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800,00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6400,00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800,00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6400,00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820,00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6560,00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780,00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54,16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6,94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6240,00</w:t>
            </w:r>
          </w:p>
        </w:tc>
      </w:tr>
      <w:tr>
        <w:trPr>
          <w:trHeight w:val="340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16"/>
                <w:szCs w:val="16"/>
                <w:lang w:val="en-US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Клапан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</w:rPr>
              <w:t>выпускной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 xml:space="preserve"> 16V Logan  Duster  FRECCIA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450,00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3600,00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550,00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4400,00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4800,00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532,00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4 256,00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533,00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62,36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11,70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4264,00</w:t>
            </w:r>
          </w:p>
        </w:tc>
      </w:tr>
      <w:tr>
        <w:trPr>
          <w:trHeight w:val="528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16"/>
                <w:szCs w:val="16"/>
                <w:lang w:val="en-US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Прокладка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</w:rPr>
              <w:t>ГБЦ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 xml:space="preserve"> 16V Logan Megane II-III, Duster, Fluence, STELLOX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4"/>
                <w:szCs w:val="14"/>
                <w:lang w:val="en-US"/>
              </w:rPr>
            </w:pPr>
            <w:r>
              <w:rPr>
                <w:rFonts w:ascii="PT Astra Serif" w:hAnsi="PT Astra Serif"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1450,00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1450,00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1585,00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1585,00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1900,00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1900,00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1628,00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1628,00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1640,75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188,74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11,50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1640,75</w:t>
            </w:r>
          </w:p>
        </w:tc>
      </w:tr>
      <w:tr>
        <w:trPr>
          <w:trHeight w:val="749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Направляющая втулка вып/впуск К4М клапана (бронза)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L</w:t>
            </w:r>
            <w:r>
              <w:rPr>
                <w:rFonts w:ascii="PT Astra Serif" w:hAnsi="PT Astra Serif"/>
                <w:sz w:val="16"/>
                <w:szCs w:val="16"/>
              </w:rPr>
              <w:t xml:space="preserve">=40,6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FRECCIA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4"/>
                <w:szCs w:val="14"/>
                <w:lang w:val="en-US"/>
              </w:rPr>
            </w:pPr>
            <w:r>
              <w:rPr>
                <w:rFonts w:ascii="PT Astra Serif" w:hAnsi="PT Astra Serif"/>
                <w:sz w:val="14"/>
                <w:szCs w:val="14"/>
                <w:lang w:val="en-US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450,00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7200,00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8000,00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8000,00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717,00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11472,00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541,75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119,19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22,00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8668,00</w:t>
            </w:r>
          </w:p>
        </w:tc>
      </w:tr>
      <w:tr>
        <w:trPr>
          <w:trHeight w:val="481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Колпачок маслосъемный 16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V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( комплект) 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Logan</w:t>
            </w:r>
            <w:r>
              <w:rPr>
                <w:rFonts w:ascii="PT Astra Serif" w:hAnsi="PT Astra Serif"/>
                <w:sz w:val="16"/>
                <w:szCs w:val="16"/>
              </w:rPr>
              <w:t xml:space="preserve">,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Duster</w:t>
            </w:r>
            <w:r>
              <w:rPr>
                <w:rFonts w:ascii="PT Astra Serif" w:hAnsi="PT Astra Serif"/>
                <w:sz w:val="16"/>
                <w:szCs w:val="16"/>
              </w:rPr>
              <w:t xml:space="preserve">,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Megane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II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TRIALLI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4"/>
                <w:szCs w:val="14"/>
                <w:lang w:val="en-US"/>
              </w:rPr>
            </w:pPr>
            <w:r>
              <w:rPr>
                <w:rFonts w:ascii="PT Astra Serif" w:hAnsi="PT Astra Serif"/>
                <w:sz w:val="14"/>
                <w:szCs w:val="1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1500,00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1500,00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1600,00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1600,00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1700,00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1700,00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2252,00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2252,00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1763,00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336,07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19,06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1763,00</w:t>
            </w:r>
          </w:p>
        </w:tc>
      </w:tr>
      <w:tr>
        <w:trPr>
          <w:trHeight w:val="646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16"/>
                <w:szCs w:val="16"/>
                <w:lang w:val="en-US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Прокладка впускного коллектора 16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V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( комплект)  комплект 5 шт.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COTECH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550,00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550,00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550,00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550,00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650,00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650,00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622,00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622,00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593,00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50,95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8,59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593,00</w:t>
            </w:r>
          </w:p>
        </w:tc>
      </w:tr>
      <w:tr>
        <w:trPr>
          <w:trHeight w:val="269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8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Прокладка выпускного коллектора 16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V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( комплект)  комплект 5 шт. </w:t>
            </w:r>
            <w:r>
              <w:rPr>
                <w:rFonts w:ascii="PT Astra Serif" w:hAnsi="PT Astra Serif"/>
                <w:sz w:val="16"/>
                <w:szCs w:val="16"/>
                <w:lang w:val="en-US"/>
              </w:rPr>
              <w:t>COTECH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560,00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560,00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600,00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650,00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650,00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846,00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846,00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664,00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126,80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19,10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664,00</w:t>
            </w:r>
          </w:p>
        </w:tc>
      </w:tr>
      <w:tr>
        <w:trPr>
          <w:trHeight w:val="677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Кольца на дроссельную заслонку ( комплект)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4"/>
                <w:szCs w:val="14"/>
              </w:rPr>
            </w:pPr>
            <w:r>
              <w:rPr>
                <w:rFonts w:ascii="PT Astra Serif" w:hAnsi="PT Astra Serif"/>
                <w:sz w:val="14"/>
                <w:szCs w:val="1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350,00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350,00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400,00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400,00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400,00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  <w:t>400,00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430,00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  <w:t>430,00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395,00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33,17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8,40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  <w:lang w:val="en-US"/>
              </w:rPr>
              <w:t>395,00</w:t>
            </w:r>
          </w:p>
        </w:tc>
      </w:tr>
      <w:tr>
        <w:trPr>
          <w:trHeight w:val="340" w:hRule="atLeast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ind w:left="-1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color w:val="FF0000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color w:val="FF0000"/>
                <w:sz w:val="16"/>
                <w:szCs w:val="16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cs="Times New Roman" w:ascii="PT Astra Serif" w:hAnsi="PT Astra Serif"/>
                <w:b/>
                <w:sz w:val="16"/>
                <w:szCs w:val="16"/>
              </w:rPr>
              <w:t>30310,00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cs="Times New Roman" w:ascii="PT Astra Serif" w:hAnsi="PT Astra Serif"/>
                <w:b/>
                <w:sz w:val="16"/>
                <w:szCs w:val="16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cs="Times New Roman" w:ascii="PT Astra Serif" w:hAnsi="PT Astra Serif"/>
                <w:b/>
                <w:sz w:val="16"/>
                <w:szCs w:val="16"/>
              </w:rPr>
              <w:t>33535,00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>
              <w:rPr>
                <w:rFonts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>
              <w:rPr>
                <w:rFonts w:cs="Times New Roman" w:ascii="PT Astra Serif" w:hAnsi="PT Astra Serif"/>
                <w:b/>
                <w:sz w:val="16"/>
                <w:szCs w:val="16"/>
              </w:rPr>
              <w:t>34600,00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eastAsia="Times New Roman" w:cs="Times New Roman" w:ascii="PT Astra Serif" w:hAnsi="PT Astra Serif"/>
                <w:color w:val="FF0000"/>
                <w:sz w:val="16"/>
                <w:szCs w:val="16"/>
                <w:highlight w:val="yellow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eastAsia="Times New Roman" w:cs="Times New Roman" w:ascii="PT Astra Serif" w:hAnsi="PT Astra Serif"/>
                <w:b/>
                <w:sz w:val="16"/>
                <w:szCs w:val="16"/>
              </w:rPr>
              <w:t>38672,00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b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b/>
                <w:sz w:val="16"/>
                <w:szCs w:val="16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 w:ascii="PT Astra Serif" w:hAnsi="PT Astra Serif"/>
                <w:sz w:val="16"/>
                <w:szCs w:val="16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eastAsia="Times New Roman" w:cs="Times New Roman" w:ascii="PT Astra Serif" w:hAnsi="PT Astra Serif"/>
                <w:b/>
                <w:sz w:val="16"/>
                <w:szCs w:val="16"/>
                <w:lang w:val="en-US"/>
              </w:rPr>
              <w:t>34279,25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18"/>
          <w:szCs w:val="18"/>
        </w:rPr>
      </w:pPr>
      <w:r>
        <w:rPr>
          <w:rFonts w:eastAsia="Times New Roman" w:cs="Times New Roman" w:ascii="PT Astra Serif" w:hAnsi="PT Astra Serif"/>
          <w:sz w:val="18"/>
          <w:szCs w:val="1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color w:val="FF0000"/>
          <w:sz w:val="20"/>
          <w:szCs w:val="20"/>
        </w:rPr>
      </w:pPr>
      <w:r>
        <w:rPr>
          <w:rFonts w:eastAsia="Times New Roman" w:cs="Times New Roman" w:ascii="PT Astra Serif" w:hAnsi="PT Astra Serif"/>
          <w:sz w:val="20"/>
          <w:szCs w:val="20"/>
        </w:rPr>
        <w:t xml:space="preserve">*В соответствии с разъяснениями Министерства экономического развития Российской Федерации (письмо от 08.04.2014 </w:t>
        <w:br/>
        <w:t>№Д28и-443) при использовании метода сопоставимых рыночных цен (анализа рынка) Государственный заказчик вправе осуществлять закупку товаров, работ, услуг у единственного поставщика (подрядчика, исполнителя) по наименьшей цене контракта. Поставщик №1 НМЦК (ЦК) – 30 310 (тридцать тысяч триста десять) рублей 00 копеек.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color w:val="FF0000"/>
          <w:sz w:val="20"/>
          <w:szCs w:val="20"/>
          <w:highlight w:val="yellow"/>
        </w:rPr>
      </w:pPr>
      <w:r>
        <w:rPr>
          <w:rFonts w:eastAsia="Times New Roman" w:cs="Times New Roman" w:ascii="PT Astra Serif" w:hAnsi="PT Astra Serif"/>
          <w:color w:val="FF0000"/>
          <w:sz w:val="20"/>
          <w:szCs w:val="20"/>
          <w:highlight w:val="yellow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0"/>
          <w:szCs w:val="20"/>
          <w:highlight w:val="yellow"/>
        </w:rPr>
      </w:pPr>
      <w:r>
        <w:rPr>
          <w:rFonts w:eastAsia="Times New Roman" w:cs="Times New Roman" w:ascii="PT Astra Serif" w:hAnsi="PT Astra Serif"/>
          <w:sz w:val="20"/>
          <w:szCs w:val="20"/>
          <w:highlight w:val="yellow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0"/>
          <w:szCs w:val="20"/>
          <w:highlight w:val="yellow"/>
        </w:rPr>
      </w:pPr>
      <w:r>
        <w:rPr>
          <w:rFonts w:eastAsia="Times New Roman" w:cs="Times New Roman" w:ascii="PT Astra Serif" w:hAnsi="PT Astra Serif"/>
          <w:sz w:val="20"/>
          <w:szCs w:val="20"/>
          <w:highlight w:val="yellow"/>
        </w:rPr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20"/>
          <w:szCs w:val="20"/>
        </w:rPr>
      </w:pPr>
      <w:r>
        <w:rPr>
          <w:rFonts w:eastAsia="Times New Roman" w:cs="Times New Roman" w:ascii="PT Astra Serif" w:hAnsi="PT Astra Serif"/>
          <w:sz w:val="20"/>
          <w:szCs w:val="20"/>
        </w:rPr>
        <w:t xml:space="preserve">Начальник АО ФКУ БМТиВС 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20"/>
          <w:szCs w:val="20"/>
        </w:rPr>
      </w:pPr>
      <w:r>
        <w:rPr>
          <w:rFonts w:eastAsia="Times New Roman" w:cs="Times New Roman" w:ascii="PT Astra Serif" w:hAnsi="PT Astra Serif"/>
          <w:sz w:val="20"/>
          <w:szCs w:val="20"/>
        </w:rPr>
        <w:t>УФСИН России по Республике Бурятия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20"/>
          <w:szCs w:val="20"/>
        </w:rPr>
      </w:pPr>
      <w:r>
        <w:rPr>
          <w:rFonts w:eastAsia="Times New Roman" w:cs="Times New Roman" w:ascii="PT Astra Serif" w:hAnsi="PT Astra Serif"/>
          <w:sz w:val="20"/>
          <w:szCs w:val="20"/>
        </w:rPr>
        <w:t>лейтенант внутренней службы                                                                                                                                                                                                                             Л.Г. Гурулева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22" w:gutter="0" w:header="709" w:top="964" w:footer="0" w:bottom="96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 CYR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30141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f2b5a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f2b5a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f2b5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f2b5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f2b5a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f2b5a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f2b5a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f2b5a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f2b5a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f2b5a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90dcc"/>
    <w:rPr>
      <w:color w:themeColor="hyperlink" w:val="0000FF"/>
      <w:u w:val="single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c142a7"/>
    <w:rPr/>
  </w:style>
  <w:style w:type="character" w:styleId="Style6" w:customStyle="1">
    <w:name w:val="Нижний колонтитул Знак"/>
    <w:basedOn w:val="DefaultParagraphFont"/>
    <w:uiPriority w:val="99"/>
    <w:qFormat/>
    <w:rsid w:val="00c142a7"/>
    <w:rPr/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a07061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9" w:customStyle="1">
    <w:name w:val="Заголовок 9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8" w:customStyle="1">
    <w:name w:val="Заголовок Знак"/>
    <w:basedOn w:val="DefaultParagraphFont"/>
    <w:uiPriority w:val="10"/>
    <w:qFormat/>
    <w:rsid w:val="00ff2b5a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9" w:customStyle="1">
    <w:name w:val="Подзаголовок Знак"/>
    <w:basedOn w:val="DefaultParagraphFont"/>
    <w:uiPriority w:val="11"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f2b5a"/>
    <w:rPr>
      <w:b/>
      <w:bCs/>
    </w:rPr>
  </w:style>
  <w:style w:type="character" w:styleId="Emphasis">
    <w:name w:val="Emphasis"/>
    <w:basedOn w:val="DefaultParagraphFont"/>
    <w:uiPriority w:val="20"/>
    <w:qFormat/>
    <w:rsid w:val="00ff2b5a"/>
    <w:rPr>
      <w:i/>
      <w:iCs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ff2b5a"/>
    <w:rPr>
      <w:i/>
      <w:iCs/>
      <w:color w:themeColor="text1" w:val="000000"/>
    </w:rPr>
  </w:style>
  <w:style w:type="character" w:styleId="Style10" w:customStyle="1">
    <w:name w:val="Выделенная цитата Знак"/>
    <w:basedOn w:val="DefaultParagraphFont"/>
    <w:link w:val="IntenseQuote"/>
    <w:uiPriority w:val="30"/>
    <w:qFormat/>
    <w:rsid w:val="00ff2b5a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f2b5a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f2b5a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f2b5a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f2b5a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f2b5a"/>
    <w:rPr>
      <w:b/>
      <w:bCs/>
      <w:smallCaps/>
      <w:spacing w:val="5"/>
    </w:rPr>
  </w:style>
  <w:style w:type="character" w:styleId="ConsPlusNormal" w:customStyle="1">
    <w:name w:val="ConsPlusNormal Знак"/>
    <w:link w:val="ConsPlusNormal1"/>
    <w:qFormat/>
    <w:rsid w:val="00e313a8"/>
    <w:rPr>
      <w:rFonts w:ascii="Calibri" w:hAnsi="Calibri" w:eastAsia="Times New Roman" w:cs="Calibri"/>
    </w:rPr>
  </w:style>
  <w:style w:type="character" w:styleId="Style11" w:customStyle="1">
    <w:name w:val="Без интервала Знак"/>
    <w:link w:val="NoSpacing"/>
    <w:uiPriority w:val="1"/>
    <w:qFormat/>
    <w:locked/>
    <w:rsid w:val="00c843d5"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link w:val="Style11"/>
    <w:uiPriority w:val="1"/>
    <w:qFormat/>
    <w:rsid w:val="00ff2b5a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14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c142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rsid w:val="00c142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5" w:customStyle="1">
    <w:name w:val="Нормальный (таблица)"/>
    <w:basedOn w:val="Normal"/>
    <w:next w:val="Normal"/>
    <w:uiPriority w:val="99"/>
    <w:qFormat/>
    <w:rsid w:val="00ca395c"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</w:rPr>
  </w:style>
  <w:style w:type="paragraph" w:styleId="ListParagraph">
    <w:name w:val="List Paragraph"/>
    <w:basedOn w:val="Normal"/>
    <w:uiPriority w:val="34"/>
    <w:qFormat/>
    <w:rsid w:val="00ca395c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a0706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f2b5a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Title">
    <w:name w:val="Title"/>
    <w:basedOn w:val="Normal"/>
    <w:next w:val="Normal"/>
    <w:link w:val="Style8"/>
    <w:uiPriority w:val="10"/>
    <w:qFormat/>
    <w:rsid w:val="00ff2b5a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tyle9"/>
    <w:uiPriority w:val="11"/>
    <w:qFormat/>
    <w:rsid w:val="00ff2b5a"/>
    <w:pPr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ff2b5a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Style10"/>
    <w:uiPriority w:val="30"/>
    <w:qFormat/>
    <w:rsid w:val="00ff2b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2b5a"/>
    <w:pPr>
      <w:outlineLvl w:val="9"/>
    </w:pPr>
    <w:rPr/>
  </w:style>
  <w:style w:type="paragraph" w:styleId="ConsPlusNormal1" w:customStyle="1">
    <w:name w:val="ConsPlusNormal"/>
    <w:link w:val="ConsPlusNormal"/>
    <w:qFormat/>
    <w:rsid w:val="00e313a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1" w:customStyle="1">
    <w:name w:val="Без интервала1"/>
    <w:qFormat/>
    <w:rsid w:val="00c843d5"/>
    <w:pPr>
      <w:widowControl/>
      <w:suppressAutoHyphens w:val="true"/>
      <w:bidi w:val="0"/>
      <w:spacing w:lineRule="auto" w:line="240" w:before="0" w:after="0"/>
      <w:jc w:val="left"/>
    </w:pPr>
    <w:rPr>
      <w:rFonts w:eastAsia="font191" w:cs="font191" w:ascii="Calibri" w:hAnsi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AC859-906E-421D-8245-05FA16C53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Application>LibreOffice/24.2.3.2$Linux_X86_64 LibreOffice_project/420$Build-2</Application>
  <AppVersion>15.0000</AppVersion>
  <Pages>3</Pages>
  <Words>503</Words>
  <Characters>3174</Characters>
  <CharactersWithSpaces>3708</CharactersWithSpaces>
  <Paragraphs>203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2025-04-04T07:03:00Z</dcterms:created>
  <dc:creator>Игорь Сафронов</dc:creator>
  <dc:description/>
  <dc:language>ru-RU</dc:language>
  <cp:lastModifiedBy>Людмила Абросимова</cp:lastModifiedBy>
  <cp:lastPrinted>2026-07-29T04:26:00Z</cp:lastPrinted>
  <dcterms:modified xsi:type="dcterms:W3CDTF">2026-07-29T06:27:00Z</dcterms:modified>
  <cp:revision>283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