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FirstPage.xml" ContentType="application/vnd.openxmlformats-officedocument.wordprocessingml.header+xml"/>
  <Override PartName="/word/footerFirstPage.xml" ContentType="application/vnd.openxmlformats-officedocument.wordprocessingml.footer+xml"/>
  <Override PartName="/word/headerEvenPages.xml" ContentType="application/vnd.openxmlformats-officedocument.wordprocessingml.header+xml"/>
  <Override PartName="/word/footerEvenPages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>
  <w:body>
    <w:p>
      <w:pPr>
        <w:jc w:val="center"/>
      </w:pPr>
      <w:r>
        <w:rPr>
          <w:b/>
        </w:rPr>
        <w:t>ФЕДЕРАЛЬНОЕ ГОСУДАРСТВЕННОЕ БЮДЖЕТНОЕ УЧРЕЖДЕНИЕ</w:t>
      </w:r>
    </w:p>
    <w:p>
      <w:pPr>
        <w:jc w:val="center"/>
      </w:pPr>
      <w:r>
        <w:rPr>
          <w:b/>
        </w:rPr>
        <w:t>«НОВОКУЗНЕЦКИЙ НАУЧНО-ПРАКТИЧЕСКИЙ ЦЕНТР</w:t>
      </w:r>
    </w:p>
    <w:p>
      <w:pPr>
        <w:jc w:val="center"/>
      </w:pPr>
      <w:r>
        <w:rPr>
          <w:b/>
        </w:rPr>
        <w:t xml:space="preserve"> МЕДИКО-СОЦИАЛЬНОЙ ЭКСПЕРТИЗЫ И РЕАБИЛИТАЦИИ ИНВАЛИДОВ»</w:t>
      </w:r>
    </w:p>
    <w:p>
      <w:pPr>
        <w:jc w:val="center"/>
      </w:pPr>
      <w:r>
        <w:rPr>
          <w:b/>
        </w:rPr>
        <w:t>МИНИСТЕРСТВА ТРУДА И СОЦИАЛЬНОЙ ЗАЩИТЫ РОССИЙСКОЙ ФЕДЕРАЦИИ</w:t>
      </w:r>
    </w:p>
    <w:p>
      <w:pPr>
        <w:jc w:val="center"/>
      </w:pPr>
      <w:r>
        <w:rPr>
          <w:b/>
        </w:rPr>
        <w:t xml:space="preserve">(ФГБУ ННПЦ МСЭ и РИ Минтруда России) </w:t>
      </w:r>
    </w:p>
    <w:p>
      <w:pPr>
        <w:jc w:val="center"/>
      </w:pPr>
      <w:r>
        <w:rPr>
          <w:sz w:val="16"/>
        </w:rPr>
        <w:t>ИНН/КПП 4218006431/421801001</w:t>
      </w:r>
    </w:p>
    <w:p>
      <w:pPr>
        <w:jc w:val="center"/>
        <w:rPr>
          <w:sz w:val="28"/>
          <w:color w:val="000000"/>
        </w:rPr>
      </w:pPr>
      <w:r>
        <w:rPr>
          <w:sz w:val="28"/>
          <w:color w:val="000000"/>
        </w:rPr>
        <w:t/>
      </w:r>
    </w:p>
    <w:p>
      <w:pPr>
        <w:jc w:val="center"/>
      </w:pPr>
      <w:r>
        <w:rPr>
          <w:sz w:val="28"/>
          <w:color w:val="000000"/>
        </w:rPr>
        <w:t>Техническое задание</w:t>
      </w:r>
    </w:p>
    <w:p>
      <w:pPr>
        <w:jc w:val="center"/>
      </w:pPr>
      <w:r>
        <w:rPr>
          <w:rStyle w:val="c12"/>
          <w:b w:val="0"/>
          <w:sz w:val="28"/>
        </w:rPr>
        <w:t>Поставка кабеля UTP и коннекторов RJ-45</w:t>
      </w:r>
    </w:p>
    <w:p>
      <w:pPr>
        <w:jc w:val="center"/>
        <w:rPr>
          <w:sz w:val="28"/>
        </w:rPr>
      </w:pPr>
      <w:r>
        <w:rPr>
          <w:sz w:val="28"/>
        </w:rPr>
        <w:t/>
      </w:r>
    </w:p>
    <w:p>
      <w:pPr>
        <w:jc w:val="center"/>
      </w:pPr>
      <w:r>
        <w:t/>
      </w:r>
    </w:p>
    <w:tbl>
      <w:tblPr>
        <w:tblW w:w="5000" w:type="pct"/>
        <w:jc w:val="center"/>
        <w:tblLayout w:type="fixed"/>
        <w:tblBorders>
          <w:left w:val="single" w:sz="6" w:color="auto"/>
          <w:top w:val="single" w:sz="6" w:color="auto"/>
          <w:right w:val="single" w:sz="6" w:color="auto"/>
          <w:bottom w:val="single" w:sz="6" w:color="auto"/>
          <w:insideH w:val="single" w:sz="6" w:color="auto"/>
          <w:insideV w:val="single" w:sz="6" w:color="auto"/>
        </w:tblBorders>
        <w:tblCellMar>
          <w:top w:w="15" w:type="dxa"/>
          <w:left w:w="15" w:type="dxa"/>
          <w:bottom w:w="15" w:type="dxa"/>
          <w:right w:w="15" w:type="dxa"/>
        </w:tblCellMar>
        <w:shd w:val="clear" w:color="auto" w:fill="FFFFFF"/>
      </w:tblPr>
      <w:tblGrid>
        <w:gridCol w:w="1260"/>
        <w:gridCol w:w="2340"/>
        <w:gridCol w:w="4245"/>
        <w:gridCol w:w="705"/>
        <w:gridCol w:w="795"/>
      </w:tblGrid>
      <w:tr>
        <w:tc>
          <w:tcPr>
            <w:tcW w:w="126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ОКПД2,</w:t>
            </w:r>
          </w:p>
          <w:p>
            <w:pPr>
              <w:pStyle w:val="3"/>
              <w:jc w:val="center"/>
            </w:pPr>
            <w:r>
              <w:rPr>
                <w:sz w:val="22"/>
              </w:rPr>
              <w:t>КТРУ</w:t>
            </w:r>
          </w:p>
        </w:tc>
        <w:tc>
          <w:tcPr>
            <w:tcW w:w="232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 xml:space="preserve">Наименование товара, работ, услуг </w:t>
            </w:r>
          </w:p>
        </w:tc>
        <w:tc>
          <w:tcPr>
            <w:tcW w:w="423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ГОСТ, описание товара, работ, услуг</w:t>
            </w:r>
          </w:p>
        </w:tc>
        <w:tc>
          <w:tcPr>
            <w:tcW w:w="70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Ед.</w:t>
            </w:r>
          </w:p>
          <w:p>
            <w:pPr>
              <w:pStyle w:val="3"/>
              <w:jc w:val="center"/>
            </w:pPr>
            <w:r>
              <w:rPr>
                <w:sz w:val="22"/>
              </w:rPr>
              <w:t>изм.</w:t>
            </w:r>
          </w:p>
        </w:tc>
        <w:tc>
          <w:tcPr>
            <w:tcW w:w="79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Кол-во</w:t>
            </w:r>
          </w:p>
        </w:tc>
      </w:tr>
      <w:tr>
        <w:tc>
          <w:tcPr>
            <w:tcW w:w="1260" w:type="dxa"/>
            <w:shd w:val="clear" w:color="auto" w:fill="FFFFFF"/>
          </w:tcPr>
          <w:p>
            <w:pPr>
              <w:jc w:val="center"/>
            </w:pPr>
            <w:r>
              <w:rPr>
                <w:rStyle w:val="c12"/>
                <w:b w:val="0"/>
                <w:sz w:val="22"/>
              </w:rPr>
              <w:t>27.32.13.199</w:t>
            </w:r>
          </w:p>
          <w:p>
            <w:pPr>
              <w:jc w:val="center"/>
              <w:rPr>
                <w:rStyle w:val="c12"/>
                <w:b w:val="0"/>
                <w:sz w:val="22"/>
                <w:color w:val="C0C0C0"/>
              </w:rPr>
            </w:pPr>
            <w:r>
              <w:rPr>
                <w:rStyle w:val="c12"/>
                <w:b w:val="0"/>
                <w:sz w:val="22"/>
                <w:color w:val="C0C0C0"/>
              </w:rPr>
              <w:t/>
            </w:r>
          </w:p>
        </w:tc>
        <w:tc>
          <w:tcPr>
            <w:tcW w:w="232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Кабель UTP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/>
            </w:r>
          </w:p>
        </w:tc>
        <w:tc>
          <w:tcPr>
            <w:tcW w:w="4230" w:type="dxa"/>
            <w:shd w:val="clear" w:color="auto" w:fill="FFFFFF"/>
          </w:tcPr>
          <w:tbl>
            <w:tblPr>
              <w:tblW w:w="5000" w:type="pct"/>
              <w:tblLayout w:type="fixed"/>
              <w:tblBorders>
                <w:insideH w:val="single" w:sz="6" w:color="auto"/>
                <w:insideV w:val="single" w:sz="6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shd w:val="clear" w:color="auto" w:fill="FFFFFF"/>
            </w:tblPr>
            <w:tblGrid>
              <w:gridCol w:w="2310"/>
              <w:gridCol w:w="1875"/>
            </w:tblGrid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Тип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UTP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Категория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5e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Количество пар жил кабеля, шт.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4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Количество жил, шт.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8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Материал проводника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медь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Длина в бухте, м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305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 xml:space="preserve">Экранирование кабеля 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нет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Макс. скорость передачи данных, Мбит/c</w:t>
                  </w:r>
                </w:p>
                <w:p>
                  <w:pPr/>
                  <w:r>
                    <w:t/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1000</w:t>
                  </w:r>
                </w:p>
                <w:p>
                  <w:pPr/>
                  <w:r>
                    <w:t/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 xml:space="preserve">Стандарт AWG </w:t>
                  </w:r>
                </w:p>
                <w:p>
                  <w:pPr/>
                  <w:r>
                    <w:t/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24</w:t>
                  </w:r>
                </w:p>
              </w:tc>
            </w:tr>
          </w:tbl>
          <w:p/>
        </w:tc>
        <w:tc>
          <w:tcPr>
            <w:tcW w:w="70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>
            <w:pPr>
              <w:jc w:val="right"/>
            </w:pPr>
            <w:r>
              <w:rPr>
                <w:rStyle w:val="c12"/>
                <w:b w:val="0"/>
                <w:sz w:val="22"/>
              </w:rPr>
              <w:t>2</w:t>
            </w:r>
          </w:p>
        </w:tc>
      </w:tr>
      <w:tr>
        <w:tc>
          <w:tcPr>
            <w:tcW w:w="1260" w:type="dxa"/>
            <w:shd w:val="clear" w:color="auto" w:fill="FFFFFF"/>
          </w:tcPr>
          <w:p>
            <w:pPr>
              <w:jc w:val="center"/>
            </w:pPr>
            <w:r>
              <w:rPr>
                <w:rStyle w:val="c12"/>
                <w:b w:val="0"/>
                <w:sz w:val="22"/>
              </w:rPr>
              <w:t>27.33.13.120</w:t>
            </w:r>
          </w:p>
          <w:p>
            <w:pPr>
              <w:jc w:val="center"/>
              <w:rPr>
                <w:rStyle w:val="c12"/>
                <w:b w:val="0"/>
                <w:sz w:val="22"/>
                <w:color w:val="C0C0C0"/>
              </w:rPr>
            </w:pPr>
            <w:r>
              <w:rPr>
                <w:rStyle w:val="c12"/>
                <w:b w:val="0"/>
                <w:sz w:val="22"/>
                <w:color w:val="C0C0C0"/>
              </w:rPr>
              <w:t/>
            </w:r>
          </w:p>
        </w:tc>
        <w:tc>
          <w:tcPr>
            <w:tcW w:w="232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Коннекторы RJ-45, 100 шт.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/>
            </w:r>
          </w:p>
        </w:tc>
        <w:tc>
          <w:tcPr>
            <w:tcW w:w="4230" w:type="dxa"/>
            <w:shd w:val="clear" w:color="auto" w:fill="FFFFFF"/>
          </w:tcPr>
          <w:tbl>
            <w:tblPr>
              <w:tblW w:w="5000" w:type="pct"/>
              <w:tblLayout w:type="fixed"/>
              <w:tblBorders>
                <w:insideH w:val="single" w:sz="6" w:color="auto"/>
                <w:insideV w:val="single" w:sz="6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shd w:val="clear" w:color="auto" w:fill="FFFFFF"/>
            </w:tblPr>
            <w:tblGrid>
              <w:gridCol w:w="2310"/>
              <w:gridCol w:w="1875"/>
            </w:tblGrid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Категория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5e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Экранирование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нет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Количество в комплекте, шт.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100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Тип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8P8C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Сквозная конструкция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нет</w:t>
                  </w:r>
                </w:p>
              </w:tc>
            </w:tr>
          </w:tbl>
          <w:p/>
        </w:tc>
        <w:tc>
          <w:tcPr>
            <w:tcW w:w="70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>
            <w:pPr>
              <w:jc w:val="right"/>
            </w:pPr>
            <w:r>
              <w:rPr>
                <w:rStyle w:val="c12"/>
                <w:b w:val="0"/>
                <w:sz w:val="22"/>
              </w:rPr>
              <w:t>1</w:t>
            </w:r>
          </w:p>
        </w:tc>
      </w:tr>
    </w:tbl>
    <w:p>
      <w:pPr>
        <w:jc w:val="center"/>
      </w:pPr>
      <w:r>
        <w:t/>
      </w:r>
    </w:p>
    <w:p>
      <w:pPr>
        <w:jc w:val="center"/>
      </w:pPr>
      <w:r>
        <w:t/>
      </w:r>
    </w:p>
    <w:p>
      <w:pPr>
        <w:jc w:val="both"/>
        <w:ind w:firstLine="570"/>
      </w:pPr>
      <w:r>
        <w:rPr>
          <w:b/>
          <w:sz w:val="28"/>
        </w:rPr>
        <w:t>Сведения о включенных в цену продукции расходах:</w:t>
      </w:r>
      <w:r>
        <w:rPr>
          <w:sz w:val="28"/>
        </w:rPr>
        <w:t xml:space="preserve"> в предлагаемую стоимость включены расходы на налоги, сборы, отчисления и иные обязательные платежи, включая таможенные платы и сборы, расходы на перевозку, доставку, обслуживание, то есть цена продукции является конечной.</w:t>
      </w:r>
    </w:p>
    <w:p>
      <w:pPr>
        <w:jc w:val="both"/>
        <w:ind w:firstLine="570"/>
      </w:pPr>
      <w:r>
        <w:rPr>
          <w:b/>
          <w:sz w:val="28"/>
        </w:rPr>
        <w:t>Место поставки:</w:t>
      </w:r>
      <w:r>
        <w:rPr>
          <w:sz w:val="28"/>
        </w:rPr>
        <w:t xml:space="preserve"> 654055, Кемеровская область-Кузбасс, г.Новокузнецк, ул. Малая, д. 7.</w:t>
      </w:r>
    </w:p>
    <w:p>
      <w:pPr>
        <w:jc w:val="both"/>
        <w:rPr>
          <w:sz w:val="28"/>
        </w:rPr>
      </w:pPr>
      <w:r>
        <w:rPr>
          <w:sz w:val="28"/>
        </w:rPr>
        <w:t/>
      </w:r>
    </w:p>
    <w:sectPr>
      <w:headerReference w:type="default" r:id="rIdHF0"/>
      <w:footerReference w:type="default" r:id="rIdHF1"/>
      <w:headerReference w:type="first" r:id="rIdHF2"/>
      <w:footerReference w:type="first" r:id="rIdHF3"/>
      <w:headerReference w:type="even" r:id="rIdHF4"/>
      <w:footerReference w:type="even" r:id="rIdHF5"/>
      <w:pgSz w:w="11906" w:h="16838"/>
      <w:pgMar w:top="1134" w:right="850" w:bottom="1134" w:left="1701" w:header="720" w:footer="720" w:gutter="0"/>
      <w:footnotePr>
        <w:numRestart w:val="eachPage"/>
      </w:footnotePr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1"/>
  </w:font>
  <w:font w:name="Arial">
    <w:charset w:val="01"/>
  </w:font>
</w:fonts>
</file>

<file path=word/footer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EvenPages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FirstPage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EvenPages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FirstPage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>
  <w:zoom w:percent="200"/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0" w:before="0" w:line="240" w:lineRule="auto"/>
        <w:widowControl w:val="0"/>
      </w:pPr>
    </w:pPrDefault>
    <w:rPrDefault>
      <w:rPr>
        <w:rFonts w:ascii="Arial" w:hAnsi="Arial" w:cs="Arial" w:eastAsia="Arial"/>
        <w:sz w:val="20"/>
      </w:rPr>
    </w:rPrDefault>
  </w:docDefaults>
  <w:style w:type="paragraph" w:default="1" w:styleId="0">
    <w:name w:val="Normal"/>
    <w:qFormat/>
    <w:rPr>
      <w:rFonts w:ascii="Times New Roman" w:hAnsi="Times New Roman" w:cs="Times New Roman" w:eastAsia="Times New Roman"/>
      <w:b w:val="0"/>
      <w:i w:val="0"/>
      <w:strike w:val="0"/>
      <w:caps w:val="0"/>
      <w:sz w:val="20"/>
      <w:color w:val="auto"/>
      <w:shd w:val="clear" w:color="auto" w:fill="auto"/>
    </w:rPr>
  </w:style>
  <w:style w:type="character" w:default="1" w:styleId="def">
    <w:name w:val="Default Paragraph Font"/>
    <w:uiPriority w:val="1"/>
    <w:semiHidden/>
    <w:unhideWhenUsed/>
  </w:style>
  <w:style w:type="paragraph" w:styleId="1">
    <w:name w:val="heading 1"/>
    <w:qFormat/>
    <w:basedOn w:val="0"/>
    <w:next w:val="0"/>
    <w:link w:val="c1"/>
    <w:pPr>
      <w:outlineLvl w:val="0"/>
    </w:pPr>
    <w:rPr>
      <w:b/>
      <w:sz w:val="32"/>
    </w:rPr>
  </w:style>
  <w:style w:type="character" w:styleId="c1">
    <w:name w:val="heading 1 Text"/>
    <w:qFormat/>
    <w:basedOn w:val="def"/>
    <w:link w:val="1"/>
    <w:rPr>
      <w:b/>
      <w:sz w:val="32"/>
    </w:rPr>
  </w:style>
  <w:style w:type="paragraph" w:styleId="2">
    <w:name w:val="heading 2"/>
    <w:qFormat/>
    <w:basedOn w:val="0"/>
    <w:next w:val="0"/>
    <w:link w:val="c2"/>
    <w:pPr>
      <w:outlineLvl w:val="1"/>
      <w:keepNext/>
      <w:spacing w:before="3600" w:after="900"/>
    </w:pPr>
    <w:rPr>
      <w:b/>
      <w:i/>
      <w:sz w:val="28"/>
    </w:rPr>
  </w:style>
  <w:style w:type="character" w:styleId="c2">
    <w:name w:val="heading 2 Text"/>
    <w:qFormat/>
    <w:basedOn w:val="def"/>
    <w:link w:val="2"/>
    <w:rPr>
      <w:b/>
      <w:i/>
      <w:sz w:val="28"/>
    </w:rPr>
  </w:style>
  <w:style w:type="paragraph" w:styleId="3">
    <w:name w:val="heading 3"/>
    <w:qFormat/>
    <w:basedOn w:val="0"/>
    <w:next w:val="0"/>
    <w:link w:val="c3"/>
    <w:pPr>
      <w:outlineLvl w:val="2"/>
    </w:pPr>
    <w:rPr>
      <w:rFonts w:ascii="Times New Roman" w:hAnsi="Times New Roman" w:cs="Times New Roman" w:eastAsia="Times New Roman"/>
      <w:b/>
      <w:sz w:val="20"/>
    </w:rPr>
  </w:style>
  <w:style w:type="character" w:styleId="c3">
    <w:name w:val="heading 3 Text"/>
    <w:qFormat/>
    <w:basedOn w:val="def"/>
    <w:link w:val="3"/>
    <w:rPr>
      <w:rFonts w:ascii="Times New Roman" w:hAnsi="Times New Roman" w:cs="Times New Roman" w:eastAsia="Times New Roman"/>
      <w:b/>
      <w:sz w:val="20"/>
    </w:rPr>
  </w:style>
  <w:style w:type="character" w:styleId="c4">
    <w:name w:val="Hyperlink"/>
    <w:basedOn w:val="def"/>
    <w:rPr>
      <w:u w:val="single"/>
      <w:color w:val="0000FF"/>
    </w:rPr>
  </w:style>
  <w:style w:type="paragraph" w:styleId="5">
    <w:name w:val="header"/>
    <w:basedOn w:val="0"/>
    <w:link w:val="c5"/>
  </w:style>
  <w:style w:type="character" w:styleId="c5">
    <w:name w:val="header Text"/>
    <w:basedOn w:val="def"/>
    <w:link w:val="5"/>
  </w:style>
  <w:style w:type="paragraph" w:styleId="6">
    <w:name w:val="footer"/>
    <w:basedOn w:val="0"/>
    <w:link w:val="c6"/>
  </w:style>
  <w:style w:type="character" w:styleId="c6">
    <w:name w:val="footer Text"/>
    <w:basedOn w:val="def"/>
    <w:link w:val="6"/>
  </w:style>
  <w:style w:type="character" w:styleId="c7">
    <w:name w:val="footnote reference"/>
    <w:basedOn w:val="def"/>
    <w:rPr>
      <w:vertAlign w:val="superscript"/>
    </w:rPr>
  </w:style>
  <w:style w:type="character" w:styleId="c8">
    <w:name w:val="endnote reference"/>
    <w:basedOn w:val="def"/>
    <w:rPr>
      <w:vertAlign w:val="superscript"/>
    </w:rPr>
  </w:style>
  <w:style w:type="paragraph" w:styleId="9">
    <w:name w:val="footnote text"/>
    <w:basedOn w:val="0"/>
    <w:link w:val="c9"/>
  </w:style>
  <w:style w:type="character" w:styleId="c9">
    <w:name w:val="footnote text Text"/>
    <w:basedOn w:val="def"/>
    <w:link w:val="9"/>
  </w:style>
  <w:style w:type="paragraph" w:styleId="10">
    <w:name w:val="endnote text"/>
    <w:basedOn w:val="0"/>
    <w:link w:val="c10"/>
  </w:style>
  <w:style w:type="character" w:styleId="c10">
    <w:name w:val="endnote text Text"/>
    <w:basedOn w:val="def"/>
    <w:link w:val="10"/>
  </w:style>
  <w:style w:type="paragraph" w:styleId="11">
    <w:name w:val="caption"/>
    <w:basedOn w:val="0"/>
    <w:next w:val="0"/>
    <w:rPr>
      <w:b/>
      <w:sz w:val="18"/>
    </w:rPr>
  </w:style>
  <w:style w:type="paragraph" w:styleId="12">
    <w:name w:val="Защищенный текст"/>
    <w:qFormat/>
    <w:next w:val="0"/>
    <w:link w:val="c12"/>
    <w:rPr>
      <w:rFonts w:ascii="Times New Roman" w:hAnsi="Times New Roman" w:cs="Times New Roman" w:eastAsia="Times New Roman"/>
      <w:b/>
      <w:i w:val="0"/>
      <w:sz w:val="20"/>
    </w:rPr>
  </w:style>
  <w:style w:type="character" w:styleId="c12">
    <w:name w:val="Защищенный текст Text"/>
    <w:qFormat/>
    <w:basedOn w:val="def"/>
    <w:link w:val="12"/>
    <w:rPr>
      <w:rFonts w:ascii="Times New Roman" w:hAnsi="Times New Roman" w:cs="Times New Roman" w:eastAsia="Times New Roman"/>
      <w:b/>
      <w:i w:val="0"/>
      <w:sz w:val="20"/>
    </w:rPr>
  </w:style>
  <w:style w:type="paragraph" w:styleId="13">
    <w:name w:val="Style 1"/>
    <w:link w:val="c13"/>
  </w:style>
  <w:style w:type="character" w:styleId="c13">
    <w:name w:val="Style 1 Text"/>
    <w:basedOn w:val="def"/>
    <w:link w:val="13"/>
  </w:style>
  <w:style w:type="paragraph" w:styleId="14">
    <w:name w:val="List Paragraph"/>
    <w:qFormat/>
    <w:basedOn w:val="0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FT" Type="http://schemas.openxmlformats.org/officeDocument/2006/relationships/fontTable" Target="fontTable.xml"/><Relationship Id="rIdSt" Type="http://schemas.openxmlformats.org/officeDocument/2006/relationships/styles" Target="styles.xml"/><Relationship Id="rIdHF0" Type="http://schemas.openxmlformats.org/officeDocument/2006/relationships/header" Target="header.xml"/><Relationship Id="rIdHF1" Type="http://schemas.openxmlformats.org/officeDocument/2006/relationships/footer" Target="footer.xml"/><Relationship Id="rIdHF2" Type="http://schemas.openxmlformats.org/officeDocument/2006/relationships/header" Target="headerFirstPage.xml"/><Relationship Id="rIdHF3" Type="http://schemas.openxmlformats.org/officeDocument/2006/relationships/footer" Target="footerFirstPage.xml"/><Relationship Id="rIdHF4" Type="http://schemas.openxmlformats.org/officeDocument/2006/relationships/header" Target="headerEvenPages.xml"/><Relationship Id="rIdHF5" Type="http://schemas.openxmlformats.org/officeDocument/2006/relationships/footer" Target="footerEvenPages.xml"/><Relationship Id="rIdSet" Type="http://schemas.openxmlformats.org/officeDocument/2006/relationships/settings" Target="settings.xml"/></Relationships>
</file>