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widowControl/>
        <w:jc w:val="center"/>
        <w:rPr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  <w:lang w:eastAsia="ar-SA"/>
        </w:rPr>
        <w:t xml:space="preserve">Техническое задание</w:t>
      </w:r>
    </w:p>
    <w:p>
      <w:pPr>
        <w:widowControl/>
        <w:jc w:val="center"/>
        <w:rPr>
          <w:b/>
          <w:color w:val="000000" w:themeColor="text1"/>
          <w:sz w:val="24"/>
          <w:szCs w:val="24"/>
          <w:lang w:eastAsia="en-US"/>
        </w:rPr>
      </w:pPr>
      <w:r>
        <w:rPr>
          <w:b/>
          <w:iCs/>
          <w:color w:val="000000" w:themeColor="text1"/>
          <w:sz w:val="24"/>
          <w:szCs w:val="24"/>
        </w:rPr>
        <w:t xml:space="preserve">на </w:t>
      </w:r>
      <w:r>
        <w:rPr>
          <w:b/>
          <w:iCs/>
          <w:color w:val="000000" w:themeColor="text1"/>
          <w:sz w:val="24"/>
          <w:szCs w:val="24"/>
        </w:rPr>
        <w:t xml:space="preserve">оказание услуг по проведению </w:t>
      </w:r>
      <w:r>
        <w:rPr>
          <w:b/>
          <w:color w:val="000000" w:themeColor="text1"/>
          <w:sz w:val="24"/>
          <w:szCs w:val="24"/>
        </w:rPr>
        <w:t xml:space="preserve">ком</w:t>
      </w:r>
      <w:r>
        <w:rPr>
          <w:b/>
          <w:color w:val="000000" w:themeColor="text1"/>
          <w:sz w:val="24"/>
          <w:szCs w:val="24"/>
        </w:rPr>
        <w:t xml:space="preserve">плексной инженерно-технической</w:t>
      </w:r>
      <w:bookmarkStart w:id="0" w:name="_GoBack"/>
      <w:bookmarkEnd w:id="0"/>
      <w:r>
        <w:rPr>
          <w:b/>
          <w:color w:val="000000" w:themeColor="text1"/>
          <w:sz w:val="24"/>
          <w:szCs w:val="24"/>
        </w:rPr>
        <w:t xml:space="preserve"> </w:t>
      </w:r>
      <w:r>
        <w:rPr>
          <w:b/>
          <w:iCs/>
          <w:color w:val="000000" w:themeColor="text1"/>
          <w:sz w:val="24"/>
          <w:szCs w:val="24"/>
        </w:rPr>
        <w:t xml:space="preserve">экспертизы </w:t>
      </w:r>
    </w:p>
    <w:p>
      <w:pPr>
        <w:widowControl/>
        <w:jc w:val="both"/>
        <w:rPr>
          <w:rFonts w:eastAsia="Calibri"/>
          <w:b/>
          <w:bCs/>
          <w:color w:val="000000" w:themeColor="text1"/>
          <w:sz w:val="24"/>
          <w:szCs w:val="24"/>
          <w:lang w:eastAsia="en-US"/>
        </w:rPr>
      </w:pPr>
    </w:p>
    <w:p>
      <w:pPr>
        <w:pStyle w:val="a3"/>
        <w:widowControl/>
        <w:numPr>
          <w:numId w:val="2"/>
          <w:ilvl w:val="0"/>
        </w:numPr>
        <w:spacing w:line="317" w:lineRule="exact"/>
        <w:ind w:left="0" w:firstLine="0"/>
        <w:jc w:val="both"/>
        <w:rPr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  <w:lang w:eastAsia="en-US"/>
        </w:rPr>
        <w:t xml:space="preserve">Наименование предмета закупки: </w:t>
      </w:r>
      <w:r>
        <w:rPr>
          <w:rFonts w:eastAsia="Calibri"/>
          <w:color w:val="000000" w:themeColor="text1"/>
          <w:sz w:val="24"/>
          <w:szCs w:val="24"/>
          <w:lang w:eastAsia="en-US"/>
        </w:rPr>
        <w:t xml:space="preserve">оказание услуг по</w:t>
      </w:r>
      <w:r>
        <w:rPr>
          <w:rFonts w:eastAsia="Calibri"/>
          <w:b/>
          <w:color w:val="000000" w:themeColor="text1"/>
          <w:sz w:val="24"/>
          <w:szCs w:val="24"/>
          <w:lang w:eastAsia="en-US"/>
        </w:rPr>
        <w:t xml:space="preserve"> </w:t>
      </w:r>
      <w:r>
        <w:rPr>
          <w:color w:val="000000" w:themeColor="text1"/>
          <w:sz w:val="24"/>
          <w:szCs w:val="24"/>
        </w:rPr>
        <w:t xml:space="preserve">проведение ком</w:t>
      </w:r>
      <w:r>
        <w:rPr>
          <w:color w:val="000000" w:themeColor="text1"/>
          <w:sz w:val="24"/>
          <w:szCs w:val="24"/>
        </w:rPr>
        <w:t xml:space="preserve">плексной инженерно-технической </w:t>
      </w:r>
      <w:r>
        <w:rPr>
          <w:color w:val="000000" w:themeColor="text1"/>
          <w:sz w:val="24"/>
          <w:szCs w:val="24"/>
        </w:rPr>
        <w:t xml:space="preserve">экспертизы. </w:t>
      </w:r>
    </w:p>
    <w:p>
      <w:pPr>
        <w:widowControl/>
        <w:spacing w:line="317" w:lineRule="exact"/>
        <w:jc w:val="both"/>
        <w:rPr>
          <w:color w:val="000000" w:themeColor="text1"/>
          <w:sz w:val="24"/>
          <w:szCs w:val="24"/>
        </w:rPr>
      </w:pPr>
      <w:r>
        <w:rPr>
          <w:iCs/>
          <w:color w:val="000000" w:themeColor="text1"/>
          <w:sz w:val="24"/>
          <w:szCs w:val="24"/>
        </w:rPr>
        <w:t xml:space="preserve">Перечень </w:t>
      </w:r>
      <w:r>
        <w:rPr>
          <w:color w:val="000000" w:themeColor="text1"/>
          <w:sz w:val="24"/>
          <w:szCs w:val="24"/>
        </w:rPr>
        <w:t xml:space="preserve">вопросов Заказчика, подлежащих экспертизе, в соответствии с перечнем, указанным в </w:t>
      </w:r>
      <w:r>
        <w:rPr>
          <w:color w:val="000000" w:themeColor="text1"/>
          <w:sz w:val="24"/>
          <w:szCs w:val="24"/>
        </w:rPr>
        <w:t xml:space="preserve">пункте 7 Технического задания</w:t>
      </w:r>
      <w:r>
        <w:rPr>
          <w:color w:val="000000" w:themeColor="text1"/>
          <w:sz w:val="24"/>
          <w:szCs w:val="24"/>
        </w:rPr>
        <w:t xml:space="preserve">.</w:t>
      </w:r>
    </w:p>
    <w:p>
      <w:pPr>
        <w:pStyle w:val="a3"/>
        <w:widowControl/>
        <w:numPr>
          <w:numId w:val="2"/>
          <w:ilvl w:val="0"/>
        </w:numPr>
        <w:spacing w:after="60"/>
        <w:ind w:left="0" w:firstLine="0"/>
        <w:jc w:val="both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Краткие характеристики оказываемых услуг</w:t>
      </w:r>
      <w:r>
        <w:rPr>
          <w:color w:val="000000" w:themeColor="text1"/>
          <w:sz w:val="24"/>
          <w:szCs w:val="24"/>
        </w:rPr>
        <w:t xml:space="preserve">: экспертиза по каждому вопросу, указанному в Перечне включает в себя:</w:t>
      </w:r>
    </w:p>
    <w:p>
      <w:pPr>
        <w:widowControl/>
        <w:spacing w:after="60"/>
        <w:contextualSpacing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– ознакомление с документами: с техническими паспортами оборудования, калькуляциями, ГОСТами;</w:t>
      </w:r>
    </w:p>
    <w:p>
      <w:pPr>
        <w:widowControl/>
        <w:spacing w:after="60"/>
        <w:contextualSpacing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– изучение и анализ представленных документов;</w:t>
      </w:r>
    </w:p>
    <w:p>
      <w:pPr>
        <w:widowControl/>
        <w:spacing w:after="60"/>
        <w:contextualSpacing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– определение возможности/невозможности фактов исполнения;</w:t>
      </w:r>
    </w:p>
    <w:p>
      <w:pPr>
        <w:widowControl/>
        <w:spacing w:after="60"/>
        <w:contextualSpacing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– представление выводов и заключений экспертизы.</w:t>
      </w:r>
    </w:p>
    <w:p>
      <w:pPr>
        <w:pStyle w:val="a3"/>
        <w:widowControl/>
        <w:numPr>
          <w:numId w:val="2"/>
          <w:ilvl w:val="0"/>
        </w:numPr>
        <w:spacing w:after="60"/>
        <w:ind w:left="0" w:firstLine="0"/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Требования к Исполнителю.</w:t>
      </w:r>
    </w:p>
    <w:p>
      <w:pPr>
        <w:widowControl/>
        <w:spacing w:line="281" w:lineRule="exact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Исполнитель должен быть сертифицирован в качестве экспертного учреждения. Проведение экспертиз и исследований должно являться уставной деятельностью организации. Ответственные сотрудники Исполнителя должны иметь экспертную квалификацию, значительный опыт проведения экспертиз, в том числе </w:t>
      </w:r>
      <w:r>
        <w:rPr>
          <w:color w:val="000000" w:themeColor="text1"/>
          <w:sz w:val="24"/>
          <w:szCs w:val="24"/>
        </w:rPr>
        <w:t xml:space="preserve">компетенции в схожей предметной области</w:t>
      </w:r>
      <w:r>
        <w:rPr>
          <w:color w:val="000000" w:themeColor="text1"/>
          <w:sz w:val="24"/>
          <w:szCs w:val="24"/>
        </w:rPr>
        <w:t xml:space="preserve">. </w:t>
      </w:r>
    </w:p>
    <w:p>
      <w:pPr>
        <w:pStyle w:val="a3"/>
        <w:widowControl/>
        <w:numPr>
          <w:numId w:val="2"/>
          <w:ilvl w:val="0"/>
        </w:numPr>
        <w:spacing w:line="281" w:lineRule="exact"/>
        <w:ind w:left="0" w:firstLine="0"/>
        <w:jc w:val="both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Условия и сроки оказания услуг: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дата </w:t>
      </w:r>
      <w:r>
        <w:rPr>
          <w:color w:val="000000" w:themeColor="text1"/>
          <w:sz w:val="24"/>
          <w:szCs w:val="24"/>
        </w:rPr>
        <w:t xml:space="preserve">проведения</w:t>
      </w:r>
      <w:r>
        <w:rPr>
          <w:color w:val="000000" w:themeColor="text1"/>
          <w:sz w:val="24"/>
          <w:szCs w:val="24"/>
        </w:rPr>
        <w:t xml:space="preserve"> экспе</w:t>
      </w:r>
      <w:r>
        <w:rPr>
          <w:color w:val="000000" w:themeColor="text1"/>
          <w:sz w:val="24"/>
          <w:szCs w:val="24"/>
        </w:rPr>
        <w:t xml:space="preserve">ртизы должна быть согласована </w:t>
      </w:r>
      <w:r>
        <w:rPr>
          <w:color w:val="000000" w:themeColor="text1"/>
          <w:sz w:val="24"/>
          <w:szCs w:val="24"/>
        </w:rPr>
        <w:t xml:space="preserve">в течение 5 (пяти) рабочих дней с даты заключения Контракта, </w:t>
      </w:r>
      <w:r>
        <w:rPr>
          <w:color w:val="000000" w:themeColor="text1"/>
          <w:sz w:val="24"/>
          <w:szCs w:val="24"/>
        </w:rPr>
        <w:t xml:space="preserve">посредством направления заявки от Заказчика на адрес электронной почты Исп</w:t>
      </w:r>
      <w:r>
        <w:rPr>
          <w:color w:val="000000" w:themeColor="text1"/>
          <w:sz w:val="24"/>
          <w:szCs w:val="24"/>
        </w:rPr>
        <w:t xml:space="preserve">олнителя, указанный в К</w:t>
      </w:r>
      <w:r>
        <w:rPr>
          <w:color w:val="000000" w:themeColor="text1"/>
          <w:sz w:val="24"/>
          <w:szCs w:val="24"/>
        </w:rPr>
        <w:t xml:space="preserve">онтракте.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 случае возникновения объективных обстоятельств Заказчик вправе однократно назначить новую дату проведения экспертизы, направив соответствующее письменное уведомление в адрес Исполнителя. При этом новая дата экспертизы не может быть позднее </w:t>
      </w:r>
      <w:r>
        <w:rPr>
          <w:color w:val="000000" w:themeColor="text1"/>
          <w:sz w:val="24"/>
          <w:szCs w:val="24"/>
        </w:rPr>
        <w:t xml:space="preserve">10 (десять) рабочих дней с первоначально назначенной даты проведения экспертизы.  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Заключение эксперта предоставляется не позднее 20</w:t>
      </w:r>
      <w:r>
        <w:rPr>
          <w:color w:val="000000" w:themeColor="text1"/>
          <w:sz w:val="24"/>
          <w:szCs w:val="24"/>
        </w:rPr>
        <w:t xml:space="preserve"> (двадцати) рабочих дней с даты проведения экспертизы.</w:t>
      </w:r>
      <w:r>
        <w:rPr>
          <w:color w:val="000000" w:themeColor="text1"/>
          <w:sz w:val="24"/>
          <w:szCs w:val="24"/>
        </w:rPr>
        <w:t xml:space="preserve"> Заключение должно содержать подробные и подтвержденные ответы на поставленные в п.7 настоящего Технического задания вопросы с приложением всех необходимых расчетов, материалов </w:t>
      </w:r>
      <w:r>
        <w:rPr>
          <w:color w:val="000000" w:themeColor="text1"/>
          <w:sz w:val="24"/>
          <w:szCs w:val="24"/>
        </w:rPr>
        <w:t xml:space="preserve">фотофиксации</w:t>
      </w:r>
      <w:r>
        <w:rPr>
          <w:color w:val="000000" w:themeColor="text1"/>
          <w:sz w:val="24"/>
          <w:szCs w:val="24"/>
        </w:rPr>
        <w:t xml:space="preserve">, представленных Заказчиком исходных данных и документов,</w:t>
      </w:r>
      <w:r>
        <w:rPr>
          <w:color w:val="000000" w:themeColor="text1"/>
          <w:sz w:val="24"/>
          <w:szCs w:val="24"/>
        </w:rPr>
        <w:t xml:space="preserve"> указаний на реквизиты К</w:t>
      </w:r>
      <w:r>
        <w:rPr>
          <w:color w:val="000000" w:themeColor="text1"/>
          <w:sz w:val="24"/>
          <w:szCs w:val="24"/>
        </w:rPr>
        <w:t xml:space="preserve">онтракта, по которому была осуществлена поставка реагентов Заказчику, и подтверждений, сделанных выводов. На основании ч.3 ст.41 Федерального закона </w:t>
      </w:r>
      <w:r>
        <w:rPr>
          <w:color w:val="000000" w:themeColor="text1"/>
          <w:sz w:val="24"/>
          <w:szCs w:val="24"/>
        </w:rPr>
        <w:t xml:space="preserve">от 05.04.2013 №44-ФЗ </w:t>
      </w:r>
      <w:r>
        <w:rPr>
          <w:color w:val="000000" w:themeColor="text1"/>
          <w:sz w:val="24"/>
          <w:szCs w:val="24"/>
        </w:rPr>
        <w:t xml:space="preserve">«О контрактной системе в сфере закупок товаров, работ, услуг для обеспечения государственных и муниципальных нужд» Исполнитель обеспечивает направление в адрес Заказчика </w:t>
      </w:r>
      <w:r>
        <w:rPr>
          <w:color w:val="000000" w:themeColor="text1"/>
          <w:sz w:val="24"/>
          <w:szCs w:val="24"/>
        </w:rPr>
        <w:t xml:space="preserve">и поставщика реагентов </w:t>
      </w:r>
      <w:r>
        <w:rPr>
          <w:color w:val="000000" w:themeColor="text1"/>
          <w:sz w:val="24"/>
          <w:szCs w:val="24"/>
        </w:rPr>
        <w:t xml:space="preserve">письменного уведомления</w:t>
      </w:r>
      <w:r>
        <w:rPr>
          <w:color w:val="000000" w:themeColor="text1"/>
          <w:sz w:val="24"/>
          <w:szCs w:val="24"/>
        </w:rPr>
        <w:t xml:space="preserve"> о допустимости своего участия в проведении экспертизы. К</w:t>
      </w:r>
      <w:r>
        <w:rPr>
          <w:color w:val="000000" w:themeColor="text1"/>
          <w:sz w:val="24"/>
          <w:szCs w:val="24"/>
        </w:rPr>
        <w:t xml:space="preserve">опия К</w:t>
      </w:r>
      <w:r>
        <w:rPr>
          <w:color w:val="000000" w:themeColor="text1"/>
          <w:sz w:val="24"/>
          <w:szCs w:val="24"/>
        </w:rPr>
        <w:t xml:space="preserve">онтракта на поставку реагентов предоставляется Исполнителю в течение 1 (одного) рабочего дня с даты заключения Контракта путем его направления на электронный адрес Исполнителя, указанный в Контракте.</w:t>
      </w:r>
    </w:p>
    <w:p>
      <w:pPr>
        <w:pStyle w:val="a3"/>
        <w:widowControl/>
        <w:numPr>
          <w:numId w:val="2"/>
          <w:ilvl w:val="0"/>
        </w:numPr>
        <w:spacing w:after="60"/>
        <w:ind w:left="0" w:firstLine="0"/>
        <w:jc w:val="both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Место оказание услуг:</w:t>
      </w:r>
      <w:r>
        <w:rPr>
          <w:color w:val="000000" w:themeColor="text1"/>
          <w:sz w:val="24"/>
          <w:szCs w:val="24"/>
        </w:rPr>
        <w:t xml:space="preserve"> по адресу местонахождения </w:t>
      </w:r>
      <w:r>
        <w:rPr>
          <w:color w:val="000000" w:themeColor="text1"/>
          <w:sz w:val="24"/>
          <w:szCs w:val="24"/>
        </w:rPr>
        <w:t xml:space="preserve">Заказчика</w:t>
      </w:r>
      <w:r>
        <w:rPr>
          <w:color w:val="000000" w:themeColor="text1"/>
          <w:sz w:val="24"/>
          <w:szCs w:val="24"/>
        </w:rPr>
        <w:t xml:space="preserve">.</w:t>
      </w:r>
    </w:p>
    <w:p>
      <w:pPr>
        <w:pStyle w:val="a3"/>
        <w:widowControl/>
        <w:numPr>
          <w:numId w:val="2"/>
          <w:ilvl w:val="0"/>
        </w:numPr>
        <w:spacing w:after="60"/>
        <w:ind w:left="0" w:firstLine="0"/>
        <w:jc w:val="both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Требования к оформлению результатов экспертизы:</w:t>
      </w:r>
      <w:r>
        <w:rPr>
          <w:color w:val="000000" w:themeColor="text1"/>
          <w:sz w:val="24"/>
          <w:szCs w:val="24"/>
        </w:rPr>
        <w:t xml:space="preserve"> направление в адрес Заказчика заключени</w:t>
      </w:r>
      <w:r>
        <w:rPr>
          <w:color w:val="000000" w:themeColor="text1"/>
          <w:sz w:val="24"/>
          <w:szCs w:val="24"/>
        </w:rPr>
        <w:t xml:space="preserve">я</w:t>
      </w:r>
      <w:r>
        <w:rPr>
          <w:color w:val="000000" w:themeColor="text1"/>
          <w:sz w:val="24"/>
          <w:szCs w:val="24"/>
        </w:rPr>
        <w:t xml:space="preserve"> эксперта на бумажном носителе</w:t>
      </w:r>
      <w:r>
        <w:rPr>
          <w:color w:val="000000" w:themeColor="text1"/>
          <w:sz w:val="24"/>
          <w:szCs w:val="24"/>
        </w:rPr>
        <w:t xml:space="preserve"> в количестве 2 экземпляров</w:t>
      </w:r>
      <w:r>
        <w:rPr>
          <w:color w:val="000000" w:themeColor="text1"/>
          <w:sz w:val="24"/>
          <w:szCs w:val="24"/>
        </w:rPr>
        <w:t xml:space="preserve"> и в электронном виде.</w:t>
      </w:r>
    </w:p>
    <w:p>
      <w:pPr>
        <w:pStyle w:val="a3"/>
        <w:widowControl/>
        <w:numPr>
          <w:numId w:val="2"/>
          <w:ilvl w:val="0"/>
        </w:numPr>
        <w:spacing w:after="60"/>
        <w:ind w:left="0" w:firstLine="0"/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Перечень вопросов:</w:t>
      </w:r>
    </w:p>
    <w:p>
      <w:pPr>
        <w:widowControl/>
        <w:spacing w:after="6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Вопрос №</w:t>
      </w:r>
      <w:r>
        <w:rPr>
          <w:color w:val="000000" w:themeColor="text1"/>
          <w:sz w:val="24"/>
          <w:szCs w:val="24"/>
        </w:rPr>
        <w:t xml:space="preserve">1: Возможно ли </w:t>
      </w:r>
      <w:r>
        <w:rPr>
          <w:color w:val="000000" w:themeColor="text1"/>
          <w:sz w:val="24"/>
          <w:szCs w:val="24"/>
        </w:rPr>
        <w:t xml:space="preserve">при </w:t>
      </w:r>
      <w:r>
        <w:rPr>
          <w:color w:val="000000" w:themeColor="text1"/>
          <w:sz w:val="24"/>
          <w:szCs w:val="24"/>
        </w:rPr>
        <w:t xml:space="preserve">применени</w:t>
      </w:r>
      <w:r>
        <w:rPr>
          <w:color w:val="000000" w:themeColor="text1"/>
          <w:sz w:val="24"/>
          <w:szCs w:val="24"/>
        </w:rPr>
        <w:t xml:space="preserve">и</w:t>
      </w:r>
      <w:r>
        <w:rPr>
          <w:color w:val="000000" w:themeColor="text1"/>
          <w:sz w:val="24"/>
          <w:szCs w:val="24"/>
        </w:rPr>
        <w:t xml:space="preserve"> реагента «ЖЕЛЕЗО-ВИТАЛ» с целью определения концентрации железа в сыворотке (плазме) крови </w:t>
      </w:r>
      <w:r>
        <w:rPr>
          <w:color w:val="000000" w:themeColor="text1"/>
          <w:sz w:val="24"/>
          <w:szCs w:val="24"/>
        </w:rPr>
        <w:t xml:space="preserve">колориметрическим</w:t>
      </w:r>
      <w:r>
        <w:rPr>
          <w:color w:val="000000" w:themeColor="text1"/>
          <w:sz w:val="24"/>
          <w:szCs w:val="24"/>
        </w:rPr>
        <w:t xml:space="preserve"> методом с </w:t>
      </w:r>
      <w:r>
        <w:rPr>
          <w:color w:val="000000" w:themeColor="text1"/>
          <w:sz w:val="24"/>
          <w:szCs w:val="24"/>
        </w:rPr>
        <w:t xml:space="preserve">Ферен</w:t>
      </w:r>
      <w:r>
        <w:rPr>
          <w:color w:val="000000" w:themeColor="text1"/>
          <w:sz w:val="24"/>
          <w:szCs w:val="24"/>
        </w:rPr>
        <w:t xml:space="preserve">-S без </w:t>
      </w:r>
      <w:r>
        <w:rPr>
          <w:color w:val="000000" w:themeColor="text1"/>
          <w:sz w:val="24"/>
          <w:szCs w:val="24"/>
        </w:rPr>
        <w:t xml:space="preserve">депротеинизации</w:t>
      </w:r>
      <w:r>
        <w:rPr>
          <w:color w:val="000000" w:themeColor="text1"/>
          <w:sz w:val="24"/>
          <w:szCs w:val="24"/>
        </w:rPr>
        <w:t xml:space="preserve"> на анализатор</w:t>
      </w:r>
      <w:r>
        <w:rPr>
          <w:color w:val="000000" w:themeColor="text1"/>
          <w:sz w:val="24"/>
          <w:szCs w:val="24"/>
        </w:rPr>
        <w:t xml:space="preserve">ах «AU480» и «AU680</w:t>
      </w:r>
      <w:r>
        <w:rPr>
          <w:color w:val="000000" w:themeColor="text1"/>
          <w:sz w:val="24"/>
          <w:szCs w:val="24"/>
        </w:rPr>
        <w:t xml:space="preserve"> получение недостоверных результатов</w:t>
      </w:r>
      <w:r>
        <w:rPr>
          <w:color w:val="000000" w:themeColor="text1"/>
          <w:sz w:val="24"/>
          <w:szCs w:val="24"/>
        </w:rPr>
        <w:t xml:space="preserve">?</w:t>
      </w:r>
      <w:r>
        <w:rPr>
          <w:color w:val="000000" w:themeColor="text1"/>
          <w:sz w:val="24"/>
          <w:szCs w:val="24"/>
        </w:rPr>
        <w:br/>
        <w:t xml:space="preserve">Вопрос №</w:t>
      </w:r>
      <w:r>
        <w:rPr>
          <w:color w:val="000000" w:themeColor="text1"/>
          <w:sz w:val="24"/>
          <w:szCs w:val="24"/>
        </w:rPr>
        <w:t xml:space="preserve">2: Сопоставимы ли результаты определения концентрации железа в сыворотке (плазме) крови </w:t>
      </w:r>
      <w:r>
        <w:rPr>
          <w:color w:val="000000" w:themeColor="text1"/>
          <w:sz w:val="24"/>
          <w:szCs w:val="24"/>
        </w:rPr>
        <w:t xml:space="preserve">колориметрическим</w:t>
      </w:r>
      <w:r>
        <w:rPr>
          <w:color w:val="000000" w:themeColor="text1"/>
          <w:sz w:val="24"/>
          <w:szCs w:val="24"/>
        </w:rPr>
        <w:t xml:space="preserve"> методом с </w:t>
      </w:r>
      <w:r>
        <w:rPr>
          <w:color w:val="000000" w:themeColor="text1"/>
          <w:sz w:val="24"/>
          <w:szCs w:val="24"/>
        </w:rPr>
        <w:t xml:space="preserve">Ферен</w:t>
      </w:r>
      <w:r>
        <w:rPr>
          <w:color w:val="000000" w:themeColor="text1"/>
          <w:sz w:val="24"/>
          <w:szCs w:val="24"/>
        </w:rPr>
        <w:t xml:space="preserve">-S без </w:t>
      </w:r>
      <w:r>
        <w:rPr>
          <w:color w:val="000000" w:themeColor="text1"/>
          <w:sz w:val="24"/>
          <w:szCs w:val="24"/>
        </w:rPr>
        <w:t xml:space="preserve">депротеинизации</w:t>
      </w:r>
      <w:r>
        <w:rPr>
          <w:color w:val="000000" w:themeColor="text1"/>
          <w:sz w:val="24"/>
          <w:szCs w:val="24"/>
        </w:rPr>
        <w:t xml:space="preserve"> на анализаторах «AU480» и «AU680», полученные при использовании реагента «ЖЕЛЕЗО-ВИТАЛ» и  оригинальным набором «</w:t>
      </w:r>
      <w:r>
        <w:rPr>
          <w:color w:val="000000" w:themeColor="text1"/>
          <w:sz w:val="24"/>
          <w:szCs w:val="24"/>
        </w:rPr>
        <w:t xml:space="preserve">Beckman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Coulter</w:t>
      </w:r>
      <w:r>
        <w:rPr>
          <w:color w:val="000000" w:themeColor="text1"/>
          <w:sz w:val="24"/>
          <w:szCs w:val="24"/>
        </w:rPr>
        <w:t xml:space="preserve">»?</w:t>
      </w:r>
    </w:p>
    <w:p>
      <w:pPr>
        <w:widowControl/>
        <w:spacing w:after="6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Вопрос №</w:t>
      </w:r>
      <w:r>
        <w:rPr>
          <w:color w:val="000000" w:themeColor="text1"/>
          <w:sz w:val="24"/>
          <w:szCs w:val="24"/>
        </w:rPr>
        <w:t xml:space="preserve">3: Имеются ли в представленной на исследование инструкции по использованию реагентов сведения о совместимости</w:t>
      </w:r>
      <w:r>
        <w:rPr>
          <w:color w:val="000000" w:themeColor="text1"/>
          <w:sz w:val="24"/>
          <w:szCs w:val="24"/>
        </w:rPr>
        <w:t xml:space="preserve"> и параметрах работы</w:t>
      </w:r>
      <w:r>
        <w:rPr>
          <w:color w:val="000000" w:themeColor="text1"/>
          <w:sz w:val="24"/>
          <w:szCs w:val="24"/>
        </w:rPr>
        <w:t xml:space="preserve"> с автоматическими биохимическими анализаторами серии «AU» и иными реагентами?</w:t>
      </w:r>
    </w:p>
    <w:p>
      <w:pPr>
        <w:widowControl/>
        <w:spacing w:after="6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Вопрос №</w:t>
      </w:r>
      <w:r>
        <w:rPr>
          <w:color w:val="000000" w:themeColor="text1"/>
          <w:sz w:val="24"/>
          <w:szCs w:val="24"/>
        </w:rPr>
        <w:t xml:space="preserve">4: </w:t>
      </w:r>
      <w:r>
        <w:rPr>
          <w:color w:val="000000" w:themeColor="text1"/>
          <w:sz w:val="24"/>
          <w:szCs w:val="24"/>
        </w:rPr>
        <w:t xml:space="preserve">Позволяет </w:t>
      </w:r>
      <w:r>
        <w:rPr>
          <w:color w:val="000000" w:themeColor="text1"/>
          <w:sz w:val="24"/>
          <w:szCs w:val="24"/>
        </w:rPr>
        <w:t xml:space="preserve">ли </w:t>
      </w:r>
      <w:r>
        <w:rPr>
          <w:color w:val="000000" w:themeColor="text1"/>
          <w:sz w:val="24"/>
          <w:szCs w:val="24"/>
        </w:rPr>
        <w:t xml:space="preserve">техническое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состояни</w:t>
      </w:r>
      <w:r>
        <w:rPr>
          <w:color w:val="000000" w:themeColor="text1"/>
          <w:sz w:val="24"/>
          <w:szCs w:val="24"/>
        </w:rPr>
        <w:t xml:space="preserve">е</w:t>
      </w:r>
      <w:r>
        <w:rPr>
          <w:color w:val="000000" w:themeColor="text1"/>
          <w:sz w:val="24"/>
          <w:szCs w:val="24"/>
        </w:rPr>
        <w:t xml:space="preserve"> анализаторов</w:t>
      </w:r>
      <w:r>
        <w:rPr>
          <w:color w:val="000000" w:themeColor="text1"/>
          <w:sz w:val="24"/>
          <w:szCs w:val="24"/>
        </w:rPr>
        <w:t xml:space="preserve"> «AU480» (серийный номе</w:t>
      </w:r>
      <w:r>
        <w:rPr>
          <w:color w:val="000000" w:themeColor="text1"/>
          <w:sz w:val="24"/>
          <w:szCs w:val="24"/>
        </w:rPr>
        <w:t xml:space="preserve">р:</w:t>
      </w:r>
      <w:r>
        <w:t xml:space="preserve"> </w:t>
      </w:r>
      <w:r>
        <w:rPr>
          <w:color w:val="000000" w:themeColor="text1"/>
          <w:sz w:val="24"/>
          <w:szCs w:val="24"/>
        </w:rPr>
        <w:t xml:space="preserve">2014093527</w:t>
      </w:r>
      <w:r>
        <w:rPr>
          <w:color w:val="000000" w:themeColor="text1"/>
          <w:sz w:val="24"/>
          <w:szCs w:val="24"/>
        </w:rPr>
        <w:t xml:space="preserve">) и «AU680» (серийный номер: </w:t>
      </w:r>
      <w:r>
        <w:rPr>
          <w:color w:val="000000" w:themeColor="text1"/>
          <w:sz w:val="24"/>
          <w:szCs w:val="24"/>
        </w:rPr>
        <w:t xml:space="preserve">1060977</w:t>
      </w:r>
      <w:r>
        <w:rPr>
          <w:color w:val="000000" w:themeColor="text1"/>
          <w:sz w:val="24"/>
          <w:szCs w:val="24"/>
        </w:rPr>
        <w:t xml:space="preserve">)</w:t>
      </w:r>
      <w:r>
        <w:rPr>
          <w:color w:val="000000" w:themeColor="text1"/>
          <w:sz w:val="24"/>
          <w:szCs w:val="24"/>
        </w:rPr>
        <w:t xml:space="preserve"> надлежащим образом осуществлять</w:t>
      </w:r>
      <w:r>
        <w:rPr>
          <w:color w:val="000000" w:themeColor="text1"/>
          <w:sz w:val="24"/>
          <w:szCs w:val="24"/>
        </w:rPr>
        <w:t xml:space="preserve"> определени</w:t>
      </w:r>
      <w:r>
        <w:rPr>
          <w:color w:val="000000" w:themeColor="text1"/>
          <w:sz w:val="24"/>
          <w:szCs w:val="24"/>
        </w:rPr>
        <w:t xml:space="preserve">е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концентрации железа в сыворотке (плазме) крови колориметрическим методом с </w:t>
      </w:r>
      <w:r>
        <w:rPr>
          <w:color w:val="000000" w:themeColor="text1"/>
          <w:sz w:val="24"/>
          <w:szCs w:val="24"/>
        </w:rPr>
        <w:t xml:space="preserve">Ферен</w:t>
      </w:r>
      <w:r>
        <w:rPr>
          <w:color w:val="000000" w:themeColor="text1"/>
          <w:sz w:val="24"/>
          <w:szCs w:val="24"/>
        </w:rPr>
        <w:t xml:space="preserve">-S без </w:t>
      </w:r>
      <w:r>
        <w:rPr>
          <w:color w:val="000000" w:themeColor="text1"/>
          <w:sz w:val="24"/>
          <w:szCs w:val="24"/>
        </w:rPr>
        <w:t xml:space="preserve">депротеинизации</w:t>
      </w:r>
      <w:r>
        <w:rPr>
          <w:color w:val="000000" w:themeColor="text1"/>
          <w:sz w:val="24"/>
          <w:szCs w:val="24"/>
        </w:rPr>
        <w:t xml:space="preserve">?</w:t>
      </w:r>
    </w:p>
    <w:p>
      <w:pPr>
        <w:widowControl/>
        <w:spacing w:after="6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Вопрос №5: Совместимы ли индивидуальные флаконы реагента</w:t>
      </w:r>
      <w:r>
        <w:rPr>
          <w:color w:val="000000" w:themeColor="text1"/>
          <w:sz w:val="24"/>
          <w:szCs w:val="24"/>
        </w:rPr>
        <w:t xml:space="preserve"> «ЖЕЛЕЗО-ВИТАЛ»</w:t>
      </w:r>
      <w:r>
        <w:rPr>
          <w:color w:val="000000" w:themeColor="text1"/>
          <w:sz w:val="24"/>
          <w:szCs w:val="24"/>
        </w:rPr>
        <w:t xml:space="preserve"> с </w:t>
      </w:r>
      <w:r>
        <w:rPr>
          <w:color w:val="000000" w:themeColor="text1"/>
          <w:sz w:val="24"/>
          <w:szCs w:val="24"/>
        </w:rPr>
        <w:t xml:space="preserve">реагентным</w:t>
      </w:r>
      <w:r>
        <w:rPr>
          <w:color w:val="000000" w:themeColor="text1"/>
          <w:sz w:val="24"/>
          <w:szCs w:val="24"/>
        </w:rPr>
        <w:t xml:space="preserve"> отсеком автоматического биохимического анализатора</w:t>
      </w:r>
      <w:r>
        <w:rPr>
          <w:color w:val="000000" w:themeColor="text1"/>
          <w:sz w:val="24"/>
          <w:szCs w:val="24"/>
        </w:rPr>
        <w:t xml:space="preserve"> серии «</w:t>
      </w:r>
      <w:r>
        <w:rPr>
          <w:color w:val="000000" w:themeColor="text1"/>
          <w:sz w:val="24"/>
          <w:szCs w:val="24"/>
          <w:lang w:val="en-US"/>
        </w:rPr>
        <w:t xml:space="preserve">AU</w:t>
      </w:r>
      <w:r>
        <w:rPr>
          <w:color w:val="000000" w:themeColor="text1"/>
          <w:sz w:val="24"/>
          <w:szCs w:val="24"/>
        </w:rPr>
        <w:t xml:space="preserve">»</w:t>
      </w:r>
      <w:r>
        <w:rPr>
          <w:color w:val="000000" w:themeColor="text1"/>
          <w:sz w:val="24"/>
          <w:szCs w:val="24"/>
        </w:rPr>
        <w:t xml:space="preserve">?</w:t>
      </w:r>
    </w:p>
    <w:p>
      <w:pPr>
        <w:widowControl/>
        <w:spacing w:after="6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Вопрос №6: Сопоставимы ли результаты </w:t>
      </w:r>
      <w:r>
        <w:rPr>
          <w:color w:val="000000" w:themeColor="text1"/>
          <w:sz w:val="24"/>
          <w:szCs w:val="24"/>
        </w:rPr>
        <w:t xml:space="preserve">определения концентрации железа в сыворотке (плазме) крови на </w:t>
      </w:r>
      <w:r>
        <w:rPr>
          <w:color w:val="000000" w:themeColor="text1"/>
          <w:sz w:val="24"/>
          <w:szCs w:val="24"/>
        </w:rPr>
        <w:t xml:space="preserve">автоматических </w:t>
      </w:r>
      <w:r>
        <w:rPr>
          <w:color w:val="000000" w:themeColor="text1"/>
          <w:sz w:val="24"/>
          <w:szCs w:val="24"/>
        </w:rPr>
        <w:t xml:space="preserve">анализаторах </w:t>
      </w:r>
      <w:r>
        <w:rPr>
          <w:color w:val="000000" w:themeColor="text1"/>
          <w:sz w:val="24"/>
          <w:szCs w:val="24"/>
        </w:rPr>
        <w:t xml:space="preserve">серии </w:t>
      </w:r>
      <w:r>
        <w:rPr>
          <w:color w:val="000000" w:themeColor="text1"/>
          <w:sz w:val="24"/>
          <w:szCs w:val="24"/>
        </w:rPr>
        <w:t xml:space="preserve">«AU»</w:t>
      </w:r>
      <w:r>
        <w:rPr>
          <w:color w:val="000000" w:themeColor="text1"/>
          <w:sz w:val="24"/>
          <w:szCs w:val="24"/>
        </w:rPr>
        <w:t xml:space="preserve"> </w:t>
      </w:r>
      <w:r>
        <w:rPr>
          <w:color w:val="000000" w:themeColor="text1"/>
          <w:sz w:val="24"/>
          <w:szCs w:val="24"/>
        </w:rPr>
        <w:t xml:space="preserve">и</w:t>
      </w:r>
      <w:r>
        <w:rPr>
          <w:color w:val="000000" w:themeColor="text1"/>
          <w:sz w:val="24"/>
          <w:szCs w:val="24"/>
        </w:rPr>
        <w:t xml:space="preserve"> при помощи ручного колориметрического метода?</w:t>
      </w:r>
    </w:p>
    <w:p>
      <w:pPr>
        <w:widowControl/>
        <w:spacing w:after="60"/>
        <w:jc w:val="both"/>
        <w:rPr>
          <w:color w:val="000000" w:themeColor="text1"/>
          <w:sz w:val="24"/>
          <w:szCs w:val="24"/>
        </w:rPr>
      </w:pPr>
    </w:p>
    <w:p>
      <w:pPr>
        <w:widowControl/>
        <w:spacing w:after="60"/>
        <w:jc w:val="both"/>
        <w:rPr>
          <w:color w:val="000000" w:themeColor="text1"/>
          <w:sz w:val="24"/>
          <w:szCs w:val="24"/>
        </w:rPr>
      </w:pPr>
    </w:p>
    <w:p>
      <w:pPr>
        <w:widowControl/>
        <w:spacing w:after="60"/>
        <w:jc w:val="both"/>
        <w:rPr>
          <w:color w:val="000000" w:themeColor="text1"/>
          <w:sz w:val="24"/>
          <w:szCs w:val="24"/>
        </w:rPr>
      </w:pPr>
    </w:p>
    <w:p>
      <w:pPr>
        <w:widowControl/>
        <w:spacing w:after="60"/>
        <w:jc w:val="both"/>
        <w:rPr>
          <w:color w:val="000000" w:themeColor="text1"/>
          <w:sz w:val="24"/>
          <w:szCs w:val="24"/>
        </w:rPr>
      </w:pPr>
    </w:p>
    <w:p>
      <w:pPr>
        <w:widowControl/>
        <w:spacing w:after="60"/>
        <w:jc w:val="both"/>
        <w:rPr>
          <w:color w:val="000000" w:themeColor="text1"/>
          <w:sz w:val="24"/>
          <w:szCs w:val="24"/>
        </w:rPr>
      </w:pPr>
    </w:p>
    <w:p>
      <w:pPr>
        <w:rPr>
          <w:color w:val="000000" w:themeColor="text1"/>
        </w:rPr>
      </w:pPr>
    </w:p>
    <w:sectPr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2040504020204"/>
  </w:font>
  <w:font w:name="Times New Roman">
    <w:panose1 w:val="020206030504050203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entative="1" w:tplc="04190019">
      <w:start w:val="1"/>
      <w:numFmt w:val="lowerLetter"/>
      <w:lvlText w:val="%2."/>
      <w:lvlJc w:val="left"/>
      <w:pPr>
        <w:ind w:left="2007" w:hanging="360"/>
      </w:pPr>
    </w:lvl>
    <w:lvl w:ilvl="2" w:tentative="1" w:tplc="0419001B">
      <w:start w:val="1"/>
      <w:numFmt w:val="lowerRoman"/>
      <w:lvlText w:val="%3."/>
      <w:lvlJc w:val="right"/>
      <w:pPr>
        <w:ind w:left="2727" w:hanging="180"/>
      </w:pPr>
    </w:lvl>
    <w:lvl w:ilvl="3" w:tentative="1" w:tplc="0419000F">
      <w:start w:val="1"/>
      <w:numFmt w:val="decimal"/>
      <w:lvlText w:val="%4."/>
      <w:lvlJc w:val="left"/>
      <w:pPr>
        <w:ind w:left="3447" w:hanging="360"/>
      </w:pPr>
    </w:lvl>
    <w:lvl w:ilvl="4" w:tentative="1" w:tplc="04190019">
      <w:start w:val="1"/>
      <w:numFmt w:val="lowerLetter"/>
      <w:lvlText w:val="%5."/>
      <w:lvlJc w:val="left"/>
      <w:pPr>
        <w:ind w:left="4167" w:hanging="360"/>
      </w:pPr>
    </w:lvl>
    <w:lvl w:ilvl="5" w:tentative="1" w:tplc="0419001B">
      <w:start w:val="1"/>
      <w:numFmt w:val="lowerRoman"/>
      <w:lvlText w:val="%6."/>
      <w:lvlJc w:val="right"/>
      <w:pPr>
        <w:ind w:left="4887" w:hanging="180"/>
      </w:pPr>
    </w:lvl>
    <w:lvl w:ilvl="6" w:tentative="1" w:tplc="0419000F">
      <w:start w:val="1"/>
      <w:numFmt w:val="decimal"/>
      <w:lvlText w:val="%7."/>
      <w:lvlJc w:val="left"/>
      <w:pPr>
        <w:ind w:left="5607" w:hanging="360"/>
      </w:pPr>
    </w:lvl>
    <w:lvl w:ilvl="7" w:tentative="1" w:tplc="04190019">
      <w:start w:val="1"/>
      <w:numFmt w:val="lowerLetter"/>
      <w:lvlText w:val="%8."/>
      <w:lvlJc w:val="left"/>
      <w:pPr>
        <w:ind w:left="6327" w:hanging="360"/>
      </w:pPr>
    </w:lvl>
    <w:lvl w:ilvl="8" w:tentative="1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multiLevelType w:val="hybridMultilevel"/>
    <w:lvl w:ilvl="0" w:tplc="99002C4E">
      <w:start w:val="1"/>
      <w:numFmt w:val="decimal"/>
      <w:lvlText w:val="%1."/>
      <w:lvlJc w:val="left"/>
      <w:pPr>
        <w:ind w:left="927" w:hanging="360"/>
      </w:pPr>
      <w:rPr>
        <w:rFonts w:hint="default" w:eastAsia="Calibri"/>
        <w:b/>
      </w:rPr>
    </w:lvl>
    <w:lvl w:ilvl="1" w:tentative="1" w:tplc="04190019">
      <w:start w:val="1"/>
      <w:numFmt w:val="lowerLetter"/>
      <w:lvlText w:val="%2."/>
      <w:lvlJc w:val="left"/>
      <w:pPr>
        <w:ind w:left="1647" w:hanging="360"/>
      </w:pPr>
    </w:lvl>
    <w:lvl w:ilvl="2" w:tentative="1" w:tplc="0419001B">
      <w:start w:val="1"/>
      <w:numFmt w:val="lowerRoman"/>
      <w:lvlText w:val="%3."/>
      <w:lvlJc w:val="right"/>
      <w:pPr>
        <w:ind w:left="2367" w:hanging="180"/>
      </w:pPr>
    </w:lvl>
    <w:lvl w:ilvl="3" w:tentative="1" w:tplc="0419000F">
      <w:start w:val="1"/>
      <w:numFmt w:val="decimal"/>
      <w:lvlText w:val="%4."/>
      <w:lvlJc w:val="left"/>
      <w:pPr>
        <w:ind w:left="3087" w:hanging="360"/>
      </w:pPr>
    </w:lvl>
    <w:lvl w:ilvl="4" w:tentative="1" w:tplc="04190019">
      <w:start w:val="1"/>
      <w:numFmt w:val="lowerLetter"/>
      <w:lvlText w:val="%5."/>
      <w:lvlJc w:val="left"/>
      <w:pPr>
        <w:ind w:left="3807" w:hanging="360"/>
      </w:pPr>
    </w:lvl>
    <w:lvl w:ilvl="5" w:tentative="1" w:tplc="0419001B">
      <w:start w:val="1"/>
      <w:numFmt w:val="lowerRoman"/>
      <w:lvlText w:val="%6."/>
      <w:lvlJc w:val="right"/>
      <w:pPr>
        <w:ind w:left="4527" w:hanging="180"/>
      </w:pPr>
    </w:lvl>
    <w:lvl w:ilvl="6" w:tentative="1" w:tplc="0419000F">
      <w:start w:val="1"/>
      <w:numFmt w:val="decimal"/>
      <w:lvlText w:val="%7."/>
      <w:lvlJc w:val="left"/>
      <w:pPr>
        <w:ind w:left="5247" w:hanging="360"/>
      </w:pPr>
    </w:lvl>
    <w:lvl w:ilvl="7" w:tentative="1" w:tplc="04190019">
      <w:start w:val="1"/>
      <w:numFmt w:val="lowerLetter"/>
      <w:lvlText w:val="%8."/>
      <w:lvlJc w:val="left"/>
      <w:pPr>
        <w:ind w:left="5967" w:hanging="360"/>
      </w:pPr>
    </w:lvl>
    <w:lvl w:ilvl="8" w:tentative="1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pPr>
      <w:widowControl w:val="off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a5" w:customStyle="1">
    <w:name w:val="Текст выноски Знак"/>
    <w:basedOn w:val="a0"/>
    <w:link w:val="a4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</w:style>
  <w:style w:type="character" w:styleId="a8" w:customStyle="1">
    <w:name w:val="Текст примечания Знак"/>
    <w:basedOn w:val="a0"/>
    <w:link w:val="a7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Pr>
      <w:b/>
      <w:bCs/>
    </w:rPr>
  </w:style>
  <w:style w:type="character" w:styleId="aa" w:customStyle="1">
    <w:name w:val="Тема примечания Знак"/>
    <w:basedOn w:val="a8"/>
    <w:link w:val="a9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ab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Р7-Офис/2024.3.2.584</Application>
  <Characters>3627</Characters>
  <CharactersWithSpaces>4255</CharactersWithSpaces>
  <Company/>
  <DocSecurity>0</DocSecurity>
  <HyperlinksChanged>false</HyperlinksChanged>
  <Lines>30</Lines>
  <LinksUpToDate>false</LinksUpToDate>
  <Pages>2</Pages>
  <Paragraphs>8</Paragraphs>
  <ScaleCrop>false</ScaleCrop>
  <SharedDoc>false</SharedDoc>
  <Template>Normal.dotm</Template>
  <TotalTime>7</TotalTime>
  <Words>636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Александра Георгиевна</dc:creator>
  <cp:keywords/>
  <dc:description/>
  <cp:lastModifiedBy>Захарова Александра Георгиевна</cp:lastModifiedBy>
  <cp:revision>6</cp:revision>
  <cp:lastPrinted>2026-08-17T07:06:00Z</cp:lastPrinted>
  <dcterms:created xsi:type="dcterms:W3CDTF">2026-08-20T08:50:00Z</dcterms:created>
  <dcterms:modified xsi:type="dcterms:W3CDTF">2026-08-21T11:59:00Z</dcterms:modified>
</cp:coreProperties>
</file>